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17. Real-Outcome Dynamics in the AI-Talking Sample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revisits non-market consequences inside the AI-talking sample. Each row is a future operating or investment outcome measured at t+1 or t+2. The columns compare the canonical grant-based PatentMismatch construct, the application-based mismatch variant, and the disclosure-side LowCredibility variant. All specifications absorb firm and year fixed effects, use outcome-appropriate core controls, cluster standard errors by firm, and winsorize each future outcome at the 1st and 99th percentiles.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Canonical grant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Application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Low credibility only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Observations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ROA t+1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-0.0045 (0.0157)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0.0003 (0.0156)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-0.0083 (0.0151)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-0.224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6865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ROA t+2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-0.0672** (0.0269)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-0.0526** (0.0267)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-0.0649*** (0.0248)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-0.223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4476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Sales growth t+1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0.0231 (0.0502)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-0.0297 (0.0473)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-0.0065 (0.0430)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0.240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6532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Sales growth t+2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-0.0240 (0.0550)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0.0599 (0.0553)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0.0550 (0.0460)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0.211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4284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CAPX/assets t+1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-0.0003 (0.0009)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-0.0009 (0.0008)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-0.0006 (0.0008)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6829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CAPX/assets t+2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0.0012 (0.0010)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0.0013 (0.0009)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0.0014 (0.0010)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4449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R&amp;D/assets t+1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0.0097 (0.0070)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0.0079 (0.0073)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0.0087 (0.0064)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0.149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4514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R&amp;D/assets t+2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0.0178** (0.0070)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0.0154** (0.0074)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0.0166*** (0.0062)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0.147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3044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