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30"/>
        </w:rPr>
        <w:t>Test 20. Disclosure cleanup after SEC scrutiny</w:t>
      </w:r>
    </w:p>
    <w:p>
      <w:r>
        <w:t>This table tracks how annual AI-disclosure outcomes change around a firm's first SEC comment-letter event. The main sample keeps active AI disclosers only, meaning the firm talks about AI both one year before and one year after the event, so the table measures composition cleanup rather than simple entry or exit from AI disclosure.</w:t>
      </w:r>
    </w:p>
    <w:p>
      <w:r>
        <w:t>Panel A. First SEC comment letter (active AI disclosers)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2016"/>
        <w:gridCol w:w="2016"/>
        <w:gridCol w:w="2016"/>
        <w:gridCol w:w="2016"/>
        <w:gridCol w:w="2016"/>
        <w:gridCol w:w="2016"/>
      </w:tblGrid>
      <w:tr>
        <w:tc>
          <w:tcPr>
            <w:tcW w:type="dxa" w:w="4032"/>
            <w:vAlign w:val="center"/>
            <w:tcBorders>
              <w:top w:val="single" w:sz="8" w:space="0" w:color="000000"/>
              <w:bottom w:val="single" w:sz="8" w:space="0" w:color="000000"/>
            </w:tcBorders>
          </w:tcPr>
          <w:p>
            <w:pPr>
              <w:spacing w:after="0" w:before="0"/>
              <w:jc w:val="left"/>
            </w:pPr>
            <w:r/>
            <w:r>
              <w:rPr>
                <w:rFonts w:ascii="Times New Roman" w:hAnsi="Times New Roman" w:eastAsia="Times New Roman"/>
                <w:b/>
                <w:i w:val="0"/>
                <w:sz w:val="20"/>
              </w:rPr>
              <w:t>Outcome</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t-2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t+1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t+2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Pre mean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N firms</w:t>
            </w:r>
          </w:p>
        </w:tc>
      </w:tr>
      <w:tr>
        <w:tc>
          <w:tcPr>
            <w:tcW w:type="dxa" w:w="4032"/>
            <w:vAlign w:val="center"/>
          </w:tcPr>
          <w:p>
            <w:pPr>
              <w:spacing w:after="0" w:before="0"/>
              <w:jc w:val="left"/>
            </w:pPr>
            <w:r/>
            <w:r>
              <w:rPr>
                <w:rFonts w:ascii="Times New Roman" w:hAnsi="Times New Roman" w:eastAsia="Times New Roman"/>
                <w:b w:val="0"/>
                <w:i w:val="0"/>
                <w:sz w:val="20"/>
              </w:rPr>
              <w:t>Speculative share</w:t>
            </w:r>
          </w:p>
        </w:tc>
        <w:tc>
          <w:tcPr>
            <w:tcW w:type="dxa" w:w="2232"/>
            <w:vAlign w:val="center"/>
          </w:tcPr>
          <w:p>
            <w:pPr>
              <w:spacing w:after="0" w:before="0"/>
              <w:jc w:val="center"/>
            </w:pPr>
            <w:r/>
            <w:r>
              <w:rPr>
                <w:rFonts w:ascii="Times New Roman" w:hAnsi="Times New Roman" w:eastAsia="Times New Roman"/>
                <w:b w:val="0"/>
                <w:i w:val="0"/>
                <w:sz w:val="20"/>
              </w:rPr>
              <w:t>-0.1799*** (0.0519)</w:t>
            </w:r>
          </w:p>
        </w:tc>
        <w:tc>
          <w:tcPr>
            <w:tcW w:type="dxa" w:w="2232"/>
            <w:vAlign w:val="center"/>
          </w:tcPr>
          <w:p>
            <w:pPr>
              <w:spacing w:after="0" w:before="0"/>
              <w:jc w:val="center"/>
            </w:pPr>
            <w:r/>
            <w:r>
              <w:rPr>
                <w:rFonts w:ascii="Times New Roman" w:hAnsi="Times New Roman" w:eastAsia="Times New Roman"/>
                <w:b w:val="0"/>
                <w:i w:val="0"/>
                <w:sz w:val="20"/>
              </w:rPr>
              <w:t>-0.0476 (0.0304)</w:t>
            </w:r>
          </w:p>
        </w:tc>
        <w:tc>
          <w:tcPr>
            <w:tcW w:type="dxa" w:w="2232"/>
            <w:vAlign w:val="center"/>
          </w:tcPr>
          <w:p>
            <w:pPr>
              <w:spacing w:after="0" w:before="0"/>
              <w:jc w:val="center"/>
            </w:pPr>
            <w:r/>
            <w:r>
              <w:rPr>
                <w:rFonts w:ascii="Times New Roman" w:hAnsi="Times New Roman" w:eastAsia="Times New Roman"/>
                <w:b w:val="0"/>
                <w:i w:val="0"/>
                <w:sz w:val="20"/>
              </w:rPr>
              <w:t>-0.0621 (0.0407)</w:t>
            </w:r>
          </w:p>
        </w:tc>
        <w:tc>
          <w:tcPr>
            <w:tcW w:type="dxa" w:w="2232"/>
            <w:vAlign w:val="center"/>
          </w:tcPr>
          <w:p>
            <w:pPr>
              <w:spacing w:after="0" w:before="0"/>
              <w:jc w:val="center"/>
            </w:pPr>
            <w:r/>
            <w:r>
              <w:rPr>
                <w:rFonts w:ascii="Times New Roman" w:hAnsi="Times New Roman" w:eastAsia="Times New Roman"/>
                <w:b w:val="0"/>
                <w:i w:val="0"/>
                <w:sz w:val="20"/>
              </w:rPr>
              <w:t>-0.1051** (0.0457)</w:t>
            </w:r>
          </w:p>
        </w:tc>
        <w:tc>
          <w:tcPr>
            <w:tcW w:type="dxa" w:w="2232"/>
            <w:vAlign w:val="center"/>
          </w:tcPr>
          <w:p>
            <w:pPr>
              <w:spacing w:after="0" w:before="0"/>
              <w:jc w:val="center"/>
            </w:pPr>
            <w:r/>
            <w:r>
              <w:rPr>
                <w:rFonts w:ascii="Times New Roman" w:hAnsi="Times New Roman" w:eastAsia="Times New Roman"/>
                <w:b w:val="0"/>
                <w:i w:val="0"/>
                <w:sz w:val="20"/>
              </w:rPr>
              <w:t>0.2717</w:t>
            </w:r>
          </w:p>
        </w:tc>
        <w:tc>
          <w:tcPr>
            <w:tcW w:type="dxa" w:w="2232"/>
            <w:vAlign w:val="center"/>
          </w:tcPr>
          <w:p>
            <w:pPr>
              <w:spacing w:after="0" w:before="0"/>
              <w:jc w:val="center"/>
            </w:pPr>
            <w:r/>
            <w:r>
              <w:rPr>
                <w:rFonts w:ascii="Times New Roman" w:hAnsi="Times New Roman" w:eastAsia="Times New Roman"/>
                <w:b w:val="0"/>
                <w:i w:val="0"/>
                <w:sz w:val="20"/>
              </w:rPr>
              <w:t>70</w:t>
            </w:r>
          </w:p>
        </w:tc>
      </w:tr>
      <w:tr>
        <w:tc>
          <w:tcPr>
            <w:tcW w:type="dxa" w:w="4032"/>
            <w:vAlign w:val="center"/>
          </w:tcPr>
          <w:p>
            <w:pPr>
              <w:spacing w:after="0" w:before="0"/>
              <w:jc w:val="left"/>
            </w:pPr>
            <w:r/>
            <w:r>
              <w:rPr>
                <w:rFonts w:ascii="Times New Roman" w:hAnsi="Times New Roman" w:eastAsia="Times New Roman"/>
                <w:b w:val="0"/>
                <w:i w:val="0"/>
                <w:sz w:val="20"/>
              </w:rPr>
              <w:t>A/S ratio</w:t>
            </w:r>
          </w:p>
        </w:tc>
        <w:tc>
          <w:tcPr>
            <w:tcW w:type="dxa" w:w="2232"/>
            <w:vAlign w:val="center"/>
          </w:tcPr>
          <w:p>
            <w:pPr>
              <w:spacing w:after="0" w:before="0"/>
              <w:jc w:val="center"/>
            </w:pPr>
            <w:r/>
            <w:r>
              <w:rPr>
                <w:rFonts w:ascii="Times New Roman" w:hAnsi="Times New Roman" w:eastAsia="Times New Roman"/>
                <w:b w:val="0"/>
                <w:i w:val="0"/>
                <w:sz w:val="20"/>
              </w:rPr>
              <w:t>-0.1768*** (0.0644)</w:t>
            </w:r>
          </w:p>
        </w:tc>
        <w:tc>
          <w:tcPr>
            <w:tcW w:type="dxa" w:w="2232"/>
            <w:vAlign w:val="center"/>
          </w:tcPr>
          <w:p>
            <w:pPr>
              <w:spacing w:after="0" w:before="0"/>
              <w:jc w:val="center"/>
            </w:pPr>
            <w:r/>
            <w:r>
              <w:rPr>
                <w:rFonts w:ascii="Times New Roman" w:hAnsi="Times New Roman" w:eastAsia="Times New Roman"/>
                <w:b w:val="0"/>
                <w:i w:val="0"/>
                <w:sz w:val="20"/>
              </w:rPr>
              <w:t>0.0466 (0.0599)</w:t>
            </w:r>
          </w:p>
        </w:tc>
        <w:tc>
          <w:tcPr>
            <w:tcW w:type="dxa" w:w="2232"/>
            <w:vAlign w:val="center"/>
          </w:tcPr>
          <w:p>
            <w:pPr>
              <w:spacing w:after="0" w:before="0"/>
              <w:jc w:val="center"/>
            </w:pPr>
            <w:r/>
            <w:r>
              <w:rPr>
                <w:rFonts w:ascii="Times New Roman" w:hAnsi="Times New Roman" w:eastAsia="Times New Roman"/>
                <w:b w:val="0"/>
                <w:i w:val="0"/>
                <w:sz w:val="20"/>
              </w:rPr>
              <w:t>0.1796*** (0.0651)</w:t>
            </w:r>
          </w:p>
        </w:tc>
        <w:tc>
          <w:tcPr>
            <w:tcW w:type="dxa" w:w="2232"/>
            <w:vAlign w:val="center"/>
          </w:tcPr>
          <w:p>
            <w:pPr>
              <w:spacing w:after="0" w:before="0"/>
              <w:jc w:val="center"/>
            </w:pPr>
            <w:r/>
            <w:r>
              <w:rPr>
                <w:rFonts w:ascii="Times New Roman" w:hAnsi="Times New Roman" w:eastAsia="Times New Roman"/>
                <w:b w:val="0"/>
                <w:i w:val="0"/>
                <w:sz w:val="20"/>
              </w:rPr>
              <w:t>0.2213** (0.1049)</w:t>
            </w:r>
          </w:p>
        </w:tc>
        <w:tc>
          <w:tcPr>
            <w:tcW w:type="dxa" w:w="2232"/>
            <w:vAlign w:val="center"/>
          </w:tcPr>
          <w:p>
            <w:pPr>
              <w:spacing w:after="0" w:before="0"/>
              <w:jc w:val="center"/>
            </w:pPr>
            <w:r/>
            <w:r>
              <w:rPr>
                <w:rFonts w:ascii="Times New Roman" w:hAnsi="Times New Roman" w:eastAsia="Times New Roman"/>
                <w:b w:val="0"/>
                <w:i w:val="0"/>
                <w:sz w:val="20"/>
              </w:rPr>
              <w:t>0.7910</w:t>
            </w:r>
          </w:p>
        </w:tc>
        <w:tc>
          <w:tcPr>
            <w:tcW w:type="dxa" w:w="2232"/>
            <w:vAlign w:val="center"/>
          </w:tcPr>
          <w:p>
            <w:pPr>
              <w:spacing w:after="0" w:before="0"/>
              <w:jc w:val="center"/>
            </w:pPr>
            <w:r/>
            <w:r>
              <w:rPr>
                <w:rFonts w:ascii="Times New Roman" w:hAnsi="Times New Roman" w:eastAsia="Times New Roman"/>
                <w:b w:val="0"/>
                <w:i w:val="0"/>
                <w:sz w:val="20"/>
              </w:rPr>
              <w:t>70</w:t>
            </w:r>
          </w:p>
        </w:tc>
      </w:tr>
      <w:tr>
        <w:tc>
          <w:tcPr>
            <w:tcW w:type="dxa" w:w="4032"/>
            <w:vAlign w:val="center"/>
          </w:tcPr>
          <w:p>
            <w:pPr>
              <w:spacing w:after="0" w:before="0"/>
              <w:jc w:val="left"/>
            </w:pPr>
            <w:r/>
            <w:r>
              <w:rPr>
                <w:rFonts w:ascii="Times New Roman" w:hAnsi="Times New Roman" w:eastAsia="Times New Roman"/>
                <w:b w:val="0"/>
                <w:i w:val="0"/>
                <w:sz w:val="20"/>
              </w:rPr>
              <w:t>PatentMismatch</w:t>
            </w:r>
          </w:p>
        </w:tc>
        <w:tc>
          <w:tcPr>
            <w:tcW w:type="dxa" w:w="2232"/>
            <w:vAlign w:val="center"/>
          </w:tcPr>
          <w:p>
            <w:pPr>
              <w:spacing w:after="0" w:before="0"/>
              <w:jc w:val="center"/>
            </w:pPr>
            <w:r/>
            <w:r>
              <w:rPr>
                <w:rFonts w:ascii="Times New Roman" w:hAnsi="Times New Roman" w:eastAsia="Times New Roman"/>
                <w:b w:val="0"/>
                <w:i w:val="0"/>
                <w:sz w:val="20"/>
              </w:rPr>
              <w:t>-0.1935*** (0.0684)</w:t>
            </w:r>
          </w:p>
        </w:tc>
        <w:tc>
          <w:tcPr>
            <w:tcW w:type="dxa" w:w="2232"/>
            <w:vAlign w:val="center"/>
          </w:tcPr>
          <w:p>
            <w:pPr>
              <w:spacing w:after="0" w:before="0"/>
              <w:jc w:val="center"/>
            </w:pPr>
            <w:r/>
            <w:r>
              <w:rPr>
                <w:rFonts w:ascii="Times New Roman" w:hAnsi="Times New Roman" w:eastAsia="Times New Roman"/>
                <w:b w:val="0"/>
                <w:i w:val="0"/>
                <w:sz w:val="20"/>
              </w:rPr>
              <w:t>-0.0429 (0.0516)</w:t>
            </w:r>
          </w:p>
        </w:tc>
        <w:tc>
          <w:tcPr>
            <w:tcW w:type="dxa" w:w="2232"/>
            <w:vAlign w:val="center"/>
          </w:tcPr>
          <w:p>
            <w:pPr>
              <w:spacing w:after="0" w:before="0"/>
              <w:jc w:val="center"/>
            </w:pPr>
            <w:r/>
            <w:r>
              <w:rPr>
                <w:rFonts w:ascii="Times New Roman" w:hAnsi="Times New Roman" w:eastAsia="Times New Roman"/>
                <w:b w:val="0"/>
                <w:i w:val="0"/>
                <w:sz w:val="20"/>
              </w:rPr>
              <w:t>-0.1143* (0.0629)</w:t>
            </w:r>
          </w:p>
        </w:tc>
        <w:tc>
          <w:tcPr>
            <w:tcW w:type="dxa" w:w="2232"/>
            <w:vAlign w:val="center"/>
          </w:tcPr>
          <w:p>
            <w:pPr>
              <w:spacing w:after="0" w:before="0"/>
              <w:jc w:val="center"/>
            </w:pPr>
            <w:r/>
            <w:r>
              <w:rPr>
                <w:rFonts w:ascii="Times New Roman" w:hAnsi="Times New Roman" w:eastAsia="Times New Roman"/>
                <w:b w:val="0"/>
                <w:i w:val="0"/>
                <w:sz w:val="20"/>
              </w:rPr>
              <w:t>-0.1207* (0.0699)</w:t>
            </w:r>
          </w:p>
        </w:tc>
        <w:tc>
          <w:tcPr>
            <w:tcW w:type="dxa" w:w="2232"/>
            <w:vAlign w:val="center"/>
          </w:tcPr>
          <w:p>
            <w:pPr>
              <w:spacing w:after="0" w:before="0"/>
              <w:jc w:val="center"/>
            </w:pPr>
            <w:r/>
            <w:r>
              <w:rPr>
                <w:rFonts w:ascii="Times New Roman" w:hAnsi="Times New Roman" w:eastAsia="Times New Roman"/>
                <w:b w:val="0"/>
                <w:i w:val="0"/>
                <w:sz w:val="20"/>
              </w:rPr>
              <w:t>0.4143</w:t>
            </w:r>
          </w:p>
        </w:tc>
        <w:tc>
          <w:tcPr>
            <w:tcW w:type="dxa" w:w="2232"/>
            <w:vAlign w:val="center"/>
          </w:tcPr>
          <w:p>
            <w:pPr>
              <w:spacing w:after="0" w:before="0"/>
              <w:jc w:val="center"/>
            </w:pPr>
            <w:r/>
            <w:r>
              <w:rPr>
                <w:rFonts w:ascii="Times New Roman" w:hAnsi="Times New Roman" w:eastAsia="Times New Roman"/>
                <w:b w:val="0"/>
                <w:i w:val="0"/>
                <w:sz w:val="20"/>
              </w:rPr>
              <w:t>70</w:t>
            </w:r>
          </w:p>
        </w:tc>
      </w:tr>
      <w:tr>
        <w:tc>
          <w:tcPr>
            <w:tcW w:type="dxa" w:w="4032"/>
            <w:vAlign w:val="center"/>
            <w:tcBorders>
              <w:bottom w:val="single" w:sz="8" w:space="0" w:color="000000"/>
            </w:tcBorders>
          </w:tcPr>
          <w:p>
            <w:pPr>
              <w:spacing w:after="0" w:before="0"/>
              <w:jc w:val="left"/>
            </w:pPr>
            <w:r/>
            <w:r>
              <w:rPr>
                <w:rFonts w:ascii="Times New Roman" w:hAnsi="Times New Roman" w:eastAsia="Times New Roman"/>
                <w:b w:val="0"/>
                <w:i w:val="0"/>
                <w:sz w:val="20"/>
              </w:rPr>
              <w:t>AI Focus</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-0.5977*** (0.0920)</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0.1993** (0.0794)</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0.5344*** (0.0964)</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0.5574*** (0.1409)</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1.4720</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70</w:t>
            </w:r>
          </w:p>
        </w:tc>
      </w:tr>
    </w:tbl>
    <w:p/>
    <w:p>
      <w:r>
        <w:t>Panel B. First AI-related SEC comment letter (active AI disclosers)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2016"/>
        <w:gridCol w:w="2016"/>
        <w:gridCol w:w="2016"/>
        <w:gridCol w:w="2016"/>
        <w:gridCol w:w="2016"/>
        <w:gridCol w:w="2016"/>
      </w:tblGrid>
      <w:tr>
        <w:tc>
          <w:tcPr>
            <w:tcW w:type="dxa" w:w="4032"/>
            <w:vAlign w:val="center"/>
            <w:tcBorders>
              <w:top w:val="single" w:sz="8" w:space="0" w:color="000000"/>
              <w:bottom w:val="single" w:sz="8" w:space="0" w:color="000000"/>
            </w:tcBorders>
          </w:tcPr>
          <w:p>
            <w:pPr>
              <w:spacing w:after="0" w:before="0"/>
              <w:jc w:val="left"/>
            </w:pPr>
            <w:r/>
            <w:r>
              <w:rPr>
                <w:rFonts w:ascii="Times New Roman" w:hAnsi="Times New Roman" w:eastAsia="Times New Roman"/>
                <w:b/>
                <w:i w:val="0"/>
                <w:sz w:val="20"/>
              </w:rPr>
              <w:t>Outcome</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t-2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t+1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t+2 vs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Pre mean (t-1)</w:t>
            </w:r>
          </w:p>
        </w:tc>
        <w:tc>
          <w:tcPr>
            <w:tcW w:type="dxa" w:w="2232"/>
            <w:vAlign w:val="center"/>
            <w:tcBorders>
              <w:top w:val="single" w:sz="8" w:space="0" w:color="000000"/>
              <w:bottom w:val="single" w:sz="8" w:space="0" w:color="000000"/>
            </w:tcBorders>
          </w:tcPr>
          <w:p>
            <w:pPr>
              <w:spacing w:after="0" w:before="0"/>
              <w:jc w:val="center"/>
            </w:pPr>
            <w:r/>
            <w:r>
              <w:rPr>
                <w:rFonts w:ascii="Times New Roman" w:hAnsi="Times New Roman" w:eastAsia="Times New Roman"/>
                <w:b/>
                <w:i w:val="0"/>
                <w:sz w:val="20"/>
              </w:rPr>
              <w:t>N firms</w:t>
            </w:r>
          </w:p>
        </w:tc>
      </w:tr>
      <w:tr>
        <w:tc>
          <w:tcPr>
            <w:tcW w:type="dxa" w:w="4032"/>
            <w:vAlign w:val="center"/>
          </w:tcPr>
          <w:p>
            <w:pPr>
              <w:spacing w:after="0" w:before="0"/>
              <w:jc w:val="left"/>
            </w:pPr>
            <w:r/>
            <w:r>
              <w:rPr>
                <w:rFonts w:ascii="Times New Roman" w:hAnsi="Times New Roman" w:eastAsia="Times New Roman"/>
                <w:b w:val="0"/>
                <w:i w:val="0"/>
                <w:sz w:val="20"/>
              </w:rPr>
              <w:t>Speculative share</w:t>
            </w:r>
          </w:p>
        </w:tc>
        <w:tc>
          <w:tcPr>
            <w:tcW w:type="dxa" w:w="2232"/>
            <w:vAlign w:val="center"/>
          </w:tcPr>
          <w:p>
            <w:pPr>
              <w:spacing w:after="0" w:before="0"/>
              <w:jc w:val="center"/>
            </w:pPr>
            <w:r/>
            <w:r>
              <w:rPr>
                <w:rFonts w:ascii="Times New Roman" w:hAnsi="Times New Roman" w:eastAsia="Times New Roman"/>
                <w:b w:val="0"/>
                <w:i w:val="0"/>
                <w:sz w:val="20"/>
              </w:rPr>
              <w:t>-0.0097 (0.0750)</w:t>
            </w:r>
          </w:p>
        </w:tc>
        <w:tc>
          <w:tcPr>
            <w:tcW w:type="dxa" w:w="2232"/>
            <w:vAlign w:val="center"/>
          </w:tcPr>
          <w:p>
            <w:pPr>
              <w:spacing w:after="0" w:before="0"/>
              <w:jc w:val="center"/>
            </w:pPr>
            <w:r/>
            <w:r>
              <w:rPr>
                <w:rFonts w:ascii="Times New Roman" w:hAnsi="Times New Roman" w:eastAsia="Times New Roman"/>
                <w:b w:val="0"/>
                <w:i w:val="0"/>
                <w:sz w:val="20"/>
              </w:rPr>
              <w:t>0.0241 (0.0543)</w:t>
            </w:r>
          </w:p>
        </w:tc>
        <w:tc>
          <w:tcPr>
            <w:tcW w:type="dxa" w:w="2232"/>
            <w:vAlign w:val="center"/>
          </w:tcPr>
          <w:p>
            <w:pPr>
              <w:spacing w:after="0" w:before="0"/>
              <w:jc w:val="center"/>
            </w:pPr>
            <w:r/>
            <w:r>
              <w:rPr>
                <w:rFonts w:ascii="Times New Roman" w:hAnsi="Times New Roman" w:eastAsia="Times New Roman"/>
                <w:b w:val="0"/>
                <w:i w:val="0"/>
                <w:sz w:val="20"/>
              </w:rPr>
              <w:t>0.1360 (0.1034)</w:t>
            </w:r>
          </w:p>
        </w:tc>
        <w:tc>
          <w:tcPr>
            <w:tcW w:type="dxa" w:w="2232"/>
            <w:vAlign w:val="center"/>
          </w:tcPr>
          <w:p>
            <w:pPr>
              <w:spacing w:after="0" w:before="0"/>
              <w:jc w:val="center"/>
            </w:pPr>
            <w:r/>
            <w:r>
              <w:rPr>
                <w:rFonts w:ascii="Times New Roman" w:hAnsi="Times New Roman" w:eastAsia="Times New Roman"/>
                <w:b w:val="0"/>
                <w:i w:val="0"/>
                <w:sz w:val="20"/>
              </w:rPr>
              <w:t>0.0697 (0.1369)</w:t>
            </w:r>
          </w:p>
        </w:tc>
        <w:tc>
          <w:tcPr>
            <w:tcW w:type="dxa" w:w="2232"/>
            <w:vAlign w:val="center"/>
          </w:tcPr>
          <w:p>
            <w:pPr>
              <w:spacing w:after="0" w:before="0"/>
              <w:jc w:val="center"/>
            </w:pPr>
            <w:r/>
            <w:r>
              <w:rPr>
                <w:rFonts w:ascii="Times New Roman" w:hAnsi="Times New Roman" w:eastAsia="Times New Roman"/>
                <w:b w:val="0"/>
                <w:i w:val="0"/>
                <w:sz w:val="20"/>
              </w:rPr>
              <w:t>0.1471</w:t>
            </w:r>
          </w:p>
        </w:tc>
        <w:tc>
          <w:tcPr>
            <w:tcW w:type="dxa" w:w="2232"/>
            <w:vAlign w:val="center"/>
          </w:tcPr>
          <w:p>
            <w:pPr>
              <w:spacing w:after="0" w:before="0"/>
              <w:jc w:val="center"/>
            </w:pPr>
            <w:r/>
            <w:r>
              <w:rPr>
                <w:rFonts w:ascii="Times New Roman" w:hAnsi="Times New Roman" w:eastAsia="Times New Roman"/>
                <w:b w:val="0"/>
                <w:i w:val="0"/>
                <w:sz w:val="20"/>
              </w:rPr>
              <w:t>11</w:t>
            </w:r>
          </w:p>
        </w:tc>
      </w:tr>
      <w:tr>
        <w:tc>
          <w:tcPr>
            <w:tcW w:type="dxa" w:w="4032"/>
            <w:vAlign w:val="center"/>
          </w:tcPr>
          <w:p>
            <w:pPr>
              <w:spacing w:after="0" w:before="0"/>
              <w:jc w:val="left"/>
            </w:pPr>
            <w:r/>
            <w:r>
              <w:rPr>
                <w:rFonts w:ascii="Times New Roman" w:hAnsi="Times New Roman" w:eastAsia="Times New Roman"/>
                <w:b w:val="0"/>
                <w:i w:val="0"/>
                <w:sz w:val="20"/>
              </w:rPr>
              <w:t>A/S ratio</w:t>
            </w:r>
          </w:p>
        </w:tc>
        <w:tc>
          <w:tcPr>
            <w:tcW w:type="dxa" w:w="2232"/>
            <w:vAlign w:val="center"/>
          </w:tcPr>
          <w:p>
            <w:pPr>
              <w:spacing w:after="0" w:before="0"/>
              <w:jc w:val="center"/>
            </w:pPr>
            <w:r/>
            <w:r>
              <w:rPr>
                <w:rFonts w:ascii="Times New Roman" w:hAnsi="Times New Roman" w:eastAsia="Times New Roman"/>
                <w:b w:val="0"/>
                <w:i w:val="0"/>
                <w:sz w:val="20"/>
              </w:rPr>
              <w:t>-0.1434 (0.1171)</w:t>
            </w:r>
          </w:p>
        </w:tc>
        <w:tc>
          <w:tcPr>
            <w:tcW w:type="dxa" w:w="2232"/>
            <w:vAlign w:val="center"/>
          </w:tcPr>
          <w:p>
            <w:pPr>
              <w:spacing w:after="0" w:before="0"/>
              <w:jc w:val="center"/>
            </w:pPr>
            <w:r/>
            <w:r>
              <w:rPr>
                <w:rFonts w:ascii="Times New Roman" w:hAnsi="Times New Roman" w:eastAsia="Times New Roman"/>
                <w:b w:val="0"/>
                <w:i w:val="0"/>
                <w:sz w:val="20"/>
              </w:rPr>
              <w:t>0.1883 (0.1213)</w:t>
            </w:r>
          </w:p>
        </w:tc>
        <w:tc>
          <w:tcPr>
            <w:tcW w:type="dxa" w:w="2232"/>
            <w:vAlign w:val="center"/>
          </w:tcPr>
          <w:p>
            <w:pPr>
              <w:spacing w:after="0" w:before="0"/>
              <w:jc w:val="center"/>
            </w:pPr>
            <w:r/>
            <w:r>
              <w:rPr>
                <w:rFonts w:ascii="Times New Roman" w:hAnsi="Times New Roman" w:eastAsia="Times New Roman"/>
                <w:b w:val="0"/>
                <w:i w:val="0"/>
                <w:sz w:val="20"/>
              </w:rPr>
              <w:t>-0.0054 (0.1842)</w:t>
            </w:r>
          </w:p>
        </w:tc>
        <w:tc>
          <w:tcPr>
            <w:tcW w:type="dxa" w:w="2232"/>
            <w:vAlign w:val="center"/>
          </w:tcPr>
          <w:p>
            <w:pPr>
              <w:spacing w:after="0" w:before="0"/>
              <w:jc w:val="center"/>
            </w:pPr>
            <w:r/>
            <w:r>
              <w:rPr>
                <w:rFonts w:ascii="Times New Roman" w:hAnsi="Times New Roman" w:eastAsia="Times New Roman"/>
                <w:b w:val="0"/>
                <w:i w:val="0"/>
                <w:sz w:val="20"/>
              </w:rPr>
              <w:t>0.1767 (0.2122)</w:t>
            </w:r>
          </w:p>
        </w:tc>
        <w:tc>
          <w:tcPr>
            <w:tcW w:type="dxa" w:w="2232"/>
            <w:vAlign w:val="center"/>
          </w:tcPr>
          <w:p>
            <w:pPr>
              <w:spacing w:after="0" w:before="0"/>
              <w:jc w:val="center"/>
            </w:pPr>
            <w:r/>
            <w:r>
              <w:rPr>
                <w:rFonts w:ascii="Times New Roman" w:hAnsi="Times New Roman" w:eastAsia="Times New Roman"/>
                <w:b w:val="0"/>
                <w:i w:val="0"/>
                <w:sz w:val="20"/>
              </w:rPr>
              <w:t>0.8552</w:t>
            </w:r>
          </w:p>
        </w:tc>
        <w:tc>
          <w:tcPr>
            <w:tcW w:type="dxa" w:w="2232"/>
            <w:vAlign w:val="center"/>
          </w:tcPr>
          <w:p>
            <w:pPr>
              <w:spacing w:after="0" w:before="0"/>
              <w:jc w:val="center"/>
            </w:pPr>
            <w:r/>
            <w:r>
              <w:rPr>
                <w:rFonts w:ascii="Times New Roman" w:hAnsi="Times New Roman" w:eastAsia="Times New Roman"/>
                <w:b w:val="0"/>
                <w:i w:val="0"/>
                <w:sz w:val="20"/>
              </w:rPr>
              <w:t>11</w:t>
            </w:r>
          </w:p>
        </w:tc>
      </w:tr>
      <w:tr>
        <w:tc>
          <w:tcPr>
            <w:tcW w:type="dxa" w:w="4032"/>
            <w:vAlign w:val="center"/>
          </w:tcPr>
          <w:p>
            <w:pPr>
              <w:spacing w:after="0" w:before="0"/>
              <w:jc w:val="left"/>
            </w:pPr>
            <w:r/>
            <w:r>
              <w:rPr>
                <w:rFonts w:ascii="Times New Roman" w:hAnsi="Times New Roman" w:eastAsia="Times New Roman"/>
                <w:b w:val="0"/>
                <w:i w:val="0"/>
                <w:sz w:val="20"/>
              </w:rPr>
              <w:t>PatentMismatch</w:t>
            </w:r>
          </w:p>
        </w:tc>
        <w:tc>
          <w:tcPr>
            <w:tcW w:type="dxa" w:w="2232"/>
            <w:vAlign w:val="center"/>
          </w:tcPr>
          <w:p>
            <w:pPr>
              <w:spacing w:after="0" w:before="0"/>
              <w:jc w:val="center"/>
            </w:pPr>
            <w:r/>
            <w:r>
              <w:rPr>
                <w:rFonts w:ascii="Times New Roman" w:hAnsi="Times New Roman" w:eastAsia="Times New Roman"/>
                <w:b w:val="0"/>
                <w:i w:val="0"/>
                <w:sz w:val="20"/>
              </w:rPr>
              <w:t>-0.0909 (0.2113)</w:t>
            </w:r>
          </w:p>
        </w:tc>
        <w:tc>
          <w:tcPr>
            <w:tcW w:type="dxa" w:w="2232"/>
            <w:vAlign w:val="center"/>
          </w:tcPr>
          <w:p>
            <w:pPr>
              <w:spacing w:after="0" w:before="0"/>
              <w:jc w:val="center"/>
            </w:pPr>
            <w:r/>
            <w:r>
              <w:rPr>
                <w:rFonts w:ascii="Times New Roman" w:hAnsi="Times New Roman" w:eastAsia="Times New Roman"/>
                <w:b w:val="0"/>
                <w:i w:val="0"/>
                <w:sz w:val="20"/>
              </w:rPr>
              <w:t>0.0909 (0.0909)</w:t>
            </w:r>
          </w:p>
        </w:tc>
        <w:tc>
          <w:tcPr>
            <w:tcW w:type="dxa" w:w="2232"/>
            <w:vAlign w:val="center"/>
          </w:tcPr>
          <w:p>
            <w:pPr>
              <w:spacing w:after="0" w:before="0"/>
              <w:jc w:val="center"/>
            </w:pPr>
            <w:r/>
            <w:r>
              <w:rPr>
                <w:rFonts w:ascii="Times New Roman" w:hAnsi="Times New Roman" w:eastAsia="Times New Roman"/>
                <w:b w:val="0"/>
                <w:i w:val="0"/>
                <w:sz w:val="20"/>
              </w:rPr>
              <w:t>0.2727* (0.1408)</w:t>
            </w:r>
          </w:p>
        </w:tc>
        <w:tc>
          <w:tcPr>
            <w:tcW w:type="dxa" w:w="2232"/>
            <w:vAlign w:val="center"/>
          </w:tcPr>
          <w:p>
            <w:pPr>
              <w:spacing w:after="0" w:before="0"/>
              <w:jc w:val="center"/>
            </w:pPr>
            <w:r/>
            <w:r>
              <w:rPr>
                <w:rFonts w:ascii="Times New Roman" w:hAnsi="Times New Roman" w:eastAsia="Times New Roman"/>
                <w:b w:val="0"/>
                <w:i w:val="0"/>
                <w:sz w:val="20"/>
              </w:rPr>
              <w:t>0.1250 (0.2266)</w:t>
            </w:r>
          </w:p>
        </w:tc>
        <w:tc>
          <w:tcPr>
            <w:tcW w:type="dxa" w:w="2232"/>
            <w:vAlign w:val="center"/>
          </w:tcPr>
          <w:p>
            <w:pPr>
              <w:spacing w:after="0" w:before="0"/>
              <w:jc w:val="center"/>
            </w:pPr>
            <w:r/>
            <w:r>
              <w:rPr>
                <w:rFonts w:ascii="Times New Roman" w:hAnsi="Times New Roman" w:eastAsia="Times New Roman"/>
                <w:b w:val="0"/>
                <w:i w:val="0"/>
                <w:sz w:val="20"/>
              </w:rPr>
              <w:t>0.2727</w:t>
            </w:r>
          </w:p>
        </w:tc>
        <w:tc>
          <w:tcPr>
            <w:tcW w:type="dxa" w:w="2232"/>
            <w:vAlign w:val="center"/>
          </w:tcPr>
          <w:p>
            <w:pPr>
              <w:spacing w:after="0" w:before="0"/>
              <w:jc w:val="center"/>
            </w:pPr>
            <w:r/>
            <w:r>
              <w:rPr>
                <w:rFonts w:ascii="Times New Roman" w:hAnsi="Times New Roman" w:eastAsia="Times New Roman"/>
                <w:b w:val="0"/>
                <w:i w:val="0"/>
                <w:sz w:val="20"/>
              </w:rPr>
              <w:t>11</w:t>
            </w:r>
          </w:p>
        </w:tc>
      </w:tr>
      <w:tr>
        <w:tc>
          <w:tcPr>
            <w:tcW w:type="dxa" w:w="4032"/>
            <w:vAlign w:val="center"/>
            <w:tcBorders>
              <w:bottom w:val="single" w:sz="8" w:space="0" w:color="000000"/>
            </w:tcBorders>
          </w:tcPr>
          <w:p>
            <w:pPr>
              <w:spacing w:after="0" w:before="0"/>
              <w:jc w:val="left"/>
            </w:pPr>
            <w:r/>
            <w:r>
              <w:rPr>
                <w:rFonts w:ascii="Times New Roman" w:hAnsi="Times New Roman" w:eastAsia="Times New Roman"/>
                <w:b w:val="0"/>
                <w:i w:val="0"/>
                <w:sz w:val="20"/>
              </w:rPr>
              <w:t>AI Focus</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-0.4144** (0.1367)</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0.6666*** (0.1303)</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0.8162** (0.3076)</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1.1843** (0.3764)</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2.0795</w:t>
            </w:r>
          </w:p>
        </w:tc>
        <w:tc>
          <w:tcPr>
            <w:tcW w:type="dxa" w:w="2232"/>
            <w:vAlign w:val="center"/>
            <w:tcBorders>
              <w:bottom w:val="single" w:sz="8" w:space="0" w:color="000000"/>
            </w:tcBorders>
          </w:tcPr>
          <w:p>
            <w:pPr>
              <w:spacing w:after="0" w:before="0"/>
              <w:jc w:val="center"/>
            </w:pPr>
            <w:r/>
            <w:r>
              <w:rPr>
                <w:rFonts w:ascii="Times New Roman" w:hAnsi="Times New Roman" w:eastAsia="Times New Roman"/>
                <w:b w:val="0"/>
                <w:i w:val="0"/>
                <w:sz w:val="20"/>
              </w:rPr>
              <w:t>11</w:t>
            </w:r>
          </w:p>
        </w:tc>
      </w:tr>
    </w:tbl>
    <w:p/>
    <w:p>
      <w:pPr>
        <w:spacing w:after="160"/>
        <w:jc w:val="both"/>
      </w:pPr>
      <w:r>
        <w:rPr>
          <w:rFonts w:ascii="Times New Roman" w:hAnsi="Times New Roman" w:eastAsia="Times New Roman"/>
          <w:b w:val="0"/>
          <w:i w:val="0"/>
          <w:sz w:val="21"/>
        </w:rPr>
        <w:t>Each cell reports a mean paired difference relative to `t-1`; standard errors use the cross-firm paired-difference standard error. The AI-related comment-letter panel is a pilot because the targeted event count is small.</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