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Test 29. SEC AI-washing enforcement salience DID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asks whether firms already exposed to low-credibility AI disclosure risk before 2024 shift their disclosure composition after the SEC's March 18, 2024 AI-washing enforcement actions and related public statements.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Treatment is fixed using 2022 AI-talking firms. Main treated firms = 457; low-credibility treated firms = 587; application-mismatch treated firms = 468.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Analysis sample = 8,055 firm-years across 1,611 firms over 2021-2025.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Panel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/ treatment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Post-2024 DID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2023 placebo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Outcome mean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Observations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A. Enforcement-salience DID using mismatch exposure in 2022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Speculative share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-0.0839*** (0.0184)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-0.1224*** (0.0187)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0.160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5663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A/S ratio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0.2907*** (0.0345)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0.3314*** (0.0315)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0.939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5663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PatentMismatch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-0.3121*** (0.0288)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-0.4305*** (0.0284)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0.261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5663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Focus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-0.1044 (0.0653)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0.0118 (0.0495)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1.850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5663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Panel B. Alternative exposure definitions on core disclosure outcomes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LowCredibility in 2022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-0.1215*** (0.0166)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0.3368*** (0.0331)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-0.2606*** (0.0259)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587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ApplicationMismatch in 2022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-0.1042*** (0.0185)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0.3155*** (0.0344)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-0.2634*** (0.0290)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468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