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Test 30. Capital-raising timing and disclosure opportunism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studies whether low-credibility AI disclosure intensifies around first large equity-issuance windows. Event year 0 is the disclosure year before an issuance episode, defined using next-year shares-outstanding growth.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First issue-event firms = 2,105; active AI issue-event firms = 367; non-big active issue-event firms = 251.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Issue&gt;5% uses next-year CRSP shrout growth above 5%.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Panel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Event year vs. t-1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t+1 vs. event year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t+2 vs. event year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Event-year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firms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A. First large equity issue among active AI issuers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LowCredibility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0.2334*** (0.0294)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-0.1063*** (0.0233)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-0.1499*** (0.0297)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0.4741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0.1816*** (0.0276)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-0.0790*** (0.0242)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-0.1008*** (0.0288)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0.3597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0.1787*** (0.0269)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-0.0926*** (0.0242)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-0.1144*** (0.0285)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0.3678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Speculative share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0.1187*** (0.0158)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-0.0177 (0.0118)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-0.0212 (0.0160)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0.1813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 Focus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1.0051*** (0.0545)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0.3962*** (0.0410)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0.4644*** (0.0592)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1.6775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B. Non-big first-issue AI issuers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LowCredibility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0.2250*** (0.0344)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-0.0956*** (0.0276)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-0.1355*** (0.0360)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0.4382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0.1875*** (0.0335)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-0.0797*** (0.0289)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-0.1076*** (0.0348)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0.3705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0.1708*** (0.0323)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-0.0797*** (0.0289)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-0.1036*** (0.0342)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0.3586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Speculative share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0.1231*** (0.0189)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-0.0171 (0.0144)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-0.0305 (0.0190)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0.1832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 Focus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1.0540*** (0.0663)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0.3882*** (0.0507)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0.4174*** (0.0766)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1.6373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251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