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Test 32. Market reactions in capital-raising windows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asks whether filing-year market reactions look different when firms are in capital-raising windows. The issue-window flag is imported from the annual panel and linked to the filing-event sample at the firm-year level.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Issue-window rule: IssueWindow equals one when next-year CRSP shrout growth exceeds 5%. Issue-eligible filing-year rows = 4,455; issue-window rows = 1,138.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Panel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 × IssueWindow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LowCredibility × IssueWindow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ApplicationMismatch × IssueWindow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Baseline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IssueWindow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A. Filing-year market reactions in all issue-eligible firms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CAR[-1,+1]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0.0058 (0.0089)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0.0074 (0.0085)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0.0046 (0.0088)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-0.0009 (0.0039)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-0.0055 (0.0055)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4378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BHAR[+2,+63]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0.0716** (0.0346)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0.0577* (0.0313)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0.0526 (0.0341)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-0.0272*** (0.0095)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0.0279 (0.0174)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4376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BHAR[+2,+252]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0.3885 (0.2433)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0.2496 (0.1922)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0.3498 (0.2353)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0.0094 (0.0242)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0.1729*** (0.0548)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4360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B. Filing-year market reactions in non-big firms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CAR[-1,+1]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0.0090 (0.0136)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0.0163 (0.0134)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0.0095 (0.0134)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-0.0014 (0.0080)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-0.0054 (0.0086)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2024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BHAR[+2,+63]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0.0918* (0.0504)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0.1139** (0.0456)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0.0823* (0.0487)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-0.0353** (0.0176)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0.0282 (0.0241)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2023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BHAR[+2,+252]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0.4976 (0.3488)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0.3805 (0.2888)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0.4766 (0.3324)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0.0398 (0.0427)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0.1883** (0.0747)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-0.119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2009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