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906"/>
      </w:tblGrid>
      <w:tr>
        <w:trPr>
          <w:trHeight w:val="920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0"/>
              <w:left w:type="dxa" w:w="1134"/>
              <w:bottom w:type="dxa" w:w="900"/>
              <w:right w:type="dxa" w:w="1134"/>
            </w:tcMar>
            <w:vAlign w:val="bottom"/>
          </w:tcPr>
          <w:p>
            <w:pPr>
              <w:bidi/>
              <w:spacing w:after="240" w:line="360" w:lineRule="auto"/>
            </w:pPr>
            <w:r>
              <w:rPr>
                <w:rFonts w:ascii="Segoe UI" w:cs="Segoe UI" w:eastAsia="Segoe UI" w:hAnsi="Segoe UI"/>
                <w:b/>
                <w:bCs/>
                <w:color w:val="7FD6CB"/>
                <w:sz w:val="24"/>
                <w:szCs w:val="24"/>
                <w:rtl/>
              </w:rPr>
              <w:t xml:space="preserve">امکان‌سنجی</w:t>
            </w:r>
          </w:p>
          <w:p>
            <w:pPr>
              <w:pBdr>
                <w:bottom w:val="single" w:color="2A9D8F" w:sz="18" w:space="14"/>
              </w:pBdr>
              <w:bidi/>
              <w:spacing w:after="280" w:line="42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66"/>
                <w:szCs w:val="66"/>
                <w:rtl/>
              </w:rPr>
              <w:t xml:space="preserve">امکان‌سنجی و برآورد اندازه بازار</w:t>
            </w:r>
          </w:p>
          <w:p>
            <w:pPr>
              <w:bidi/>
              <w:spacing w:after="0" w:line="380" w:lineRule="auto"/>
            </w:pPr>
            <w:r>
              <w:rPr>
                <w:rFonts w:ascii="Segoe UI" w:cs="Segoe UI" w:eastAsia="Segoe UI" w:hAnsi="Segoe UI"/>
                <w:color w:val="C9D6E6"/>
                <w:sz w:val="26"/>
                <w:szCs w:val="26"/>
                <w:rtl/>
              </w:rPr>
              <w:t xml:space="preserve">[نام طرح یا کسب‌وکار]</w:t>
            </w:r>
          </w:p>
        </w:tc>
      </w:tr>
      <w:tr>
        <w:trPr>
          <w:trHeight w:val="240" w:hRule="exact"/>
        </w:trPr>
        <w:tc>
          <w:tcPr>
            <w:tcW w:type="dxa" w:w="11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A9D8F" w:color="auto" w:val="clear"/>
          </w:tcPr>
          <w:p/>
        </w:tc>
      </w:tr>
    </w:tbl>
    <w:p>
      <w:pPr>
        <w:spacing w:after="500"/>
      </w:pPr>
    </w:p>
    <w:tbl>
      <w:tblPr>
        <w:bidiVisual/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34"/>
        <w:gridCol w:w="2300"/>
        <w:gridCol w:w="7338"/>
        <w:gridCol w:w="1134"/>
      </w:tblGrid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عنوان پروژه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[نام پروژه]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تهیه‌کننده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[نام تیم]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تاریخ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[تاریخ]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نسخه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[۱٫۰]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trHeight w:val="640"/>
        </w:trPr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b/>
                <w:bCs/>
                <w:color w:val="2A9D8F"/>
                <w:sz w:val="20"/>
                <w:szCs w:val="20"/>
                <w:rtl/>
              </w:rPr>
              <w:t xml:space="preserve">سطح محرمانگی</w:t>
            </w:r>
          </w:p>
        </w:tc>
        <w:tc>
          <w:tcPr>
            <w:tcW w:type="dxa" w:w="7338"/>
            <w:tcBorders>
              <w:top w:val="none" w:color="FFFFFF" w:sz="0"/>
              <w:left w:val="none" w:color="FFFFFF" w:sz="0"/>
              <w:bottom w:val="single" w:color="D5DBE3" w:sz="4"/>
              <w:right w:val="none" w:color="FFFFFF" w:sz="0"/>
            </w:tcBorders>
            <w:vAlign w:val="center"/>
          </w:tcPr>
          <w:p>
            <w:pPr>
              <w:bidi/>
            </w:pPr>
            <w:r>
              <w:rPr>
                <w:rFonts w:ascii="Segoe UI" w:cs="Segoe UI" w:eastAsia="Segoe UI" w:hAnsi="Segoe UI"/>
                <w:color w:val="2B2F36"/>
                <w:sz w:val="21"/>
                <w:szCs w:val="21"/>
                <w:rtl/>
              </w:rPr>
              <w:t xml:space="preserve">محرمانه — فقط برای استفاده داخلی</w:t>
            </w:r>
          </w:p>
        </w:tc>
        <w:tc>
          <w:tcPr>
            <w:tcW w:type="dxa" w:w="113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</w:tbl>
    <w:p/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TOCTitle"/>
        <w:bidi/>
      </w:pPr>
      <w:r>
        <w:rPr>
          <w:rFonts w:ascii="Segoe UI" w:cs="Segoe UI" w:eastAsia="Segoe UI" w:hAnsi="Segoe UI"/>
          <w:b/>
          <w:bCs/>
          <w:color w:val="1F3A5F"/>
          <w:sz w:val="38"/>
          <w:szCs w:val="38"/>
          <w:rtl/>
        </w:rPr>
        <w:t xml:space="preserve">فهرست مطالب</w:t>
      </w:r>
    </w:p>
    <w:sdt>
      <w:sdtPr>
        <w:alias w:val="فهرست مطالب"/>
      </w:sdtPr>
      <w:sdtContent>
        <w:p>
          <w:pPr>
            <w:pStyle w:val="TOC1"/>
            <w:tabs>
              <w:tab w:val="right" w:leader="dot" w:pos="9638"/>
            </w:tabs>
            <w:bidi/>
          </w:pPr>
          <w:r>
            <w:fldChar w:fldCharType="begin"/>
          </w:r>
          <w:r>
            <w:instrText xml:space="preserve">TOC \h \o "1-2"</w:instrText>
          </w:r>
          <w:r>
            <w:fldChar w:fldCharType="separate"/>
          </w:r>
          <w:r>
            <w:rPr>
              <w:rFonts w:ascii="Segoe UI" w:hAnsi="Segoe UI" w:cs="Segoe UI"/>
              <w:rtl/>
            </w:rPr>
            <w:t xml:space="preserve">۱. خلاصه تصمیم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۳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۲. برآورد اندازه بازار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۳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۳. مفروضات کلیدی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۴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۴. پیش‌بینی مالی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۵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۵. تحلیل نقطه سربه‌سر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۶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۶. ریسک‌ها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۶</w:t>
          </w:r>
        </w:p>
        <w:p>
          <w:pPr>
            <w:pStyle w:val="TOC1"/>
            <w:tabs>
              <w:tab w:val="right" w:leader="dot" w:pos="9638"/>
            </w:tabs>
            <w:bidi/>
          </w:pPr>
          <w:r>
            <w:rPr>
              <w:rFonts w:ascii="Segoe UI" w:hAnsi="Segoe UI" w:cs="Segoe UI"/>
              <w:rtl/>
            </w:rPr>
            <w:t xml:space="preserve">۷. نقشه راه اجرا</w:t>
          </w:r>
          <w:r>
            <w:rPr>
              <w:rFonts w:ascii="Segoe UI" w:hAnsi="Segoe UI" w:cs="Segoe UI"/>
              <w:rtl/>
            </w:rPr>
            <w:tab/>
          </w:r>
          <w:r>
            <w:rPr>
              <w:rFonts w:ascii="Segoe UI" w:hAnsi="Segoe UI" w:cs="Segoe UI"/>
              <w:rtl/>
            </w:rPr>
            <w:t>۷</w:t>
          </w:r>
          <w:r>
            <w:fldChar w:fldCharType="end"/>
          </w:r>
        </w:p>
      </w:sdtContent>
    </w:sdt>
    <w:p>
      <w:pPr>
        <w:spacing w:after="200"/>
      </w:pP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i/>
          <w:iCs/>
          <w:color w:val="8A94A3"/>
          <w:sz w:val="18"/>
          <w:szCs w:val="18"/>
          <w:rtl/>
        </w:rPr>
        <w:t xml:space="preserve">[برای به‌روزرسانی فهرست: روی آن راست‌کلیک کنید و گزینه Update Field را بزنید.]</w:t>
      </w:r>
    </w:p>
    <w:p>
      <w:r>
        <w:br w:type="page"/>
      </w: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۱. خلاصه تصمیم</w:t>
      </w: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sz w:val="22"/>
          <w:szCs w:val="22"/>
          <w:rtl/>
        </w:rPr>
        <w:t xml:space="preserve">این سند بررسی می‌کند که آیا ورود به بازار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[نام بازار]</w:t>
      </w:r>
      <w:r>
        <w:rPr>
          <w:rFonts w:ascii="Segoe UI" w:cs="Segoe UI" w:eastAsia="Segoe UI" w:hAnsi="Segoe UI"/>
          <w:sz w:val="22"/>
          <w:szCs w:val="22"/>
          <w:rtl/>
        </w:rPr>
        <w:t xml:space="preserve"> از نظر اندازه، سودآوری و ریسک توجیه‌پذیر است یا نه. </w:t>
      </w:r>
      <w:r>
        <w:rPr>
          <w:rFonts w:ascii="Segoe UI" w:cs="Segoe UI" w:eastAsia="Segoe UI" w:hAnsi="Segoe UI"/>
          <w:i/>
          <w:iCs/>
          <w:color w:val="8A94A3"/>
          <w:sz w:val="22"/>
          <w:szCs w:val="22"/>
          <w:rtl/>
        </w:rPr>
        <w:t xml:space="preserve">[نتیجه نهایی را در یک جمله بنویسید.]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1"/>
        <w:gridCol w:w="2409"/>
        <w:gridCol w:w="2409"/>
        <w:gridCol w:w="2409"/>
      </w:tblGrid>
      <w:tr>
        <w:trPr>
          <w:cantSplit/>
        </w:trPr>
        <w:tc>
          <w:tcPr>
            <w:tcW w:type="dxa" w:w="2411"/>
            <w:tcBorders>
              <w:top w:val="single" w:color="2A9D8F" w:sz="24"/>
              <w:left w:val="single" w:color="FFFFFF" w:sz="24"/>
              <w:bottom w:val="single" w:color="FFFFFF" w:sz="24"/>
              <w:right w:val="single" w:color="FFFFFF" w:sz="24"/>
            </w:tcBorders>
            <w:shd w:fill="F5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44"/>
                <w:szCs w:val="44"/>
                <w:rtl/>
              </w:rPr>
              <w:t xml:space="preserve">۱۲۰۰</w:t>
            </w:r>
          </w:p>
          <w:p>
            <w:pPr>
              <w:bidi/>
              <w:spacing w:after="0" w:line="260" w:lineRule="auto"/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  <w:rtl/>
              </w:rPr>
              <w:t xml:space="preserve">TAM — میلیارد تومان</w:t>
            </w:r>
          </w:p>
        </w:tc>
        <w:tc>
          <w:tcPr>
            <w:tcW w:type="dxa" w:w="2409"/>
            <w:tcBorders>
              <w:top w:val="single" w:color="1F3A5F" w:sz="24"/>
              <w:left w:val="single" w:color="FFFFFF" w:sz="24"/>
              <w:bottom w:val="single" w:color="FFFFFF" w:sz="24"/>
              <w:right w:val="single" w:color="FFFFFF" w:sz="24"/>
            </w:tcBorders>
            <w:shd w:fill="F5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44"/>
                <w:szCs w:val="44"/>
                <w:rtl/>
              </w:rPr>
              <w:t xml:space="preserve">۴۸۰</w:t>
            </w:r>
          </w:p>
          <w:p>
            <w:pPr>
              <w:bidi/>
              <w:spacing w:after="0" w:line="260" w:lineRule="auto"/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  <w:rtl/>
              </w:rPr>
              <w:t xml:space="preserve">SAM — میلیارد تومان</w:t>
            </w:r>
          </w:p>
        </w:tc>
        <w:tc>
          <w:tcPr>
            <w:tcW w:type="dxa" w:w="2409"/>
            <w:tcBorders>
              <w:top w:val="single" w:color="2A9D8F" w:sz="24"/>
              <w:left w:val="single" w:color="FFFFFF" w:sz="24"/>
              <w:bottom w:val="single" w:color="FFFFFF" w:sz="24"/>
              <w:right w:val="single" w:color="FFFFFF" w:sz="24"/>
            </w:tcBorders>
            <w:shd w:fill="F5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44"/>
                <w:szCs w:val="44"/>
                <w:rtl/>
              </w:rPr>
              <w:t xml:space="preserve">۶۰</w:t>
            </w:r>
          </w:p>
          <w:p>
            <w:pPr>
              <w:bidi/>
              <w:spacing w:after="0" w:line="260" w:lineRule="auto"/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  <w:rtl/>
              </w:rPr>
              <w:t xml:space="preserve">SOM — میلیارد تومان</w:t>
            </w:r>
          </w:p>
        </w:tc>
        <w:tc>
          <w:tcPr>
            <w:tcW w:type="dxa" w:w="2409"/>
            <w:tcBorders>
              <w:top w:val="single" w:color="1F3A5F" w:sz="24"/>
              <w:left w:val="single" w:color="FFFFFF" w:sz="24"/>
              <w:bottom w:val="single" w:color="FFFFFF" w:sz="24"/>
              <w:right w:val="single" w:color="FFFFFF" w:sz="24"/>
            </w:tcBorders>
            <w:shd w:fill="F5F7FA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center"/>
          </w:tcPr>
          <w:p>
            <w:pPr>
              <w:bidi/>
              <w:spacing w:after="4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44"/>
                <w:szCs w:val="44"/>
                <w:rtl/>
              </w:rPr>
              <w:t xml:space="preserve">۲۲</w:t>
            </w:r>
          </w:p>
          <w:p>
            <w:pPr>
              <w:bidi/>
              <w:spacing w:after="0" w:line="260" w:lineRule="auto"/>
              <w:jc w:val="center"/>
            </w:pPr>
            <w:r>
              <w:rPr>
                <w:rFonts w:ascii="Segoe UI" w:cs="Segoe UI" w:eastAsia="Segoe UI" w:hAnsi="Segoe UI"/>
                <w:color w:val="6B7280"/>
                <w:sz w:val="18"/>
                <w:szCs w:val="18"/>
                <w:rtl/>
              </w:rPr>
              <w:t xml:space="preserve">نقطه سربه‌سر (ماه)</w:t>
            </w:r>
          </w:p>
        </w:tc>
      </w:tr>
    </w:tbl>
    <w:p>
      <w:pPr>
        <w:spacing w:after="16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2A9D8F" w:sz="36"/>
            </w:tcBorders>
            <w:shd w:fill="E6F4F2" w:color="auto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bidi/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1F7A70"/>
                <w:sz w:val="22"/>
                <w:szCs w:val="22"/>
                <w:rtl/>
              </w:rPr>
              <w:t xml:space="preserve">توصیه</w:t>
            </w:r>
          </w:p>
          <w:p>
            <w:pPr>
              <w:bidi/>
              <w:spacing w:after="60" w:line="330" w:lineRule="auto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color w:val="8A94A3"/>
                <w:sz w:val="21"/>
                <w:szCs w:val="21"/>
                <w:rtl/>
              </w:rPr>
              <w:t xml:space="preserve">[ادامه دهید / متوقف کنید / با شرط ادامه دهید]</w:t>
            </w:r>
            <w:r>
              <w:rPr>
                <w:rFonts w:ascii="Segoe UI" w:cs="Segoe UI" w:eastAsia="Segoe UI" w:hAnsi="Segoe UI"/>
                <w:sz w:val="21"/>
                <w:szCs w:val="21"/>
                <w:rtl/>
              </w:rPr>
              <w:t xml:space="preserve"> — </w:t>
            </w: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[دلیل اصلی در یک تا دو جمله]</w:t>
            </w:r>
          </w:p>
        </w:tc>
      </w:tr>
    </w:tbl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۲. برآورد اندازه بازار</w:t>
      </w: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sz w:val="22"/>
          <w:szCs w:val="22"/>
          <w:rtl/>
        </w:rPr>
        <w:t xml:space="preserve">اندازه بازار در سه سطح برآورد شده است: کل بازار قابل دسترس (TAM)، بخشی از آن که با مدل کسب‌وکار ما قابل خدمت‌رسانی است (SAM) و سهمی که در سه سال اول به‌طور واقع‌بینانه می‌توان کسب کرد (SOM).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3810000" cy="4143375"/>
            <wp:effectExtent t="0" r="0" b="0" l="0"/>
            <wp:docPr id="1" name="c4_tam" descr="نمودار TAM SAM SOM" title="نمودار TAM SAM S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bidi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شکل ۱ — لایه‌های اندازه بازار (داده نمونه)</w:t>
      </w:r>
    </w:p>
    <w:p>
      <w:pPr>
        <w:pStyle w:val="Caption"/>
        <w:keepNext/>
        <w:bidi/>
        <w:spacing w:after="80" w:before="160"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جدول ۱ — روش محاسبه سه سطح بازار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5338"/>
        <w:gridCol w:w="2700"/>
      </w:tblGrid>
      <w:tr>
        <w:trPr>
          <w:cantSplit/>
          <w:tblHeader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سطح</w:t>
            </w:r>
          </w:p>
        </w:tc>
        <w:tc>
          <w:tcPr>
            <w:tcW w:type="dxa" w:w="5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روش محاسبه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برآورد (میلیارد تومان)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TAM</w:t>
            </w:r>
          </w:p>
        </w:tc>
        <w:tc>
          <w:tcPr>
            <w:tcW w:type="dxa" w:w="53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[تعداد مشتریان بالقوه × میانگین هزینه سالانه]</w:t>
            </w:r>
          </w:p>
        </w:tc>
        <w:tc>
          <w:tcPr>
            <w:tcW w:type="dxa" w:w="2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۱۲۰۰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SAM</w:t>
            </w:r>
          </w:p>
        </w:tc>
        <w:tc>
          <w:tcPr>
            <w:tcW w:type="dxa" w:w="53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[بخشی از TAM که با شهر، کانال یا قیمت ما همخوان است]</w:t>
            </w:r>
          </w:p>
        </w:tc>
        <w:tc>
          <w:tcPr>
            <w:tcW w:type="dxa" w:w="2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۴۸۰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SOM</w:t>
            </w:r>
          </w:p>
        </w:tc>
        <w:tc>
          <w:tcPr>
            <w:tcW w:type="dxa" w:w="53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[سهم قابل کسب بر اساس ظرفیت و رقابت]</w:t>
            </w:r>
          </w:p>
        </w:tc>
        <w:tc>
          <w:tcPr>
            <w:tcW w:type="dxa" w:w="27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۶۰</w:t>
            </w:r>
          </w:p>
        </w:tc>
      </w:tr>
    </w:tbl>
    <w:p>
      <w:pPr>
        <w:spacing w:after="140"/>
      </w:pP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۳. مفروضات کلیدی</w:t>
      </w:r>
    </w:p>
    <w:p>
      <w:pPr>
        <w:bidi/>
        <w:spacing w:after="120" w:before="0" w:line="360" w:lineRule="auto"/>
      </w:pPr>
      <w:r>
        <w:rPr>
          <w:rFonts w:ascii="Segoe UI" w:cs="Segoe UI" w:eastAsia="Segoe UI" w:hAnsi="Segoe UI"/>
          <w:sz w:val="22"/>
          <w:szCs w:val="22"/>
          <w:rtl/>
        </w:rPr>
        <w:t xml:space="preserve">اعتبار هر برآورد به مفروضات آن بستگی دارد. سطح اطمینان هر مفروضه باید شفاف باشد.</w:t>
      </w:r>
    </w:p>
    <w:p>
      <w:pPr>
        <w:pStyle w:val="Caption"/>
        <w:keepNext/>
        <w:bidi/>
        <w:spacing w:after="80" w:before="160"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جدول ۲ — مفروضات و منابع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38"/>
        <w:gridCol w:w="2200"/>
        <w:gridCol w:w="2000"/>
        <w:gridCol w:w="2000"/>
      </w:tblGrid>
      <w:tr>
        <w:trPr>
          <w:cantSplit/>
          <w:tblHeader/>
        </w:trPr>
        <w:tc>
          <w:tcPr>
            <w:tcW w:type="dxa" w:w="3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مفروضه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مقدار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منبع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سطح اطمینان</w:t>
            </w:r>
          </w:p>
        </w:tc>
      </w:tr>
      <w:tr>
        <w:trPr>
          <w:cantSplit/>
        </w:trPr>
        <w:tc>
          <w:tcPr>
            <w:tcW w:type="dxa" w:w="34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تعداد مشتریان بالقوه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۲۰۰۰۰۰ نفر</w:t>
            </w:r>
          </w:p>
        </w:tc>
        <w:tc>
          <w:tcPr>
            <w:tcW w:type="dxa" w:w="20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[منبع]</w:t>
            </w:r>
          </w:p>
        </w:tc>
        <w:tc>
          <w:tcPr>
            <w:tcW w:type="dxa" w:w="20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بالا</w:t>
            </w:r>
          </w:p>
        </w:tc>
      </w:tr>
      <w:tr>
        <w:trPr>
          <w:cantSplit/>
        </w:trPr>
        <w:tc>
          <w:tcPr>
            <w:tcW w:type="dxa" w:w="34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میانگین هزینه سالانه هر مشتری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۶ میلیون تومان</w:t>
            </w:r>
          </w:p>
        </w:tc>
        <w:tc>
          <w:tcPr>
            <w:tcW w:type="dxa" w:w="20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[منبع]</w:t>
            </w:r>
          </w:p>
        </w:tc>
        <w:tc>
          <w:tcPr>
            <w:tcW w:type="dxa" w:w="20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متوسط</w:t>
            </w:r>
          </w:p>
        </w:tc>
      </w:tr>
      <w:tr>
        <w:trPr>
          <w:cantSplit/>
        </w:trPr>
        <w:tc>
          <w:tcPr>
            <w:tcW w:type="dxa" w:w="34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نرخ تبدیل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۴٪</w:t>
            </w:r>
          </w:p>
        </w:tc>
        <w:tc>
          <w:tcPr>
            <w:tcW w:type="dxa" w:w="20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[منبع]</w:t>
            </w:r>
          </w:p>
        </w:tc>
        <w:tc>
          <w:tcPr>
            <w:tcW w:type="dxa" w:w="20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DE7E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23B22"/>
                <w:sz w:val="20"/>
                <w:szCs w:val="20"/>
                <w:rtl/>
              </w:rPr>
              <w:t xml:space="preserve">پایین</w:t>
            </w:r>
          </w:p>
        </w:tc>
      </w:tr>
      <w:tr>
        <w:trPr>
          <w:cantSplit/>
        </w:trPr>
        <w:tc>
          <w:tcPr>
            <w:tcW w:type="dxa" w:w="34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نرخ ریزش ماهانه</w:t>
            </w:r>
          </w:p>
        </w:tc>
        <w:tc>
          <w:tcPr>
            <w:tcW w:type="dxa" w:w="22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۳٪</w:t>
            </w:r>
          </w:p>
        </w:tc>
        <w:tc>
          <w:tcPr>
            <w:tcW w:type="dxa" w:w="20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[منبع]</w:t>
            </w:r>
          </w:p>
        </w:tc>
        <w:tc>
          <w:tcPr>
            <w:tcW w:type="dxa" w:w="20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متوسط</w:t>
            </w:r>
          </w:p>
        </w:tc>
      </w:tr>
    </w:tbl>
    <w:p>
      <w:pPr>
        <w:spacing w:after="140"/>
      </w:pP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۴. پیش‌بینی مالی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3143250"/>
            <wp:effectExtent t="0" r="0" b="0" l="0"/>
            <wp:docPr id="1" name="c4_revenue" descr="پیش‌بینی درآمد" title="پیش‌بینی درآم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bidi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شکل ۲ — پیش‌بینی درآمد و هزینه در پنج سال</w:t>
      </w:r>
    </w:p>
    <w:p>
      <w:pPr>
        <w:pStyle w:val="Caption"/>
        <w:keepNext/>
        <w:bidi/>
        <w:spacing w:after="80" w:before="160"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جدول ۳ — خلاصه مالی (میلیارد تومان)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38"/>
        <w:gridCol w:w="1800"/>
        <w:gridCol w:w="1800"/>
        <w:gridCol w:w="1800"/>
        <w:gridCol w:w="1800"/>
      </w:tblGrid>
      <w:tr>
        <w:trPr>
          <w:cantSplit/>
          <w:tblHeader/>
        </w:trPr>
        <w:tc>
          <w:tcPr>
            <w:tcW w:type="dxa" w:w="2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سال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درآمد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هزینه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سود (زیان)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حاشیه سود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سال اول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۱۸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۳۰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(۱۲)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سال دوم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۴۲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۴۵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(۳)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سال سوم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۸۰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۶۲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۱۸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۲۳٪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سال چهارم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۱۲۸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۸۵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۴۳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۳۴٪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سال پنجم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۱۹۰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۱۱۰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۸۰</w:t>
            </w:r>
          </w:p>
        </w:tc>
        <w:tc>
          <w:tcPr>
            <w:tcW w:type="dxa" w:w="18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sz w:val="20"/>
                <w:szCs w:val="20"/>
                <w:rtl/>
              </w:rPr>
              <w:t xml:space="preserve">۴۲٪</w:t>
            </w:r>
          </w:p>
        </w:tc>
      </w:tr>
    </w:tbl>
    <w:p>
      <w:pPr>
        <w:spacing w:after="140"/>
      </w:pP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۵. تحلیل نقطه سربه‌سر</w:t>
      </w:r>
    </w:p>
    <w:p>
      <w:pPr>
        <w:keepNext/>
        <w:spacing w:after="60" w:before="120" w:line="240" w:lineRule="auto"/>
        <w:jc w:val="center"/>
      </w:pPr>
      <w:r>
        <w:drawing>
          <wp:inline distT="0" distB="0" distL="0" distR="0">
            <wp:extent cx="5334000" cy="3152775"/>
            <wp:effectExtent t="0" r="0" b="0" l="0"/>
            <wp:docPr id="1" name="c4_breakeven" descr="نمودار نقطه سربه‌سر" title="نمودار نقطه سربه‌س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bidi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شکل ۳ — نقطه سربه‌سر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2A9D8F" w:sz="36"/>
            </w:tcBorders>
            <w:shd w:fill="E6F4F2" w:color="auto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bidi/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1F7A70"/>
                <w:sz w:val="22"/>
                <w:szCs w:val="22"/>
                <w:rtl/>
              </w:rPr>
              <w:t xml:space="preserve">فرمول</w:t>
            </w:r>
          </w:p>
          <w:p>
            <w:pPr>
              <w:bidi/>
              <w:spacing w:after="60" w:line="330" w:lineRule="auto"/>
            </w:pPr>
            <w:r>
              <w:rPr>
                <w:rFonts w:ascii="Segoe UI" w:cs="Segoe UI" w:eastAsia="Segoe UI" w:hAnsi="Segoe UI"/>
                <w:b/>
                <w:bCs/>
                <w:sz w:val="21"/>
                <w:szCs w:val="21"/>
                <w:rtl/>
              </w:rPr>
              <w:t xml:space="preserve">نقطه سربه‌سر = هزینه ثابت ÷ (قیمت هر واحد − هزینه متغیر هر واحد)</w:t>
            </w:r>
          </w:p>
          <w:p>
            <w:pPr>
              <w:bidi/>
              <w:spacing w:after="60" w:line="33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[مقادیر پروژه خود را جایگزین کنید.]</w:t>
            </w:r>
          </w:p>
        </w:tc>
      </w:tr>
    </w:tbl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۶. ریسک‌ها</w:t>
      </w:r>
    </w:p>
    <w:p>
      <w:pPr>
        <w:pStyle w:val="Caption"/>
        <w:keepNext/>
        <w:bidi/>
        <w:spacing w:after="80" w:before="160"/>
        <w:jc w:val="center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جدول ۴ — ماتریس ریسک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8"/>
        <w:gridCol w:w="1500"/>
        <w:gridCol w:w="1500"/>
        <w:gridCol w:w="3400"/>
      </w:tblGrid>
      <w:tr>
        <w:trPr>
          <w:cantSplit/>
          <w:tblHeader/>
        </w:trPr>
        <w:tc>
          <w:tcPr>
            <w:tcW w:type="dxa" w:w="3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ریسک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احتمال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اثر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راهکار کاهش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color w:val="8A94A3"/>
                <w:sz w:val="20"/>
                <w:szCs w:val="20"/>
                <w:rtl/>
              </w:rPr>
              <w:t xml:space="preserve">[ریسک بازار: رشد کمتر از انتظار]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DE7E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23B22"/>
                <w:sz w:val="20"/>
                <w:szCs w:val="20"/>
                <w:rtl/>
              </w:rPr>
              <w:t xml:space="preserve">زیاد</w:t>
            </w:r>
          </w:p>
        </w:tc>
        <w:tc>
          <w:tcPr>
            <w:tcW w:type="dxa" w:w="3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[راهکار]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color w:val="8A94A3"/>
                <w:sz w:val="20"/>
                <w:szCs w:val="20"/>
                <w:rtl/>
              </w:rPr>
              <w:t xml:space="preserve">[ریسک رقابتی: ورود رقیب قدرتمند]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DE7E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23B22"/>
                <w:sz w:val="20"/>
                <w:szCs w:val="20"/>
                <w:rtl/>
              </w:rPr>
              <w:t xml:space="preserve">زیاد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3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[راهکار]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color w:val="8A94A3"/>
                <w:sz w:val="20"/>
                <w:szCs w:val="20"/>
                <w:rtl/>
              </w:rPr>
              <w:t xml:space="preserve">[ریسک عملیاتی]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کم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FF3D6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8A6100"/>
                <w:sz w:val="20"/>
                <w:szCs w:val="20"/>
                <w:rtl/>
              </w:rPr>
              <w:t xml:space="preserve">متوسط</w:t>
            </w:r>
          </w:p>
        </w:tc>
        <w:tc>
          <w:tcPr>
            <w:tcW w:type="dxa" w:w="3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[راهکار]</w:t>
            </w:r>
          </w:p>
        </w:tc>
      </w:tr>
      <w:tr>
        <w:trPr>
          <w:cantSplit/>
        </w:trPr>
        <w:tc>
          <w:tcPr>
            <w:tcW w:type="dxa" w:w="32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i/>
                <w:iCs/>
                <w:color w:val="8A94A3"/>
                <w:sz w:val="20"/>
                <w:szCs w:val="20"/>
                <w:rtl/>
              </w:rPr>
              <w:t xml:space="preserve">[ریسک قانونی و مقرراتی]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DDF3E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6B45"/>
                <w:sz w:val="20"/>
                <w:szCs w:val="20"/>
                <w:rtl/>
              </w:rPr>
              <w:t xml:space="preserve">کم</w:t>
            </w:r>
          </w:p>
        </w:tc>
        <w:tc>
          <w:tcPr>
            <w:tcW w:type="dxa" w:w="15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DE7E2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A23B22"/>
                <w:sz w:val="20"/>
                <w:szCs w:val="20"/>
                <w:rtl/>
              </w:rPr>
              <w:t xml:space="preserve">زیاد</w:t>
            </w:r>
          </w:p>
        </w:tc>
        <w:tc>
          <w:tcPr>
            <w:tcW w:type="dxa" w:w="3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[راهکار]</w:t>
            </w:r>
          </w:p>
        </w:tc>
      </w:tr>
    </w:tbl>
    <w:p>
      <w:pPr>
        <w:spacing w:after="140"/>
      </w:pPr>
    </w:p>
    <w:p>
      <w:pPr>
        <w:pStyle w:val="Heading1"/>
        <w:bidi/>
      </w:pPr>
      <w:r>
        <w:rPr>
          <w:rFonts w:ascii="Segoe UI" w:cs="Segoe UI" w:eastAsia="Segoe UI" w:hAnsi="Segoe UI"/>
          <w:b/>
          <w:bCs/>
          <w:color w:val="1F3A5F"/>
          <w:sz w:val="34"/>
          <w:szCs w:val="34"/>
          <w:rtl/>
        </w:rPr>
        <w:t xml:space="preserve">۷. نقشه راه اجرا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00"/>
        <w:gridCol w:w="4238"/>
        <w:gridCol w:w="1600"/>
        <w:gridCol w:w="2400"/>
      </w:tblGrid>
      <w:tr>
        <w:trPr>
          <w:cantSplit/>
          <w:tblHeader/>
        </w:trP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فاز</w:t>
            </w:r>
          </w:p>
        </w:tc>
        <w:tc>
          <w:tcPr>
            <w:tcW w:type="dxa" w:w="4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فعالیت‌ها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مدت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  <w:rtl/>
              </w:rPr>
              <w:t xml:space="preserve">خروجی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فاز ۱</w:t>
            </w:r>
          </w:p>
        </w:tc>
        <w:tc>
          <w:tcPr>
            <w:tcW w:type="dxa" w:w="42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[اعتبارسنجی با نمونه اولیه]</w:t>
            </w:r>
          </w:p>
        </w:tc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[۳ ماه]</w:t>
            </w:r>
          </w:p>
        </w:tc>
        <w:tc>
          <w:tcPr>
            <w:tcW w:type="dxa" w:w="2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[خروجی]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فاز ۲</w:t>
            </w:r>
          </w:p>
        </w:tc>
        <w:tc>
          <w:tcPr>
            <w:tcW w:type="dxa" w:w="42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[راه‌اندازی آزمایشی]</w:t>
            </w:r>
          </w:p>
        </w:tc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[۴ ماه]</w:t>
            </w:r>
          </w:p>
        </w:tc>
        <w:tc>
          <w:tcPr>
            <w:tcW w:type="dxa" w:w="2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shd w:fill="F5F7F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[خروجی]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/>
                <w:bCs/>
                <w:sz w:val="20"/>
                <w:szCs w:val="20"/>
                <w:rtl/>
              </w:rPr>
              <w:t xml:space="preserve">فاز ۳</w:t>
            </w:r>
          </w:p>
        </w:tc>
        <w:tc>
          <w:tcPr>
            <w:tcW w:type="dxa" w:w="4238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[مقیاس‌دهی]</w:t>
            </w:r>
          </w:p>
        </w:tc>
        <w:tc>
          <w:tcPr>
            <w:tcW w:type="dxa" w:w="16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  <w:jc w:val="center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[۶ ماه]</w:t>
            </w:r>
          </w:p>
        </w:tc>
        <w:tc>
          <w:tcPr>
            <w:tcW w:type="dxa" w:w="2400"/>
            <w:tcBorders>
              <w:top w:val="single" w:color="D5DBE3" w:sz="4"/>
              <w:left w:val="none" w:color="FFFFFF" w:sz="0"/>
              <w:bottom w:val="single" w:color="D5DBE3" w:sz="4"/>
              <w:right w:val="none" w:color="FFFFFF" w:sz="0"/>
            </w:tcBorders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bidi/>
              <w:spacing w:after="0" w:before="0" w:line="300" w:lineRule="auto"/>
            </w:pPr>
            <w:r>
              <w:rPr>
                <w:rFonts w:ascii="Segoe UI" w:cs="Segoe UI" w:eastAsia="Segoe UI" w:hAnsi="Segoe UI"/>
                <w:b w:val="false"/>
                <w:i/>
                <w:iCs/>
                <w:color w:val="8A94A3"/>
                <w:sz w:val="20"/>
                <w:szCs w:val="20"/>
                <w:rtl/>
              </w:rPr>
              <w:t xml:space="preserve">[خروجی]</w:t>
            </w:r>
          </w:p>
        </w:tc>
      </w:tr>
    </w:tbl>
    <w:p>
      <w:pPr>
        <w:spacing w:after="120"/>
      </w:pP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2A9D8F" w:sz="36"/>
            </w:tcBorders>
            <w:shd w:fill="E6F4F2" w:color="auto" w:val="clear"/>
            <w:tcMar>
              <w:top w:type="dxa" w:w="160"/>
              <w:left w:type="dxa" w:w="240"/>
              <w:bottom w:type="dxa" w:w="140"/>
              <w:right w:type="dxa" w:w="240"/>
            </w:tcMar>
          </w:tcPr>
          <w:p>
            <w:pPr>
              <w:bidi/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1F7A70"/>
                <w:sz w:val="22"/>
                <w:szCs w:val="22"/>
                <w:rtl/>
              </w:rPr>
              <w:t xml:space="preserve">گام بعدی</w:t>
            </w:r>
          </w:p>
          <w:p>
            <w:pPr>
              <w:bidi/>
              <w:spacing w:after="60" w:line="330" w:lineRule="auto"/>
            </w:pPr>
            <w:r>
              <w:rPr>
                <w:rFonts w:ascii="Segoe UI" w:cs="Segoe UI" w:eastAsia="Segoe UI" w:hAnsi="Segoe UI"/>
                <w:i/>
                <w:iCs/>
                <w:color w:val="8A94A3"/>
                <w:sz w:val="21"/>
                <w:szCs w:val="21"/>
                <w:rtl/>
              </w:rPr>
              <w:t xml:space="preserve">[مهم‌ترین اقدام در ۳۰ روز آینده و مسئول آن]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300" w:left="1134" w:header="65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bidiVisual/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638"/>
      <w:gridCol w:w="3000"/>
    </w:tblGrid>
    <w:tr>
      <w:tc>
        <w:tcPr>
          <w:tcW w:type="dxa" w:w="6638"/>
          <w:tcBorders>
            <w:top w:val="single" w:color="D5DBE3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bidi/>
          </w:pPr>
          <w:r>
            <w:rPr>
              <w:rFonts w:ascii="Segoe UI" w:cs="Segoe UI" w:eastAsia="Segoe UI" w:hAnsi="Segoe UI"/>
              <w:i/>
              <w:iCs/>
              <w:color w:val="8A94A3"/>
              <w:sz w:val="17"/>
              <w:szCs w:val="17"/>
              <w:rtl/>
            </w:rPr>
            <w:t xml:space="preserve">[نام سازمان]</w:t>
          </w:r>
          <w:r>
            <w:rPr>
              <w:rFonts w:ascii="Segoe UI" w:cs="Segoe UI" w:eastAsia="Segoe UI" w:hAnsi="Segoe UI"/>
              <w:color w:val="6B7280"/>
              <w:sz w:val="17"/>
              <w:szCs w:val="17"/>
              <w:rtl/>
            </w:rPr>
            <w:t xml:space="preserve"> — محرمانه، فقط برای استفاده داخلی</w:t>
          </w:r>
        </w:p>
      </w:tc>
      <w:tc>
        <w:tcPr>
          <w:tcW w:type="dxa" w:w="3000"/>
          <w:tcBorders>
            <w:top w:val="single" w:color="D5DBE3" w:sz="4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bidi/>
            <w:jc w:val="end"/>
          </w:pPr>
          <w:r>
            <w:rPr>
              <w:rFonts w:ascii="Segoe UI" w:cs="Segoe UI" w:eastAsia="Segoe UI" w:hAnsi="Segoe UI"/>
              <w:color w:val="6B7280"/>
              <w:sz w:val="17"/>
              <w:szCs w:val="17"/>
              <w:rtl/>
            </w:rPr>
            <w:t xml:space="preserve">صفحه </w:t>
          </w:r>
          <w:r>
            <w:rPr>
              <w:color w:val="6B7280"/>
              <w:sz w:val="17"/>
              <w:szCs w:val="17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Segoe UI" w:cs="Segoe UI" w:eastAsia="Segoe UI" w:hAnsi="Segoe UI"/>
              <w:color w:val="6B7280"/>
              <w:sz w:val="17"/>
              <w:szCs w:val="17"/>
              <w:rtl/>
            </w:rPr>
            <w:t xml:space="preserve"> از </w:t>
          </w:r>
          <w:r>
            <w:rPr>
              <w:color w:val="6B7280"/>
              <w:sz w:val="17"/>
              <w:szCs w:val="17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A9D8F" w:sz="8" w:space="6"/>
      </w:pBdr>
      <w:bidi/>
      <w:spacing w:after="0"/>
    </w:pPr>
    <w:r>
      <w:rPr>
        <w:rFonts w:ascii="Segoe UI" w:cs="Segoe UI" w:eastAsia="Segoe UI" w:hAnsi="Segoe UI"/>
        <w:color w:val="6B7280"/>
        <w:sz w:val="18"/>
        <w:szCs w:val="18"/>
        <w:rtl/>
      </w:rPr>
      <w:t xml:space="preserve">امکان‌سنجی و برآورد اندازه بازار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00" w:hanging="280"/>
      </w:pPr>
      <w:rPr>
        <w:b/>
        <w:bCs/>
        <w:color w:val="2A9D8F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  <w:rtl/>
        <w:lang w:val="en-US" w:bidi="fa-IR"/>
      </w:rPr>
    </w:rPrDefault>
    <w:pPrDefault>
      <w:pPr>
        <w:spacing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pBdr>
        <w:bottom w:val="single" w:color="2A9D8F" w:sz="12" w:space="6"/>
      </w:pBdr>
      <w:bidi/>
      <w:spacing w:after="200" w:before="480" w:line="320" w:lineRule="auto"/>
      <w:outlineLvl w:val="0"/>
    </w:pPr>
    <w:rPr>
      <w:rFonts w:ascii="Segoe UI" w:cs="Segoe UI" w:hAnsi="Segoe UI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keepLines/>
      <w:bidi/>
      <w:spacing w:after="120" w:before="320" w:line="320" w:lineRule="auto"/>
      <w:outlineLvl w:val="1"/>
    </w:pPr>
    <w:rPr>
      <w:rFonts w:ascii="Segoe UI" w:cs="Segoe UI" w:hAnsi="Segoe UI"/>
      <w:b/>
      <w:bCs/>
      <w:color w:val="1F7A7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bidi/>
      <w:spacing w:after="100" w:before="240" w:line="320" w:lineRule="auto"/>
      <w:outlineLvl w:val="2"/>
    </w:pPr>
    <w:rPr>
      <w:rFonts w:ascii="Segoe UI" w:cs="Segoe UI" w:hAnsi="Segoe UI"/>
      <w:b/>
      <w:bCs/>
      <w:color w:val="1F3A5F"/>
      <w:sz w:val="23"/>
      <w:szCs w:val="23"/>
    </w:rPr>
  </w:style>
  <w:style w:type="paragraph" w:styleId="TOCTitle">
    <w:name w:val="TOC Title"/>
    <w:basedOn w:val="Normal"/>
    <w:next w:val="Normal"/>
    <w:pPr>
      <w:bidi/>
      <w:spacing w:after="300" w:before="0"/>
    </w:pPr>
  </w:style>
  <w:style w:type="paragraph" w:styleId="TOC1">
    <w:name w:val="toc 1"/>
    <w:basedOn w:val="Normal"/>
    <w:next w:val="Normal"/>
    <w:pPr>
      <w:bidi/>
      <w:spacing w:after="60" w:before="160"/>
    </w:pPr>
    <w:rPr>
      <w:b/>
      <w:bCs/>
      <w:color w:val="1F3A5F"/>
      <w:sz w:val="24"/>
      <w:szCs w:val="24"/>
    </w:rPr>
  </w:style>
  <w:style w:type="paragraph" w:styleId="TOC2">
    <w:name w:val="toc 2"/>
    <w:basedOn w:val="Normal"/>
    <w:next w:val="Normal"/>
    <w:pPr>
      <w:bidi/>
      <w:spacing w:after="40" w:before="0"/>
      <w:ind w:left="400"/>
    </w:pPr>
    <w:rPr>
      <w:color w:val="2B2F36"/>
      <w:sz w:val="21"/>
      <w:szCs w:val="21"/>
    </w:rPr>
  </w:style>
  <w:style w:type="paragraph" w:styleId="Caption">
    <w:name w:val="caption"/>
    <w:basedOn w:val="Normal"/>
    <w:next w:val="Normal"/>
    <w:pPr>
      <w:bidi/>
      <w:spacing w:after="240" w:before="4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11c9f739f86bc423a6cc07544407ab8c0db2eea.png"/><Relationship Id="rId10" Type="http://schemas.openxmlformats.org/officeDocument/2006/relationships/image" Target="media/2e89d1f79538830a8f5603f7c333995921946afa.png"/><Relationship Id="rId11" Type="http://schemas.openxmlformats.org/officeDocument/2006/relationships/image" Target="media/d9798edec4ed94c5283f3764fe50c79c2e92367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امکان‌سنجی و برآورد اندازه بازار</dc:title>
  <dc:creator>Market Research Template</dc:creator>
  <cp:lastModifiedBy>Un-named</cp:lastModifiedBy>
  <cp:revision>1</cp:revision>
  <dcterms:created xsi:type="dcterms:W3CDTF">2026-10-04T10:59:07.754Z</dcterms:created>
  <dcterms:modified xsi:type="dcterms:W3CDTF">2026-10-04T10:59:07.754Z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