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bidiVisual w:val="1"/>
      </w:tblPr>
      <w:tblGrid>
        <w:gridCol w:w="9866"/>
      </w:tblGrid>
      <w:tr>
        <w:tc>
          <w:tcPr>
            <w:tcW w:type="dxa" w:w="9865"/>
            <w:vAlign w:val="center"/>
            <w:tcMar>
              <w:top w:w="80" w:type="dxa"/>
              <w:start w:w="80" w:type="dxa"/>
              <w:bottom w:w="80" w:type="dxa"/>
              <w:end w:w="80" w:type="dxa"/>
            </w:tcMar>
            <w:shd w:fill="1F3A5F"/>
            <w:tcBorders>
              <w:top w:val="single" w:sz="0" w:color="1F3A5F"/>
              <w:left w:val="single" w:sz="0" w:color="1F3A5F"/>
              <w:bottom w:val="single" w:sz="0" w:color="1F3A5F"/>
              <w:right w:val="single" w:sz="0" w:color="1F3A5F"/>
            </w:tcBorders>
          </w:tcPr>
          <w:p>
            <w: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200" w:before="0" w:line="264" w:lineRule="auto"/>
              <w:jc w:val="center"/>
              <w:bidi w:val="1"/>
            </w:pPr>
            <w:r>
              <w:rPr>
                <w:rFonts w:ascii="B Zar" w:hAnsi="B Zar" w:cs="B Zar" w:eastAsia="B Zar"/>
                <w:b/>
                <w:color w:val="FFFFFF"/>
                <w:sz w:val="54"/>
              </w:rPr>
              <w:t>گزارش جامع تحقیقات بازار</w:t>
            </w:r>
          </w:p>
          <w:p>
            <w:pPr>
              <w:spacing w:after="160" w:before="0" w:line="288" w:lineRule="auto"/>
              <w:jc w:val="center"/>
              <w:bidi w:val="1"/>
            </w:pPr>
            <w:r>
              <w:rPr>
                <w:rFonts w:ascii="B Zar" w:hAnsi="B Zar" w:cs="B Zar" w:eastAsia="B Zar"/>
                <w:b/>
                <w:color w:val="FFFFFF"/>
                <w:sz w:val="38"/>
              </w:rPr>
              <w:t>فرصت‌های پلتفرمی و نرم‌افزاری در اکوسیستم مد، پوشاک و فشن ایران</w:t>
            </w:r>
          </w:p>
          <w:p>
            <w:pPr>
              <w:spacing w:after="360" w:before="0" w:line="288" w:lineRule="auto"/>
              <w:jc w:val="center"/>
              <w:bidi w:val="1"/>
            </w:pPr>
            <w:r>
              <w:rPr>
                <w:rFonts w:ascii="B Zar" w:hAnsi="B Zar" w:cs="B Zar" w:eastAsia="B Zar"/>
                <w:color w:val="D9EAF0"/>
                <w:sz w:val="27"/>
              </w:rPr>
              <w:t>چارچوب اصلی، دفتر ثبت پرونده‌ها و برنامهٔ پژوهش عمیق</w:t>
            </w:r>
          </w:p>
          <w:tbl>
            <w:tblPr>
              <w:tblW w:type="auto" w:w="0"/>
              <w:jc w:val="center"/>
              <w:tblLook w:firstColumn="1" w:firstRow="1" w:lastColumn="0" w:lastRow="0" w:noHBand="0" w:noVBand="1" w:val="04A0"/>
              <w:bidiVisual w:val="1"/>
            </w:tblPr>
            <w:tblGrid>
              <w:gridCol w:w="9865"/>
            </w:tblGrid>
            <w:tr>
              <w:tc>
                <w:tcPr>
                  <w:tcW w:type="dxa" w:w="3969"/>
                  <w:vAlign w:val="center"/>
                  <w:tcMar>
                    <w:top w:w="80" w:type="dxa"/>
                    <w:start w:w="80" w:type="dxa"/>
                    <w:bottom w:w="80" w:type="dxa"/>
                    <w:end w:w="80" w:type="dxa"/>
                  </w:tcMar>
                  <w:shd w:fill="2A9D8F"/>
                </w:tcPr>
                <w:p>
                  <w:r/>
                </w:p>
              </w:tc>
            </w:tr>
          </w:tbl>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60" w:before="0" w:line="264" w:lineRule="auto"/>
              <w:jc w:val="center"/>
              <w:bidi w:val="1"/>
            </w:pPr>
            <w:r>
              <w:rPr>
                <w:rFonts w:ascii="B Zar" w:hAnsi="B Zar" w:cs="B Zar" w:eastAsia="B Zar"/>
                <w:b/>
                <w:color w:val="FFFFFF"/>
                <w:sz w:val="26"/>
              </w:rPr>
              <w:t>نسخهٔ صفر | سند زنده و محرمانه</w:t>
            </w:r>
          </w:p>
          <w:p>
            <w:pPr>
              <w:spacing w:after="60" w:before="0" w:line="264" w:lineRule="auto"/>
              <w:jc w:val="center"/>
              <w:bidi w:val="1"/>
            </w:pPr>
            <w:r>
              <w:rPr>
                <w:rFonts w:ascii="B Zar" w:hAnsi="B Zar" w:cs="B Zar" w:eastAsia="B Zar"/>
                <w:color w:val="D9EAF0"/>
                <w:sz w:val="23"/>
              </w:rPr>
              <w:t>۱۲ مهر ۱۴۰۵  |  ۴ اکتبر ۲۰۲۶</w:t>
            </w:r>
          </w:p>
          <w:p>
            <w:pPr>
              <w:spacing w:after="60" w:before="0" w:line="264" w:lineRule="auto"/>
              <w:jc w:val="center"/>
              <w:bidi w:val="1"/>
            </w:pPr>
            <w:r>
              <w:rPr>
                <w:rFonts w:ascii="B Zar" w:hAnsi="B Zar" w:cs="B Zar" w:eastAsia="B Zar"/>
                <w:color w:val="D9EAF0"/>
                <w:sz w:val="23"/>
              </w:rPr>
              <w:t>تهیه‌شده برای: مالک پروژه</w:t>
            </w: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p>
            <w:pPr>
              <w:spacing w:after="0" w:before="0" w:line="240" w:lineRule="auto"/>
              <w:jc w:val="center"/>
              <w:bidi w:val="1"/>
            </w:pPr>
          </w:p>
        </w:tc>
      </w:tr>
    </w:tbl>
    <w:p>
      <w:pPr>
        <w:spacing w:after="0" w:before="200" w:line="288" w:lineRule="auto"/>
        <w:jc w:val="center"/>
        <w:bidi w:val="1"/>
      </w:pPr>
      <w:r>
        <w:rPr>
          <w:rFonts w:ascii="B Zar" w:hAnsi="B Zar" w:cs="B Zar" w:eastAsia="B Zar"/>
          <w:i/>
          <w:color w:val="6B7280"/>
          <w:sz w:val="19"/>
        </w:rPr>
        <w:t>این نسخه هنوز حکم سرمایه‌گذاری یا گزارش نهایی بازار نیست؛ مبنای کنترل‌شدهٔ افزودن پرونده‌های پژوهش عمیق است.</w:t>
      </w:r>
    </w:p>
    <w:p>
      <w:pPr>
        <w:sectPr>
          <w:pgSz w:w="11906" w:h="16838"/>
          <w:pgMar w:top="964" w:right="1020" w:bottom="907" w:left="1020" w:header="720" w:footer="720" w:gutter="0"/>
          <w:cols w:space="720"/>
          <w:docGrid w:linePitch="360"/>
        </w:sectPr>
      </w:pPr>
    </w:p>
    <w:p>
      <w:pPr>
        <w:pStyle w:val="Heading1"/>
        <w:spacing w:after="120" w:before="280" w:line="276" w:lineRule="auto"/>
        <w:jc w:val="right"/>
        <w:bidi w:val="1"/>
      </w:pPr>
      <w:r>
        <w:rPr>
          <w:rFonts w:ascii="B Zar" w:hAnsi="B Zar" w:cs="B Zar" w:eastAsia="B Zar"/>
          <w:b/>
          <w:color w:val="1F3A5F"/>
          <w:sz w:val="32"/>
        </w:rPr>
        <w:t>شناسه و کنترل نسخه</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32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فیلد</w:t>
            </w:r>
          </w:p>
        </w:tc>
        <w:tc>
          <w:tcPr>
            <w:tcW w:type="dxa" w:w="7483"/>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مقدار</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عنوان سند</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گزارش جامع تحقیقات بازار فرصت‌های پلتفرمی و نرم‌افزاری مد، پوشاک و فشن ایران</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نوع سند</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سند مادر / زنده؛ محل تجمیع پرونده‌های پژوهش عمیق و تصمیم‌های مستند</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نسخه</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۰٫۱ — ایجاد چارچوب و فهرست اولیهٔ پرونده‌ها</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تاریخ انتشار</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۱۲ مهر ۱۴۰۵ / ۴ اکتبر ۲۰۲۶</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مالک سند</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مالک پروژه</w:t>
            </w:r>
          </w:p>
        </w:tc>
      </w:tr>
      <w:tr>
        <w:trPr>
          <w:cantSplit/>
        </w:trPr>
        <w:tc>
          <w:tcPr>
            <w:tcW w:type="dxa" w:w="232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دامنهٔ جغرافیایی اصلی</w:t>
            </w:r>
          </w:p>
        </w:tc>
        <w:tc>
          <w:tcPr>
            <w:tcW w:type="dxa" w:w="748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ایران؛ benchmark و category proof جهانی در پرونده‌های مربوطه</w:t>
            </w:r>
          </w:p>
        </w:tc>
      </w:tr>
      <w:tr>
        <w:trPr>
          <w:cantSplit/>
        </w:trPr>
        <w:tc>
          <w:tcPr>
            <w:tcW w:type="dxa" w:w="232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محرمانگی</w:t>
            </w:r>
          </w:p>
        </w:tc>
        <w:tc>
          <w:tcPr>
            <w:tcW w:type="dxa" w:w="748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1"/>
              </w:rPr>
              <w:t>داخلی؛ بازنشر هر بخش منوط به کنترل منابع، حقوق داده و تأیید مالک پروژه است.</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FFF3D6"/>
            <w:tcBorders>
              <w:top w:val="single" w:sz="8" w:color="8A610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8A6100"/>
                <w:sz w:val="23"/>
              </w:rPr>
              <w:t>یادداشت اعتبار نسخهٔ صفر</w:t>
            </w:r>
          </w:p>
          <w:p>
            <w:pPr>
              <w:spacing w:after="40" w:before="0" w:line="324" w:lineRule="auto"/>
              <w:jc w:val="right"/>
              <w:bidi w:val="1"/>
            </w:pPr>
            <w:r>
              <w:rPr>
                <w:rFonts w:ascii="B Zar" w:hAnsi="B Zar" w:cs="B Zar" w:eastAsia="B Zar"/>
                <w:color w:val="263238"/>
                <w:sz w:val="21"/>
              </w:rPr>
              <w:t>این سند در این مرحله، روش، مرز تصمیم، سبد پرونده‌ها، ترتیب پژوهش و استاندارد بصری را تثبیت می‌کند. market size، willingness-to-pay، سهم بازار یا forecast هیچ پرونده‌ای بدون منبع و روش معتبر در این نسخه قطعی تلقی نمی‌شود.</w:t>
            </w:r>
          </w:p>
        </w:tc>
      </w:tr>
    </w:tbl>
    <w:p/>
    <w:p>
      <w:pPr>
        <w:pStyle w:val="Heading1"/>
        <w:spacing w:after="120" w:before="280" w:line="276" w:lineRule="auto"/>
        <w:jc w:val="right"/>
        <w:bidi w:val="1"/>
      </w:pPr>
      <w:r>
        <w:rPr>
          <w:rFonts w:ascii="B Zar" w:hAnsi="B Zar" w:cs="B Zar" w:eastAsia="B Zar"/>
          <w:b/>
          <w:color w:val="1F3A5F"/>
          <w:sz w:val="32"/>
        </w:rPr>
        <w:t>فهرست مطالب</w:t>
      </w:r>
    </w:p>
    <w:p>
      <w:pPr>
        <w:spacing w:after="100" w:before="0" w:line="288" w:lineRule="auto"/>
        <w:jc w:val="right"/>
        <w:bidi w:val="1"/>
      </w:pPr>
      <w:fldSimple w:instr="TOC \o &quot;1-3&quot; \h \z \u"/>
    </w:p>
    <w:p>
      <w:pPr>
        <w:spacing w:after="160" w:before="0" w:line="264" w:lineRule="auto"/>
        <w:jc w:val="right"/>
        <w:bidi w:val="1"/>
      </w:pPr>
      <w:r>
        <w:rPr>
          <w:rFonts w:ascii="B Zar" w:hAnsi="B Zar" w:cs="B Zar" w:eastAsia="B Zar"/>
          <w:i/>
          <w:color w:val="6B7280"/>
          <w:sz w:val="19"/>
        </w:rPr>
        <w:t>راهنما: در Microsoft Word روی فهرست راست‌کلیک کرده و «Update Field / Update entire table» را انتخاب کنید. هنگام باز شدن فایل نیز درخواست به‌روزرسانی خودکار فعال است.</w:t>
      </w:r>
    </w:p>
    <w:p>
      <w:r>
        <w:br w:type="page"/>
      </w:r>
    </w:p>
    <w:p>
      <w:pPr>
        <w:pStyle w:val="Heading1"/>
        <w:spacing w:after="120" w:before="280" w:line="276" w:lineRule="auto"/>
        <w:jc w:val="right"/>
        <w:bidi w:val="1"/>
      </w:pPr>
      <w:r>
        <w:rPr>
          <w:rFonts w:ascii="B Zar" w:hAnsi="B Zar" w:cs="B Zar" w:eastAsia="B Zar"/>
          <w:b/>
          <w:color w:val="1F3A5F"/>
          <w:sz w:val="32"/>
        </w:rPr>
        <w:t>۱. خلاصهٔ مدیریتی و هدف سند</w:t>
      </w:r>
    </w:p>
    <w:p>
      <w:pPr>
        <w:spacing w:after="140" w:before="0" w:line="348" w:lineRule="auto"/>
        <w:jc w:val="right"/>
        <w:bidi w:val="1"/>
      </w:pPr>
      <w:r>
        <w:rPr>
          <w:rFonts w:ascii="B Zar" w:hAnsi="B Zar" w:cs="B Zar" w:eastAsia="B Zar"/>
          <w:b w:val="0"/>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40" w:before="0" w:line="348" w:lineRule="auto"/>
        <w:jc w:val="right"/>
        <w:bidi w:val="1"/>
      </w:pPr>
      <w:r>
        <w:rPr>
          <w:rFonts w:ascii="B Zar" w:hAnsi="B Zar" w:cs="B Zar" w:eastAsia="B Zar"/>
          <w:b w:val="0"/>
          <w:color w:val="263238"/>
          <w:sz w:val="22"/>
        </w:rPr>
        <w:t>نسخهٔ صفر،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89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پرسش تصمیم</w:t>
            </w:r>
          </w:p>
        </w:tc>
        <w:tc>
          <w:tcPr>
            <w:tcW w:type="dxa" w:w="691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پاسخ این برنامه در پایان هر پرونده</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مسئله واقعی است؟</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شواهد frequency، severity، workflow فعلی و هزینهٔ شکست؛ نه فقط علاقهٔ لفظی.</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چه کسی می‌خرد و چرا؟</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تفکیک user، economic buyer، influencer، بودجه، trigger و مسیر خرید.</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بازار به‌قدر کافی جذاب است؟</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TAM/SAM/SOM با تعریف روشن، روش، مفروضات و سناریو؛ یا ثبت صادقانهٔ شکاف داده.</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رقیب واقعی چیست؟</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رقیب مستقیم، ابزار عمومی، روش دستی، service و وضعیت محلی؛ نه فقط شرکت‌های شناخته‌شده.</w:t>
            </w:r>
          </w:p>
        </w:tc>
      </w:tr>
      <w:tr>
        <w:trPr>
          <w:cantSplit/>
        </w:trPr>
        <w:tc>
          <w:tcPr>
            <w:tcW w:type="dxa" w:w="289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آیا می‌توان بدون عملیات نامطلوب اجرا کرد؟</w:t>
            </w:r>
          </w:p>
        </w:tc>
        <w:tc>
          <w:tcPr>
            <w:tcW w:type="dxa" w:w="691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وابستگی به لجستیک، انبار، field work، expert network، API، مقررات و سرمایه.</w:t>
            </w:r>
          </w:p>
        </w:tc>
      </w:tr>
      <w:tr>
        <w:trPr>
          <w:cantSplit/>
        </w:trPr>
        <w:tc>
          <w:tcPr>
            <w:tcW w:type="dxa" w:w="289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پس چه باید کرد؟</w:t>
            </w:r>
          </w:p>
        </w:tc>
        <w:tc>
          <w:tcPr>
            <w:tcW w:type="dxa" w:w="691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Pass / Watch / Pause / Reject یا Out of scope، همراه با گیت اعتبارسنجی و kill criterion.</w:t>
            </w:r>
          </w:p>
        </w:tc>
      </w:tr>
    </w:tbl>
    <w:p/>
    <w:p>
      <w:pPr>
        <w:pStyle w:val="Heading1"/>
        <w:spacing w:after="120" w:before="280" w:line="276" w:lineRule="auto"/>
        <w:jc w:val="right"/>
        <w:bidi w:val="1"/>
      </w:pPr>
      <w:r>
        <w:rPr>
          <w:rFonts w:ascii="B Zar" w:hAnsi="B Zar" w:cs="B Zar" w:eastAsia="B Zar"/>
          <w:b/>
          <w:color w:val="1F3A5F"/>
          <w:sz w:val="32"/>
        </w:rPr>
        <w:t>۲. دامنه، مرزها و اصول تصمیم</w:t>
      </w:r>
    </w:p>
    <w:p>
      <w:pPr>
        <w:spacing w:after="140" w:before="0" w:line="348" w:lineRule="auto"/>
        <w:jc w:val="right"/>
        <w:bidi w:val="1"/>
      </w:pPr>
      <w:r>
        <w:rPr>
          <w:rFonts w:ascii="B Zar" w:hAnsi="B Zar" w:cs="B Zar" w:eastAsia="B Zar"/>
          <w:b w:val="0"/>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66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قاعدهٔ دامنه</w:t>
            </w:r>
          </w:p>
        </w:tc>
        <w:tc>
          <w:tcPr>
            <w:tcW w:type="dxa" w:w="7143"/>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تفسیر اجرایی در این گزارش</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فقط پلتفرم/نرم‌افزار</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فروشگاه، برند پوشاک، تولید فیزیکی یا marketplace عمومی به‌عنوان پیشنهاد نهایی مطرح نمی‌شود.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B2B و B2C جدا</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برای هر مسیر، buyer، KPI، توزیع، مدل درآمد و معیار اعتبارسنجی بر اساس نوع بازار جداگانه نوشته می‌شود.</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عدم بازنام‌گذاری</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مسیرهای ردشده با نام، UI یا buzzword جدید دوباره به‌عنوان candidate معرفی نمی‌شوند.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جایگزین واقعی مقدم بر نبود رقیب</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Excel، WhatsApp، سرویس مدیریت‌شده، ERP، مدیر باتجربه یا ابزار عمومی هم «رقیب» هستند.</w:t>
            </w:r>
          </w:p>
        </w:tc>
      </w:tr>
      <w:tr>
        <w:trPr>
          <w:cantSplit/>
        </w:trPr>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رد بدون حذف</w:t>
            </w:r>
          </w:p>
        </w:tc>
        <w:tc>
          <w:tcPr>
            <w:tcW w:type="dxa" w:w="7143"/>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پرونده‌های رد/متوقف در گزارش باقی می‌مانند تا یادگیری و جلوگیری از تکرار تصمیم حفظ شود.</w:t>
            </w:r>
          </w:p>
        </w:tc>
      </w:tr>
      <w:tr>
        <w:trPr>
          <w:cantSplit/>
        </w:trPr>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نتیجه‌گیری مشروط</w:t>
            </w:r>
          </w:p>
        </w:tc>
        <w:tc>
          <w:tcPr>
            <w:tcW w:type="dxa" w:w="7143"/>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وجود category جهانی یا clone داخلی، به‌تنهایی برای go/no-go کافی نیست.</w:t>
            </w:r>
          </w:p>
        </w:tc>
      </w:tr>
    </w:tbl>
    <w:p/>
    <w:p>
      <w:pPr>
        <w:pStyle w:val="Heading1"/>
        <w:spacing w:after="120" w:before="280" w:line="276" w:lineRule="auto"/>
        <w:jc w:val="right"/>
        <w:bidi w:val="1"/>
      </w:pPr>
      <w:r>
        <w:rPr>
          <w:rFonts w:ascii="B Zar" w:hAnsi="B Zar" w:cs="B Zar" w:eastAsia="B Zar"/>
          <w:b/>
          <w:color w:val="1F3A5F"/>
          <w:sz w:val="32"/>
        </w:rPr>
        <w:t>۳. استاندارد روش‌شناسی و کیفیت شواهد</w:t>
      </w:r>
    </w:p>
    <w:p>
      <w:pPr>
        <w:spacing w:after="140" w:before="0" w:line="348" w:lineRule="auto"/>
        <w:jc w:val="right"/>
        <w:bidi w:val="1"/>
      </w:pPr>
      <w:r>
        <w:rPr>
          <w:rFonts w:ascii="B Zar" w:hAnsi="B Zar" w:cs="B Zar" w:eastAsia="B Zar"/>
          <w:b w:val="0"/>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43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برچسب</w:t>
            </w:r>
          </w:p>
        </w:tc>
        <w:tc>
          <w:tcPr>
            <w:tcW w:type="dxa" w:w="737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تعریف و نحوهٔ ارائه در پرونده</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F — واقعیت مستند</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منبع قابل بازبینی، تاریخ، جغرافیا و درجهٔ منبع دارد.</w:t>
            </w:r>
          </w:p>
        </w:tc>
      </w:tr>
      <w:tr>
        <w:trPr>
          <w:cantSplit/>
        </w:trPr>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E — برآورد</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فرمول، ورودی‌ها، مفروضات، بازه و sensitivity مشخص است.</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H — فرضیه</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هنوز اثبات نشده و با طرح آزمون، KPI و kill criterion بیان می‌شود.</w:t>
            </w:r>
          </w:p>
        </w:tc>
      </w:tr>
      <w:tr>
        <w:trPr>
          <w:cantSplit/>
        </w:trPr>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I — تفسیر</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برداشت تحلیلگر از چند شواهد است؛ از یافتهٔ خام جدا می‌ماند.</w:t>
            </w:r>
          </w:p>
        </w:tc>
      </w:tr>
      <w:tr>
        <w:trPr>
          <w:cantSplit/>
        </w:trPr>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R — توصیه</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اقدام، اولویت، مالک، زمان و معیار موفقیت/شکست دارد.</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E6F4F2"/>
            <w:tcBorders>
              <w:top w:val="single" w:sz="8" w:color="1F7A7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1F7A70"/>
                <w:sz w:val="23"/>
              </w:rPr>
              <w:t>قاعدهٔ نمودار و عدد</w:t>
            </w:r>
          </w:p>
          <w:p>
            <w:pPr>
              <w:spacing w:after="40" w:before="0" w:line="324" w:lineRule="auto"/>
              <w:jc w:val="right"/>
              <w:bidi w:val="1"/>
            </w:pPr>
            <w:r>
              <w:rPr>
                <w:rFonts w:ascii="B Zar" w:hAnsi="B Zar" w:cs="B Zar" w:eastAsia="B Zar"/>
                <w:color w:val="263238"/>
                <w:sz w:val="21"/>
              </w:rPr>
              <w:t>هیچ نمودار اندازهٔ بازار، سهم بازار، درآمد یا رضایت با دادهٔ نمونه یا عدد بی‌منبع وارد این گزارش نمی‌شود. نمودارهای نسخهٔ صفر فقط وضعیت واقعی برنامهٔ پژوهش را نمایش می‌دهند. نمودارهای هر پرونده پس از ثبت منبع، تعریف، واحد و روش ایجاد می‌شوند.</w:t>
            </w:r>
          </w:p>
        </w:tc>
      </w:tr>
    </w:tbl>
    <w:p/>
    <w:p>
      <w:pPr>
        <w:pStyle w:val="Heading1"/>
        <w:spacing w:after="120" w:before="280" w:line="276" w:lineRule="auto"/>
        <w:jc w:val="right"/>
        <w:bidi w:val="1"/>
      </w:pPr>
      <w:r>
        <w:rPr>
          <w:rFonts w:ascii="B Zar" w:hAnsi="B Zar" w:cs="B Zar" w:eastAsia="B Zar"/>
          <w:b/>
          <w:color w:val="1F3A5F"/>
          <w:sz w:val="32"/>
        </w:rPr>
        <w:t>۴. معماری گزارش جامع ۵۰۰+ صفحه‌ای</w:t>
      </w:r>
    </w:p>
    <w:p>
      <w:pPr>
        <w:spacing w:after="140" w:before="0" w:line="348" w:lineRule="auto"/>
        <w:jc w:val="right"/>
        <w:bidi w:val="1"/>
      </w:pPr>
      <w:r>
        <w:rPr>
          <w:rFonts w:ascii="B Zar" w:hAnsi="B Zar" w:cs="B Zar" w:eastAsia="B Zar"/>
          <w:b w:val="0"/>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81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لایه</w:t>
            </w:r>
          </w:p>
        </w:tc>
        <w:tc>
          <w:tcPr>
            <w:tcW w:type="dxa" w:w="368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محتوا</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عمق هدف</w:t>
            </w:r>
          </w:p>
        </w:tc>
        <w:tc>
          <w:tcPr>
            <w:tcW w:type="dxa" w:w="243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حکم تکمیل</w:t>
            </w:r>
          </w:p>
        </w:tc>
      </w:tr>
      <w:tr>
        <w:trPr>
          <w:cantSplit/>
        </w:trPr>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جلد و مدیریت سند</w:t>
            </w:r>
          </w:p>
        </w:tc>
        <w:tc>
          <w:tcPr>
            <w:tcW w:type="dxa" w:w="368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فهرست، واژه‌نامه، روش، register، dashboard و changelog</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۲۵–۴۰ صفحه</w:t>
            </w:r>
          </w:p>
        </w:tc>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در نسخه صفر ایجاد شد</w:t>
            </w:r>
          </w:p>
        </w:tc>
      </w:tr>
      <w:tr>
        <w:trPr>
          <w:cantSplit/>
        </w:trPr>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پرونده‌های فعال / Watch</w:t>
            </w:r>
          </w:p>
        </w:tc>
        <w:tc>
          <w:tcPr>
            <w:tcW w:type="dxa" w:w="368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تحقیق بازار کامل، رقابت، sizing، WTP، مدل، risk و validation</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۲۰–۳۵ صفحه برای هر مسیر</w:t>
            </w:r>
          </w:p>
        </w:tc>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تکمیل evidence ledger و verdict</w:t>
            </w:r>
          </w:p>
        </w:tc>
      </w:tr>
      <w:tr>
        <w:trPr>
          <w:cantSplit/>
        </w:trPr>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پرونده‌های Pause / Reject</w:t>
            </w:r>
          </w:p>
        </w:tc>
        <w:tc>
          <w:tcPr>
            <w:tcW w:type="dxa" w:w="368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پیشینه، بازار/جایگزین، دلیل تصمیم، counterargument و trigger بازگشایی</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۸–۱۵ صفحه برای هر مسیر</w:t>
            </w:r>
          </w:p>
        </w:tc>
        <w:tc>
          <w:tcPr>
            <w:tcW w:type="dxa" w:w="243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ثبت کامل منطق رد/توقف</w:t>
            </w:r>
          </w:p>
        </w:tc>
      </w:tr>
      <w:tr>
        <w:trPr>
          <w:cantSplit/>
        </w:trPr>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پیوست‌های قابل‌حسابرسی</w:t>
            </w:r>
          </w:p>
        </w:tc>
        <w:tc>
          <w:tcPr>
            <w:tcW w:type="dxa" w:w="368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منابع، محاسبات، مصاحبه‌ها، ابزار survey، data book و changelog</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به‌تناسب داده</w:t>
            </w:r>
          </w:p>
        </w:tc>
        <w:tc>
          <w:tcPr>
            <w:tcW w:type="dxa" w:w="243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بدون تغییر متن اصلی</w:t>
            </w:r>
          </w:p>
        </w:tc>
      </w:tr>
    </w:tbl>
    <w:p/>
    <w:p>
      <w:r>
        <w:br w:type="page"/>
      </w:r>
    </w:p>
    <w:p>
      <w:pPr>
        <w:pStyle w:val="Heading1"/>
        <w:spacing w:after="120" w:before="280" w:line="276" w:lineRule="auto"/>
        <w:jc w:val="right"/>
        <w:bidi w:val="1"/>
      </w:pPr>
      <w:r>
        <w:rPr>
          <w:rFonts w:ascii="B Zar" w:hAnsi="B Zar" w:cs="B Zar" w:eastAsia="B Zar"/>
          <w:b/>
          <w:color w:val="1F3A5F"/>
          <w:sz w:val="32"/>
        </w:rPr>
        <w:t>۵. دفتر ثبت پرونده‌های فشن</w:t>
      </w:r>
    </w:p>
    <w:p>
      <w:pPr>
        <w:spacing w:after="140" w:before="0" w:line="348" w:lineRule="auto"/>
        <w:jc w:val="right"/>
        <w:bidi w:val="1"/>
      </w:pPr>
      <w:r>
        <w:rPr>
          <w:rFonts w:ascii="B Zar" w:hAnsi="B Zar" w:cs="B Zar" w:eastAsia="B Zar"/>
          <w:b w:val="0"/>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328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w:t>
            </w:r>
          </w:p>
        </w:tc>
        <w:tc>
          <w:tcPr>
            <w:tcW w:type="dxa" w:w="130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تعداد پرونده</w:t>
            </w:r>
          </w:p>
        </w:tc>
        <w:tc>
          <w:tcPr>
            <w:tcW w:type="dxa" w:w="5216"/>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تفسیر</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فعال برای اعتبارسنجی</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نیازمند پژوهش عمیق</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متوقف / Pause</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3</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اولویت پایین</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رد / آرشیوی</w:t>
            </w:r>
          </w:p>
        </w:tc>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30</w:t>
            </w:r>
          </w:p>
        </w:tc>
        <w:tc>
          <w:tcPr>
            <w:tcW w:type="dxa" w:w="521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r>
        <w:trPr>
          <w:cantSplit/>
        </w:trPr>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خارج از دامنه</w:t>
            </w:r>
          </w:p>
        </w:tc>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2</w:t>
            </w:r>
          </w:p>
        </w:tc>
        <w:tc>
          <w:tcPr>
            <w:tcW w:type="dxa" w:w="521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20"/>
              </w:rPr>
              <w:t>تعریف وضعیت در استاندارد داخلی</w:t>
            </w:r>
          </w:p>
        </w:tc>
      </w:tr>
    </w:tbl>
    <w:p/>
    <w:p>
      <w:pPr>
        <w:spacing w:after="140" w:before="0" w:line="240" w:lineRule="auto"/>
        <w:jc w:val="right"/>
        <w:bidi w:val="1"/>
      </w:pPr>
      <w:r>
        <w:rPr>
          <w:rFonts w:ascii="B Zar" w:hAnsi="B Zar" w:cs="B Zar" w:eastAsia="B Zar"/>
          <w:b/>
          <w:i/>
          <w:color w:val="6B7280"/>
          <w:sz w:val="20"/>
        </w:rPr>
        <w:t>شکل ۱ — توزیع وضعیت پرونده‌های موجود در نسخهٔ صفر</w:t>
      </w:r>
    </w:p>
    <w:p>
      <w:pPr>
        <w:spacing w:after="200"/>
        <w:jc w:val="center"/>
      </w:pPr>
      <w:r>
        <w:drawing>
          <wp:inline xmlns:a="http://schemas.openxmlformats.org/drawingml/2006/main" xmlns:pic="http://schemas.openxmlformats.org/drawingml/2006/picture">
            <wp:extent cx="5940000" cy="3192750"/>
            <wp:docPr id="1" name="Picture 1"/>
            <wp:cNvGraphicFramePr>
              <a:graphicFrameLocks noChangeAspect="1"/>
            </wp:cNvGraphicFramePr>
            <a:graphic>
              <a:graphicData uri="http://schemas.openxmlformats.org/drawingml/2006/picture">
                <pic:pic>
                  <pic:nvPicPr>
                    <pic:cNvPr id="0" name="portfolio_status_1405.png"/>
                    <pic:cNvPicPr/>
                  </pic:nvPicPr>
                  <pic:blipFill>
                    <a:blip r:embed="rId11"/>
                    <a:stretch>
                      <a:fillRect/>
                    </a:stretch>
                  </pic:blipFill>
                  <pic:spPr>
                    <a:xfrm>
                      <a:off x="0" y="0"/>
                      <a:ext cx="5940000" cy="3192750"/>
                    </a:xfrm>
                    <a:prstGeom prst="rect"/>
                  </pic:spPr>
                </pic:pic>
              </a:graphicData>
            </a:graphic>
          </wp:inline>
        </w:drawing>
      </w:r>
    </w:p>
    <w:p>
      <w:pPr>
        <w:spacing w:after="160" w:before="0" w:line="264" w:lineRule="auto"/>
        <w:jc w:val="right"/>
        <w:bidi w:val="1"/>
      </w:pPr>
      <w:r>
        <w:rPr>
          <w:rFonts w:ascii="B Zar" w:hAnsi="B Zar" w:cs="B Zar" w:eastAsia="B Zar"/>
          <w:i/>
          <w:color w:val="6B7280"/>
          <w:sz w:val="18"/>
        </w:rPr>
        <w:t>یادداشت: این نمودار اندازهٔ بازار یا احتمال موفقیت را نشان نمی‌دهد؛ صرفاً شمارش وضعیت‌های ثبت‌شده در دفتر پژوهش است.</w:t>
      </w:r>
    </w:p>
    <w:p>
      <w:pPr>
        <w:pStyle w:val="Heading2"/>
        <w:spacing w:after="120" w:before="180" w:line="276" w:lineRule="auto"/>
        <w:jc w:val="right"/>
        <w:bidi w:val="1"/>
      </w:pPr>
      <w:r>
        <w:rPr>
          <w:rFonts w:ascii="B Zar" w:hAnsi="B Zar" w:cs="B Zar" w:eastAsia="B Zar"/>
          <w:b/>
          <w:color w:val="1F7A70"/>
          <w:sz w:val="27"/>
        </w:rPr>
        <w:t>۵-۱. مسیرهای فعال و فرضیه‌های نیازمند پژوهش عمیق</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F-01</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مدیریت گردش نمونهٔ لباس و Creator Seeding</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فعال برای اعتبارسنجی</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۱</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F-02</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تداوم لباس و مدیریت دارایی برای فیلم، سریال و تبلیغات</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فعال برای اعتبارسنجی</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۲</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F-03</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Tech Pack → تأیید نمونه → قفل انتشار تولید انبوه</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Watch / نیازمند اثبات</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۳</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F-04</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اصالت‌سنجی مستقل پوشاک/اسنیکر برند پیش از معامله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Watch / نیازمند اثبات</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عمیق در صف ۴</w:t>
            </w:r>
          </w:p>
        </w:tc>
      </w:tr>
    </w:tbl>
    <w:p/>
    <w:p>
      <w:pPr>
        <w:pStyle w:val="Heading2"/>
        <w:spacing w:after="120" w:before="180" w:line="276" w:lineRule="auto"/>
        <w:jc w:val="right"/>
        <w:bidi w:val="1"/>
      </w:pPr>
      <w:r>
        <w:rPr>
          <w:rFonts w:ascii="B Zar" w:hAnsi="B Zar" w:cs="B Zar" w:eastAsia="B Zar"/>
          <w:b/>
          <w:color w:val="1F7A70"/>
          <w:sz w:val="27"/>
        </w:rPr>
        <w:t>۵-۲. مسیرهای متوقف‌شده به درخواست کاربر</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F-07</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فشن‌گیم اجتماعی بومی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F-08</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Sew-Along و Help Loop پروژه‌محور برای خیاطی خانگی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F-09</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Brief → Critique → Revision برای طراحان نوپا</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Pause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بازگشایی فقط با درخواست صریح</w:t>
            </w:r>
          </w:p>
        </w:tc>
      </w:tr>
    </w:tbl>
    <w:p/>
    <w:p>
      <w:pPr>
        <w:pStyle w:val="Heading2"/>
        <w:spacing w:after="120" w:before="180" w:line="276" w:lineRule="auto"/>
        <w:jc w:val="right"/>
        <w:bidi w:val="1"/>
      </w:pPr>
      <w:r>
        <w:rPr>
          <w:rFonts w:ascii="B Zar" w:hAnsi="B Zar" w:cs="B Zar" w:eastAsia="B Zar"/>
          <w:b/>
          <w:color w:val="1F7A70"/>
          <w:sz w:val="27"/>
        </w:rPr>
        <w:t>۵-۳. مسیرهای محصول و تولید که در وضعیت آرشیوی/خارج از دامنه‌اند</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CAD/3D و الگوسازی دیجیتال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PLM/ERP عمومی فشن و design-to-production suite</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سایزدهی و پرو مجازی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رنگ، lab-dip و تأیید رنگ پارچه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اجرای خط دوخت، WIP، barcode و line balancing</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QC/AQL/CAPA و کنترل کیفیت عمومی پوشاک</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فروش الگوی دیجیتال و الگوسازی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OS مزون و خیاطی سفارشی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استودیوی managed «ایده تا تولید»</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خارج از دامنه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F-19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costing و product development عمومی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Proof-to-Production برای چاپ/DTF/DTG/گلدوزی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Skill Passport و Training OS اپراتور دوخت</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pPr>
        <w:pStyle w:val="Heading2"/>
        <w:spacing w:after="120" w:before="180" w:line="276" w:lineRule="auto"/>
        <w:jc w:val="right"/>
        <w:bidi w:val="1"/>
      </w:pPr>
      <w:r>
        <w:rPr>
          <w:rFonts w:ascii="B Zar" w:hAnsi="B Zar" w:cs="B Zar" w:eastAsia="B Zar"/>
          <w:b/>
          <w:color w:val="1F7A70"/>
          <w:sz w:val="27"/>
        </w:rPr>
        <w:t>۵-۴. مسیرهای retail، برند و commerce در وضعیت آرشیوی</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Demand Intelligence و برنامه‌ریزی تقاضا/کالکشن</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merchandise allocation و in-season rebalancing</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بازپیشنهاد نشود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Fashion retail intelligence: قیمت/assortment/رقیب</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بازپیشنهاد نشود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Clienteling، استایلینگ نوبتی و VIP shopping</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برنامهٔ مرجوعی و تعویض پوشاک چندکاناله</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کنار گذاشته شده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Social / Live Commerce OS برای بوتیک فشن</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private wholesale showroom و پیش‌سفارش کالکشن</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F-29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Content Studio OS فشن برای e-commerce</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Brand-protection command center پوشاک</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Digital Product Passport / QR اصالت برند</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اولیه</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F-32</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Uniform-as-a-Service و مدیریت چرخه لباس فرم</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کنار گذاشته شده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F-33</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بازارگاه حرفه‌ای خیاطی، پارچه و تولید</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pPr>
        <w:pStyle w:val="Heading2"/>
        <w:spacing w:after="120" w:before="180" w:line="276" w:lineRule="auto"/>
        <w:jc w:val="right"/>
        <w:bidi w:val="1"/>
      </w:pPr>
      <w:r>
        <w:rPr>
          <w:rFonts w:ascii="B Zar" w:hAnsi="B Zar" w:cs="B Zar" w:eastAsia="B Zar"/>
          <w:b/>
          <w:color w:val="1F7A70"/>
          <w:sz w:val="27"/>
        </w:rPr>
        <w:t>۵-۵. مسیرهای مصرف‌کننده و تخصصی در وضعیت آرشیوی/خارج از دامنه</w:t>
      </w:r>
    </w:p>
    <w:tbl>
      <w:tblPr>
        <w:tblW w:type="auto" w:w="0"/>
        <w:jc w:val="center"/>
        <w:tblLayout w:type="fixed"/>
        <w:tblLook w:firstColumn="1" w:firstRow="1" w:lastColumn="0" w:lastRow="0" w:noHBand="0" w:noVBand="1" w:val="04A0"/>
        <w:bidiVisual w:val="1"/>
      </w:tblPr>
      <w:tblGrid>
        <w:gridCol w:w="1973"/>
        <w:gridCol w:w="1973"/>
        <w:gridCol w:w="1973"/>
        <w:gridCol w:w="1973"/>
        <w:gridCol w:w="1973"/>
      </w:tblGrid>
      <w:tr>
        <w:trPr>
          <w:tblHeader w:val="true"/>
        </w:trPr>
        <w:tc>
          <w:tcPr>
            <w:tcW w:type="dxa" w:w="79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79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مسیر / محصول</w:t>
            </w:r>
          </w:p>
        </w:tc>
        <w:tc>
          <w:tcPr>
            <w:tcW w:type="dxa" w:w="124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بازار</w:t>
            </w:r>
          </w:p>
        </w:tc>
        <w:tc>
          <w:tcPr>
            <w:tcW w:type="dxa" w:w="187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تصمیم فعلی</w:t>
            </w:r>
          </w:p>
        </w:tc>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 در گزارش جامع</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F-34</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کمد دیجیتال و پیشنهاد استایل B2C</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F-35</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AI Fashion Photo و مدلینگ مجازی</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F-36</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interactive needlework player برای رودوزی ایرانی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F-37</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Fashion Product Truth Layer مصرف‌کننده</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به درخواست کاربر</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F-38</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repair، alteration و aftercare عمومی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F-39</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Healthwear با دسترسی درمانی مشخص</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خارج از مسیر پلتفرم فعال</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F-40</w:t>
            </w:r>
          </w:p>
        </w:tc>
        <w:tc>
          <w:tcPr>
            <w:tcW w:type="dxa" w:w="379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پوشاک تطبیقی عمومی برای معلولیت/سالمندی</w:t>
            </w:r>
          </w:p>
        </w:tc>
        <w:tc>
          <w:tcPr>
            <w:tcW w:type="dxa" w:w="124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B2C/B2B</w:t>
            </w:r>
          </w:p>
        </w:tc>
        <w:tc>
          <w:tcPr>
            <w:tcW w:type="dxa" w:w="187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 اولیه</w:t>
            </w:r>
          </w:p>
        </w:tc>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r>
        <w:trPr>
          <w:cantSplit/>
        </w:trPr>
        <w:tc>
          <w:tcPr>
            <w:tcW w:type="dxa" w:w="79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F-41</w:t>
            </w:r>
          </w:p>
        </w:tc>
        <w:tc>
          <w:tcPr>
            <w:tcW w:type="dxa" w:w="379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Model-agency / casting management</w:t>
            </w:r>
          </w:p>
        </w:tc>
        <w:tc>
          <w:tcPr>
            <w:tcW w:type="dxa" w:w="124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B2B</w:t>
            </w:r>
          </w:p>
        </w:tc>
        <w:tc>
          <w:tcPr>
            <w:tcW w:type="dxa" w:w="187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رد</w:t>
            </w:r>
          </w:p>
        </w:tc>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پروندهٔ آرشیوی تصمیم</w:t>
            </w:r>
          </w:p>
        </w:tc>
      </w:tr>
    </w:tbl>
    <w:p/>
    <w:p>
      <w:r>
        <w:br w:type="page"/>
      </w:r>
    </w:p>
    <w:p>
      <w:pPr>
        <w:pStyle w:val="Heading1"/>
        <w:spacing w:after="120" w:before="280" w:line="276" w:lineRule="auto"/>
        <w:jc w:val="right"/>
        <w:bidi w:val="1"/>
      </w:pPr>
      <w:r>
        <w:rPr>
          <w:rFonts w:ascii="B Zar" w:hAnsi="B Zar" w:cs="B Zar" w:eastAsia="B Zar"/>
          <w:b/>
          <w:color w:val="1F3A5F"/>
          <w:sz w:val="32"/>
        </w:rPr>
        <w:t>۶. قالب ثابت هر پروندهٔ تحقیق بازار</w:t>
      </w:r>
    </w:p>
    <w:p>
      <w:pPr>
        <w:spacing w:after="140" w:before="0" w:line="348" w:lineRule="auto"/>
        <w:jc w:val="right"/>
        <w:bidi w:val="1"/>
      </w:pPr>
      <w:r>
        <w:rPr>
          <w:rFonts w:ascii="B Zar" w:hAnsi="B Zar" w:cs="B Zar" w:eastAsia="B Zar"/>
          <w:b w:val="0"/>
          <w:color w:val="263238"/>
          <w:sz w:val="22"/>
        </w:rPr>
        <w:t>برای جلوگیری از گزارش‌های صرفاً توصیفی، هر پرونده با «کارت تصمیم» آغاز و با گیت اعتبارسنجی یا توصیهٔ صریح پایان می‌یابد. تیترهای زیر در همهٔ پرونده‌ها حفظ می‌شوند؛ عمق هر بخش تابع سطح بلوغ و کیفیت داده است.</w:t>
      </w:r>
    </w:p>
    <w:tbl>
      <w:tblPr>
        <w:tblW w:type="auto" w:w="0"/>
        <w:jc w:val="center"/>
        <w:tblLayout w:type="fixed"/>
        <w:tblLook w:firstColumn="1" w:firstRow="1" w:lastColumn="0" w:lastRow="0" w:noHBand="0" w:noVBand="1" w:val="04A0"/>
        <w:bidiVisual w:val="1"/>
      </w:tblPr>
      <w:tblGrid>
        <w:gridCol w:w="3289"/>
        <w:gridCol w:w="3289"/>
        <w:gridCol w:w="3289"/>
      </w:tblGrid>
      <w:tr>
        <w:trPr>
          <w:tblHeader w:val="true"/>
        </w:trPr>
        <w:tc>
          <w:tcPr>
            <w:tcW w:type="dxa" w:w="1757"/>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فصل پرونده</w:t>
            </w:r>
          </w:p>
        </w:tc>
        <w:tc>
          <w:tcPr>
            <w:tcW w:type="dxa" w:w="3969"/>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پرسش اصلی</w:t>
            </w:r>
          </w:p>
        </w:tc>
        <w:tc>
          <w:tcPr>
            <w:tcW w:type="dxa" w:w="4252"/>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خروجی اجباری</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۱. کارت تصمیم</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این مسیر چیست و اکنون چه تصمیمی نیاز دارد؟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تعریف، status، ICP، مرز، سه شاهد، سه شکاف، next step</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۲. مسئله و JTBD</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کدام جریان کاری یا رفتار واقعاً دچار اصطکاک است؟</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workflow، pain، frequency، cost of failure و workaround</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۳. بازار و تقاضا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مشتری/بخشی، در کجا و با چه budgetی دارد؟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segment، buyer journey، WTP evidence، TAM/SAM/SOM یا data gap</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۴. شواهد جهانی</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آیا category در بازارهای دیگر واقعا خریدار دارد؟</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benchmark، scale، revenue model، transferability limits</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۵. ایران و جایگزین‌ها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وضع موجود و تمام substituteهای واقعی ایران چیست؟</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competitor map، manual workflow، service و regulation</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۶. رقابت و تمایز</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white space باقی می‌ماند و چه چیزی آن را از بین می‌برد؟</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matrix، positioning، switching cost، counter-thesis</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۷. مدل کسب‌وکار و اجرا</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چگونه درآمد، توزیع و delivery بدون عملیات نامطلوب ممکن است؟</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pricing، GTM، unit economics، dependencies و product boundary</w:t>
            </w:r>
          </w:p>
        </w:tc>
      </w:tr>
      <w:tr>
        <w:trPr>
          <w:cantSplit/>
        </w:trPr>
        <w:tc>
          <w:tcPr>
            <w:tcW w:type="dxa" w:w="1757"/>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۸. ریسک و اعتبارسنجی</w:t>
            </w:r>
          </w:p>
        </w:tc>
        <w:tc>
          <w:tcPr>
            <w:tcW w:type="dxa" w:w="3969"/>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چه چیزی thesis را رد می‌کند و چگونه زود می‌فهمیم؟</w:t>
            </w:r>
          </w:p>
        </w:tc>
        <w:tc>
          <w:tcPr>
            <w:tcW w:type="dxa" w:w="425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risk register، pilot، KPI، hard kill و go/no-go</w:t>
            </w:r>
          </w:p>
        </w:tc>
      </w:tr>
      <w:tr>
        <w:trPr>
          <w:cantSplit/>
        </w:trPr>
        <w:tc>
          <w:tcPr>
            <w:tcW w:type="dxa" w:w="1757"/>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۹. پیوست و منابع</w:t>
            </w:r>
          </w:p>
        </w:tc>
        <w:tc>
          <w:tcPr>
            <w:tcW w:type="dxa" w:w="3969"/>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آیا ادعاها قابل حسابرسی‌اند؟</w:t>
            </w:r>
          </w:p>
        </w:tc>
        <w:tc>
          <w:tcPr>
            <w:tcW w:type="dxa" w:w="425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evidence ledger، source log، محاسبات و instruments</w:t>
            </w:r>
          </w:p>
        </w:tc>
      </w:tr>
    </w:tbl>
    <w:p/>
    <w:p>
      <w:pPr>
        <w:pStyle w:val="Heading1"/>
        <w:spacing w:after="120" w:before="280" w:line="276" w:lineRule="auto"/>
        <w:jc w:val="right"/>
        <w:bidi w:val="1"/>
      </w:pPr>
      <w:r>
        <w:rPr>
          <w:rFonts w:ascii="B Zar" w:hAnsi="B Zar" w:cs="B Zar" w:eastAsia="B Zar"/>
          <w:b/>
          <w:color w:val="1F3A5F"/>
          <w:sz w:val="32"/>
        </w:rPr>
        <w:t>۷. ترتیب اجرای پرونده‌های عمیق</w:t>
      </w:r>
    </w:p>
    <w:p>
      <w:pPr>
        <w:spacing w:after="140" w:before="0" w:line="348" w:lineRule="auto"/>
        <w:jc w:val="right"/>
        <w:bidi w:val="1"/>
      </w:pPr>
      <w:r>
        <w:rPr>
          <w:rFonts w:ascii="B Zar" w:hAnsi="B Zar" w:cs="B Zar" w:eastAsia="B Zar"/>
          <w:b w:val="0"/>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68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صف</w:t>
            </w:r>
          </w:p>
        </w:tc>
        <w:tc>
          <w:tcPr>
            <w:tcW w:type="dxa" w:w="68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06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پرونده</w:t>
            </w:r>
          </w:p>
        </w:tc>
        <w:tc>
          <w:tcPr>
            <w:tcW w:type="dxa" w:w="5556"/>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گیت اصلی قبل از هر تصمیم</w:t>
            </w:r>
          </w:p>
        </w:tc>
      </w:tr>
      <w:tr>
        <w:trPr>
          <w:cantSplit/>
        </w:trPr>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۱</w:t>
            </w:r>
          </w:p>
        </w:tc>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F-01</w:t>
            </w:r>
          </w:p>
        </w:tc>
        <w:tc>
          <w:tcPr>
            <w:tcW w:type="dxa" w:w="306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مدیریت گردش نمونهٔ لباس و Creator Seeding</w:t>
            </w:r>
          </w:p>
        </w:tc>
        <w:tc>
          <w:tcPr>
            <w:tcW w:type="dxa" w:w="555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حجم send-out، هزینهٔ گم‌شدن/تاخیر، buyer و پرداخت برای pilot بدون تبدیل شدن به marketplace.</w:t>
            </w:r>
          </w:p>
        </w:tc>
      </w:tr>
      <w:tr>
        <w:trPr>
          <w:cantSplit/>
        </w:trPr>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۲</w:t>
            </w:r>
          </w:p>
        </w:tc>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F-02</w:t>
            </w:r>
          </w:p>
        </w:tc>
        <w:tc>
          <w:tcPr>
            <w:tcW w:type="dxa" w:w="306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تداوم لباس و مدیریت دارایی production</w:t>
            </w:r>
          </w:p>
        </w:tc>
        <w:tc>
          <w:tcPr>
            <w:tcW w:type="dxa" w:w="555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budget پروژه‌ای، نیاز موبایل/آفلاین در صحنه، و ظرفیت بازار/مسیر توسعهٔ منطقه‌ای.</w:t>
            </w:r>
          </w:p>
        </w:tc>
      </w:tr>
      <w:tr>
        <w:trPr>
          <w:cantSplit/>
        </w:trPr>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۳</w:t>
            </w:r>
          </w:p>
        </w:tc>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F-03</w:t>
            </w:r>
          </w:p>
        </w:tc>
        <w:tc>
          <w:tcPr>
            <w:tcW w:type="dxa" w:w="306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Tech Pack تا bulk-release record</w:t>
            </w:r>
          </w:p>
        </w:tc>
        <w:tc>
          <w:tcPr>
            <w:tcW w:type="dxa" w:w="555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هزینهٔ version mismatch و فروش دو pilot پولی با استفادهٔ واقعی برند و کارگاه.</w:t>
            </w:r>
          </w:p>
        </w:tc>
      </w:tr>
      <w:tr>
        <w:trPr>
          <w:cantSplit/>
        </w:trPr>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۴</w:t>
            </w:r>
          </w:p>
        </w:tc>
        <w:tc>
          <w:tcPr>
            <w:tcW w:type="dxa" w:w="68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F-04</w:t>
            </w:r>
          </w:p>
        </w:tc>
        <w:tc>
          <w:tcPr>
            <w:tcW w:type="dxa" w:w="306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اصالت‌سنجی مستقل پوشاک/اسنیکر</w:t>
            </w:r>
          </w:p>
        </w:tc>
        <w:tc>
          <w:tcPr>
            <w:tcW w:type="dxa" w:w="5556"/>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اثبات WTP هر بررسی، قابلیت تضمین accuracy و پرهیز از نیاز به دریافت فیزیکی کالا.</w:t>
            </w:r>
          </w:p>
        </w:tc>
      </w:tr>
      <w:tr>
        <w:trPr>
          <w:cantSplit/>
        </w:trPr>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۵</w:t>
            </w:r>
          </w:p>
        </w:tc>
        <w:tc>
          <w:tcPr>
            <w:tcW w:type="dxa" w:w="68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F-05/F-06</w:t>
            </w:r>
          </w:p>
        </w:tc>
        <w:tc>
          <w:tcPr>
            <w:tcW w:type="dxa" w:w="306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ویژوال مرچندایزینگ و archive sub-segment</w:t>
            </w:r>
          </w:p>
        </w:tc>
        <w:tc>
          <w:tcPr>
            <w:tcW w:type="dxa" w:w="5556"/>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تنها پس از تکمیل چهار پروندهٔ اول یا trigger مشخص؛ اولویت مستقل پایین‌تر.</w:t>
            </w:r>
          </w:p>
        </w:tc>
      </w:tr>
    </w:tbl>
    <w:p/>
    <w:p>
      <w:pPr>
        <w:pStyle w:val="Heading1"/>
        <w:spacing w:after="120" w:before="280" w:line="276" w:lineRule="auto"/>
        <w:jc w:val="right"/>
        <w:bidi w:val="1"/>
      </w:pPr>
      <w:r>
        <w:rPr>
          <w:rFonts w:ascii="B Zar" w:hAnsi="B Zar" w:cs="B Zar" w:eastAsia="B Zar"/>
          <w:b/>
          <w:color w:val="1F3A5F"/>
          <w:sz w:val="32"/>
        </w:rPr>
        <w:t>۸. شکاف داده و برنامهٔ تکمیل شواهد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238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شکاف شواهد مشترک</w:t>
            </w:r>
          </w:p>
        </w:tc>
        <w:tc>
          <w:tcPr>
            <w:tcW w:type="dxa" w:w="255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چرا اکنون قطعی نیست؟</w:t>
            </w:r>
          </w:p>
        </w:tc>
        <w:tc>
          <w:tcPr>
            <w:tcW w:type="dxa" w:w="266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روش رفع</w:t>
            </w:r>
          </w:p>
        </w:tc>
        <w:tc>
          <w:tcPr>
            <w:tcW w:type="dxa" w:w="2381"/>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خروجی قابل قبول</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اندازهٔ بازار نرم‌افزار فشن در ایران</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تعریف بازارها ناهمگون و دادهٔ فروش/بودجه عمومی محدود است.</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bottom-up account mapping، مصاحبه buyer و sanity-check با spend واقعی.</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بازهٔ TAM/SAM با ورودی و sensitivity، نه یک عدد قطعی.</w:t>
            </w:r>
          </w:p>
        </w:tc>
      </w:tr>
      <w:tr>
        <w:trPr>
          <w:cantSplit/>
        </w:trPr>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تمایل به پرداخت</w:t>
            </w:r>
          </w:p>
        </w:tc>
        <w:tc>
          <w:tcPr>
            <w:tcW w:type="dxa" w:w="255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علاقهٔ لفظی و مشاهدهٔ مشکل معادل پرداخت نیست.</w:t>
            </w:r>
          </w:p>
        </w:tc>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مصاحبه artifact-based، price anchoring و paid design-partner/pilot.</w:t>
            </w:r>
          </w:p>
        </w:tc>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پیش‌پرداخت یا تعهد خرید با owner و budget مشخص.</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سهم/توان رقبا</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بیشتر بازیگران محلی دادهٔ مالی و مشتری منتشر نمی‌کنند.</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customer reference، product audit، pricing capture و expert interview.</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range با quality grade و توضیح method.</w:t>
            </w:r>
          </w:p>
        </w:tc>
      </w:tr>
      <w:tr>
        <w:trPr>
          <w:cantSplit/>
        </w:trPr>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مصرف‌کننده B2C</w:t>
            </w:r>
          </w:p>
        </w:tc>
        <w:tc>
          <w:tcPr>
            <w:tcW w:type="dxa" w:w="255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دانلود یا engagement، نشانهٔ retention/پرداخت پایدار نیست.</w:t>
            </w:r>
          </w:p>
        </w:tc>
        <w:tc>
          <w:tcPr>
            <w:tcW w:type="dxa" w:w="266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cohort test، رفتار پرداخت و retention cohort.</w:t>
            </w:r>
          </w:p>
        </w:tc>
        <w:tc>
          <w:tcPr>
            <w:tcW w:type="dxa" w:w="2381"/>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معیار فعال‌سازی، D30/D90 و contribution margin.</w:t>
            </w:r>
          </w:p>
        </w:tc>
      </w:tr>
      <w:tr>
        <w:trPr>
          <w:cantSplit/>
        </w:trPr>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قیود حقوقی و data</w:t>
            </w:r>
          </w:p>
        </w:tc>
        <w:tc>
          <w:tcPr>
            <w:tcW w:type="dxa" w:w="255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categoryها در حریم خصوصی، مالکیت محتوا/تصویر و consumer protection متفاوت‌اند.</w:t>
            </w:r>
          </w:p>
        </w:tc>
        <w:tc>
          <w:tcPr>
            <w:tcW w:type="dxa" w:w="266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بررسی حقوقی موضوعی پیش از pilot.</w:t>
            </w:r>
          </w:p>
        </w:tc>
        <w:tc>
          <w:tcPr>
            <w:tcW w:type="dxa" w:w="2381"/>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8"/>
              </w:rPr>
              <w:t>legal memo محدود به use case و risk register.</w:t>
            </w:r>
          </w:p>
        </w:tc>
      </w:tr>
    </w:tbl>
    <w:p/>
    <w:p>
      <w:pPr>
        <w:pStyle w:val="Heading1"/>
        <w:spacing w:after="120" w:before="280" w:line="276" w:lineRule="auto"/>
        <w:jc w:val="right"/>
        <w:bidi w:val="1"/>
      </w:pPr>
      <w:r>
        <w:rPr>
          <w:rFonts w:ascii="B Zar" w:hAnsi="B Zar" w:cs="B Zar" w:eastAsia="B Zar"/>
          <w:b/>
          <w:color w:val="1F3A5F"/>
          <w:sz w:val="32"/>
        </w:rPr>
        <w:t>۹. کنترل کیفیت پیش از افزودن هر پرونده</w:t>
      </w:r>
    </w:p>
    <w:p>
      <w:pPr>
        <w:pStyle w:val="ListBullet"/>
        <w:spacing w:after="60" w:before="0" w:line="312" w:lineRule="auto"/>
        <w:ind w:right="142"/>
        <w:jc w:val="right"/>
        <w:bidi w:val="1"/>
      </w:pPr>
      <w:r>
        <w:rPr>
          <w:rFonts w:ascii="B Zar" w:hAnsi="B Zar" w:cs="B Zar" w:eastAsia="B Zar"/>
          <w:color w:val="263238"/>
          <w:sz w:val="22"/>
        </w:rPr>
        <w:t>□  مرز بازار، مسئله و محصول روشن است و با مسیرهای قبلاً ردشده overlap پنهان ندارد.</w:t>
      </w:r>
    </w:p>
    <w:p>
      <w:pPr>
        <w:pStyle w:val="ListBullet"/>
        <w:spacing w:after="60" w:before="0" w:line="312" w:lineRule="auto"/>
        <w:ind w:right="142"/>
        <w:jc w:val="right"/>
        <w:bidi w:val="1"/>
      </w:pPr>
      <w:r>
        <w:rPr>
          <w:rFonts w:ascii="B Zar" w:hAnsi="B Zar" w:cs="B Zar" w:eastAsia="B Zar"/>
          <w:color w:val="263238"/>
          <w:sz w:val="22"/>
        </w:rPr>
        <w:t>□  Fact، Estimate، Hypothesis، Interpretation و Recommendation در متن از هم تفکیک شده‌اند.</w:t>
      </w:r>
    </w:p>
    <w:p>
      <w:pPr>
        <w:pStyle w:val="ListBullet"/>
        <w:spacing w:after="60" w:before="0" w:line="312" w:lineRule="auto"/>
        <w:ind w:right="142"/>
        <w:jc w:val="right"/>
        <w:bidi w:val="1"/>
      </w:pPr>
      <w:r>
        <w:rPr>
          <w:rFonts w:ascii="B Zar" w:hAnsi="B Zar" w:cs="B Zar" w:eastAsia="B Zar"/>
          <w:color w:val="263238"/>
          <w:sz w:val="22"/>
        </w:rPr>
        <w:t>□  رقیب خارجی، رقیب/جایگزین ایران و روش دستی فعلی همگی بررسی شده‌اند.</w:t>
      </w:r>
    </w:p>
    <w:p>
      <w:pPr>
        <w:pStyle w:val="ListBullet"/>
        <w:spacing w:after="60" w:before="0" w:line="312" w:lineRule="auto"/>
        <w:ind w:right="142"/>
        <w:jc w:val="right"/>
        <w:bidi w:val="1"/>
      </w:pPr>
      <w:r>
        <w:rPr>
          <w:rFonts w:ascii="B Zar" w:hAnsi="B Zar" w:cs="B Zar" w:eastAsia="B Zar"/>
          <w:color w:val="263238"/>
          <w:sz w:val="22"/>
        </w:rPr>
        <w:t>□  برای همهٔ نمودارها واحد، دوره، منبع، روش و محدودیت نوشته شده است؛ عدد نمونه به شکل دادهٔ واقعی نمایش داده نشده است.</w:t>
      </w:r>
    </w:p>
    <w:p>
      <w:pPr>
        <w:pStyle w:val="ListBullet"/>
        <w:spacing w:after="60" w:before="0" w:line="312" w:lineRule="auto"/>
        <w:ind w:right="142"/>
        <w:jc w:val="right"/>
        <w:bidi w:val="1"/>
      </w:pPr>
      <w:r>
        <w:rPr>
          <w:rFonts w:ascii="B Zar" w:hAnsi="B Zar" w:cs="B Zar" w:eastAsia="B Zar"/>
          <w:color w:val="263238"/>
          <w:sz w:val="22"/>
        </w:rPr>
        <w:t>□  B2B و B2C، buyer و user، و مدل درآمدی/عملیاتی جدا ثبت شده‌اند.</w:t>
      </w:r>
    </w:p>
    <w:p>
      <w:pPr>
        <w:pStyle w:val="ListBullet"/>
        <w:spacing w:after="60" w:before="0" w:line="312" w:lineRule="auto"/>
        <w:ind w:right="142"/>
        <w:jc w:val="right"/>
        <w:bidi w:val="1"/>
      </w:pPr>
      <w:r>
        <w:rPr>
          <w:rFonts w:ascii="B Zar" w:hAnsi="B Zar" w:cs="B Zar" w:eastAsia="B Zar"/>
          <w:color w:val="263238"/>
          <w:sz w:val="22"/>
        </w:rPr>
        <w:t>□  counter-thesis، risk register، طرح اعتبارسنجی و hard-kill criterion وجود دارد.</w:t>
      </w:r>
    </w:p>
    <w:p>
      <w:pPr>
        <w:pStyle w:val="ListBullet"/>
        <w:spacing w:after="60" w:before="0" w:line="312" w:lineRule="auto"/>
        <w:ind w:right="142"/>
        <w:jc w:val="right"/>
        <w:bidi w:val="1"/>
      </w:pPr>
      <w:r>
        <w:rPr>
          <w:rFonts w:ascii="B Zar" w:hAnsi="B Zar" w:cs="B Zar" w:eastAsia="B Zar"/>
          <w:color w:val="263238"/>
          <w:sz w:val="22"/>
        </w:rPr>
        <w:t>□  منابع و تغییرات پرونده قابل‌ردیابی‌اند و نتیجه‌گیری با شواهد متناسب است.</w:t>
      </w:r>
    </w:p>
    <w:p>
      <w:r>
        <w:br w:type="page"/>
      </w:r>
    </w:p>
    <w:p>
      <w:pPr>
        <w:pStyle w:val="Heading1"/>
        <w:spacing w:after="120" w:before="280" w:line="276" w:lineRule="auto"/>
        <w:jc w:val="right"/>
        <w:bidi w:val="1"/>
      </w:pPr>
      <w:r>
        <w:rPr>
          <w:rFonts w:ascii="B Zar" w:hAnsi="B Zar" w:cs="B Zar" w:eastAsia="B Zar"/>
          <w:b/>
          <w:color w:val="1F3A5F"/>
          <w:sz w:val="32"/>
        </w:rPr>
        <w:t>۱۰. منابع معیار این نسخه</w:t>
      </w:r>
    </w:p>
    <w:p>
      <w:pPr>
        <w:spacing w:after="140" w:before="0" w:line="348" w:lineRule="auto"/>
        <w:jc w:val="right"/>
        <w:bidi w:val="1"/>
      </w:pPr>
      <w:r>
        <w:rPr>
          <w:rFonts w:ascii="B Zar" w:hAnsi="B Zar" w:cs="B Zar" w:eastAsia="B Zar"/>
          <w:b w:val="0"/>
          <w:color w:val="263238"/>
          <w:sz w:val="22"/>
        </w:rPr>
        <w:t>منابع این صفحه، منابع روش‌شناسی نسخهٔ صفر هستند، نه منابع بازار هر محصول. منابع بازار، رقبا، داده‌های ایران و benchmarkهای جهانی در پروندهٔ اختصاصی هر مسیر ثبت خواهند شد.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85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کد</w:t>
            </w:r>
          </w:p>
        </w:tc>
        <w:tc>
          <w:tcPr>
            <w:tcW w:type="dxa" w:w="300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منبع</w:t>
            </w:r>
          </w:p>
        </w:tc>
        <w:tc>
          <w:tcPr>
            <w:tcW w:type="dxa" w:w="328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کاربرد در برنامه</w:t>
            </w:r>
          </w:p>
        </w:tc>
        <w:tc>
          <w:tcPr>
            <w:tcW w:type="dxa" w:w="2835"/>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پیوند</w:t>
            </w:r>
          </w:p>
        </w:tc>
      </w:tr>
      <w:tr>
        <w:trPr>
          <w:cantSplit/>
        </w:trPr>
        <w:tc>
          <w:tcPr>
            <w:tcW w:type="dxa" w:w="85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M-01</w:t>
            </w:r>
          </w:p>
        </w:tc>
        <w:tc>
          <w:tcPr>
            <w:tcW w:type="dxa" w:w="300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ISO 20252:2026 — Market, opinion and social research, including insights and data analytics</w:t>
            </w:r>
          </w:p>
        </w:tc>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چارچوب شفافیت، سرویس پژوهش، داده و گزارش‌دهی</w:t>
            </w:r>
          </w:p>
        </w:tc>
        <w:tc>
          <w:tcPr>
            <w:tcW w:type="dxa" w:w="283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iso.org/standard/88881.html</w:t>
            </w:r>
          </w:p>
        </w:tc>
      </w:tr>
      <w:tr>
        <w:trPr>
          <w:cantSplit/>
        </w:trPr>
        <w:tc>
          <w:tcPr>
            <w:tcW w:type="dxa" w:w="85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M-02</w:t>
            </w:r>
          </w:p>
        </w:tc>
        <w:tc>
          <w:tcPr>
            <w:tcW w:type="dxa" w:w="300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ICC/ESOMAR International Code on Market and Social Research</w:t>
            </w:r>
          </w:p>
        </w:tc>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اصول صداقت، عینیت، حفاظت از پاسخ‌دهنده و تفکیک یافته/تفسیر/توصیه</w:t>
            </w:r>
          </w:p>
        </w:tc>
        <w:tc>
          <w:tcPr>
            <w:tcW w:type="dxa" w:w="283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shop.esomar.org/.../ESOMAR_ICC-ESOMAR_Code_English.pdf</w:t>
            </w:r>
          </w:p>
        </w:tc>
      </w:tr>
      <w:tr>
        <w:trPr>
          <w:cantSplit/>
        </w:trPr>
        <w:tc>
          <w:tcPr>
            <w:tcW w:type="dxa" w:w="85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M-03</w:t>
            </w:r>
          </w:p>
        </w:tc>
        <w:tc>
          <w:tcPr>
            <w:tcW w:type="dxa" w:w="300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U.S. Small Business Administration — Market research and competitive analysis</w:t>
            </w:r>
          </w:p>
        </w:tc>
        <w:tc>
          <w:tcPr>
            <w:tcW w:type="dxa" w:w="328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حداقل تحلیل تقاضا، اندازه، اشباع، قیمت، رقبا و موانع ورود</w:t>
            </w:r>
          </w:p>
        </w:tc>
        <w:tc>
          <w:tcPr>
            <w:tcW w:type="dxa" w:w="2835"/>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sba.gov/business-guide/plan-your-business/market-research-competitive-analysis</w:t>
            </w:r>
          </w:p>
        </w:tc>
      </w:tr>
      <w:tr>
        <w:trPr>
          <w:cantSplit/>
        </w:trPr>
        <w:tc>
          <w:tcPr>
            <w:tcW w:type="dxa" w:w="85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M-04</w:t>
            </w:r>
          </w:p>
        </w:tc>
        <w:tc>
          <w:tcPr>
            <w:tcW w:type="dxa" w:w="300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UNIDO — Feasibility studies guidance</w:t>
            </w:r>
          </w:p>
        </w:tc>
        <w:tc>
          <w:tcPr>
            <w:tcW w:type="dxa" w:w="328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پیوند بازار، تقاضا، رقابت، مدل مالی، ریسک و go/no-go</w:t>
            </w:r>
          </w:p>
        </w:tc>
        <w:tc>
          <w:tcPr>
            <w:tcW w:type="dxa" w:w="2835"/>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7"/>
              </w:rPr>
              <w:t>ipp.unido.org/industrial-parks-guidelines/phase-two-planning-design-and-policy-framework</w:t>
            </w:r>
          </w:p>
        </w:tc>
      </w:tr>
    </w:tbl>
    <w:p/>
    <w:p>
      <w:pPr>
        <w:pStyle w:val="Heading1"/>
        <w:spacing w:after="120" w:before="280" w:line="276" w:lineRule="auto"/>
        <w:jc w:val="right"/>
        <w:bidi w:val="1"/>
      </w:pPr>
      <w:r>
        <w:rPr>
          <w:rFonts w:ascii="B Zar" w:hAnsi="B Zar" w:cs="B Zar" w:eastAsia="B Zar"/>
          <w:b/>
          <w:color w:val="1F3A5F"/>
          <w:sz w:val="32"/>
        </w:rPr>
        <w:t>پیوست الف. واژه‌نامهٔ کوتاه</w:t>
      </w:r>
    </w:p>
    <w:tbl>
      <w:tblPr>
        <w:tblW w:type="auto" w:w="0"/>
        <w:jc w:val="center"/>
        <w:tblLayout w:type="fixed"/>
        <w:tblLook w:firstColumn="1" w:firstRow="1" w:lastColumn="0" w:lastRow="0" w:noHBand="0" w:noVBand="1" w:val="04A0"/>
        <w:bidiVisual w:val="1"/>
      </w:tblPr>
      <w:tblGrid>
        <w:gridCol w:w="4933"/>
        <w:gridCol w:w="4933"/>
      </w:tblGrid>
      <w:tr>
        <w:trPr>
          <w:tblHeader w:val="true"/>
        </w:trPr>
        <w:tc>
          <w:tcPr>
            <w:tcW w:type="dxa" w:w="2268"/>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اصطلاح</w:t>
            </w:r>
          </w:p>
        </w:tc>
        <w:tc>
          <w:tcPr>
            <w:tcW w:type="dxa" w:w="7370"/>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تعریف اجرایی در این گزارش</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ICP</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Ideal Customer Profile: نوع حساب/مشتری با بیشترین تناسب مسئله، بودجه و قابلیت خرید؛ نه صرفاً demographic کلی.</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JTBD</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Job-to-be-done: پیشرفتی که مشتری در یک موقعیت مشخص می‌خواهد حاصل کند و اکنون برای آن راه‌حل به‌کار می‌گیرد.</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TAM / SAM / SOM</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بازار کل نظری / بازار قابل خدمت با مدل و جغرافیای فعلی / سهم واقع‌بینانهٔ قابل کسب در افق زمانی معلوم.</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WTP</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Willingness-to-pay: تمایل و توان پرداخت قابل‌آزمون؛ با نظرسنجی علاقه یکی نیست.</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Desk research</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تحلیل داده‌ها و منابع ثانویه و قابل دسترس پیش از پژوهش میدانی/اولیه.</w:t>
            </w:r>
          </w:p>
        </w:tc>
      </w:tr>
      <w:tr>
        <w:trPr>
          <w:cantSplit/>
        </w:trPr>
        <w:tc>
          <w:tcPr>
            <w:tcW w:type="dxa" w:w="2268"/>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Paid pilot</w:t>
            </w:r>
          </w:p>
        </w:tc>
        <w:tc>
          <w:tcPr>
            <w:tcW w:type="dxa" w:w="7370"/>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آزمون محدود با پرداخت یا تعهد قراردادی که استفادهٔ واقعی و outcome قابل سنجش دارد.</w:t>
            </w:r>
          </w:p>
        </w:tc>
      </w:tr>
      <w:tr>
        <w:trPr>
          <w:cantSplit/>
        </w:trPr>
        <w:tc>
          <w:tcPr>
            <w:tcW w:type="dxa" w:w="2268"/>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Hard kill criterion</w:t>
            </w:r>
          </w:p>
        </w:tc>
        <w:tc>
          <w:tcPr>
            <w:tcW w:type="dxa" w:w="7370"/>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شرط روشن و از پیش تعیین‌شده برای متوقف‌کردن مسیر؛ از sunk-cost و تفسیر گزینشی جلوگیری می‌کند.</w:t>
            </w:r>
          </w:p>
        </w:tc>
      </w:tr>
    </w:tbl>
    <w:p/>
    <w:p>
      <w:pPr>
        <w:pStyle w:val="Heading1"/>
        <w:spacing w:after="120" w:before="280" w:line="276" w:lineRule="auto"/>
        <w:jc w:val="right"/>
        <w:bidi w:val="1"/>
      </w:pPr>
      <w:r>
        <w:rPr>
          <w:rFonts w:ascii="B Zar" w:hAnsi="B Zar" w:cs="B Zar" w:eastAsia="B Zar"/>
          <w:b/>
          <w:color w:val="1F3A5F"/>
          <w:sz w:val="32"/>
        </w:rPr>
        <w:t>پیوست ب. تغییرنگار سند</w:t>
      </w:r>
    </w:p>
    <w:tbl>
      <w:tblPr>
        <w:tblW w:type="auto" w:w="0"/>
        <w:jc w:val="center"/>
        <w:tblLayout w:type="fixed"/>
        <w:tblLook w:firstColumn="1" w:firstRow="1" w:lastColumn="0" w:lastRow="0" w:noHBand="0" w:noVBand="1" w:val="04A0"/>
        <w:bidiVisual w:val="1"/>
      </w:tblPr>
      <w:tblGrid>
        <w:gridCol w:w="2466"/>
        <w:gridCol w:w="2466"/>
        <w:gridCol w:w="2466"/>
        <w:gridCol w:w="2466"/>
      </w:tblGrid>
      <w:tr>
        <w:trPr>
          <w:tblHeader w:val="true"/>
        </w:trPr>
        <w:tc>
          <w:tcPr>
            <w:tcW w:type="dxa" w:w="130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نسخه</w:t>
            </w:r>
          </w:p>
        </w:tc>
        <w:tc>
          <w:tcPr>
            <w:tcW w:type="dxa" w:w="181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تاریخ</w:t>
            </w:r>
          </w:p>
        </w:tc>
        <w:tc>
          <w:tcPr>
            <w:tcW w:type="dxa" w:w="5102"/>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تغییر</w:t>
            </w:r>
          </w:p>
        </w:tc>
        <w:tc>
          <w:tcPr>
            <w:tcW w:type="dxa" w:w="1984"/>
            <w:vAlign w:val="center"/>
            <w:tcMar>
              <w:top w:w="80" w:type="dxa"/>
              <w:start w:w="80" w:type="dxa"/>
              <w:bottom w:w="80" w:type="dxa"/>
              <w:end w:w="80" w:type="dxa"/>
            </w:tcMar>
            <w:shd w:fill="1F3A5F"/>
            <w:tcBorders>
              <w:top w:val="single" w:sz="4" w:color="FFFFFF"/>
              <w:left w:val="single" w:sz="4" w:color="FFFFFF"/>
              <w:bottom w:val="single" w:sz="4" w:color="FFFFFF"/>
              <w:right w:val="single" w:sz="4" w:color="FFFFFF"/>
            </w:tcBorders>
          </w:tcPr>
          <w:p>
            <w:pPr>
              <w:spacing w:after="0" w:before="0" w:line="274" w:lineRule="auto"/>
              <w:jc w:val="center"/>
              <w:bidi w:val="1"/>
            </w:pPr>
            <w:r/>
            <w:r>
              <w:rPr>
                <w:rFonts w:ascii="B Zar" w:hAnsi="B Zar" w:cs="B Zar" w:eastAsia="B Zar"/>
                <w:b/>
                <w:color w:val="FFFFFF"/>
                <w:sz w:val="20"/>
              </w:rPr>
              <w:t>وضعیت</w:t>
            </w:r>
          </w:p>
        </w:tc>
      </w:tr>
      <w:tr>
        <w:trPr>
          <w:cantSplit/>
        </w:trPr>
        <w:tc>
          <w:tcPr>
            <w:tcW w:type="dxa" w:w="130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۰٫۱</w:t>
            </w:r>
          </w:p>
        </w:tc>
        <w:tc>
          <w:tcPr>
            <w:tcW w:type="dxa" w:w="181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۱۲ مهر ۱۴۰۵</w:t>
            </w:r>
          </w:p>
        </w:tc>
        <w:tc>
          <w:tcPr>
            <w:tcW w:type="dxa" w:w="5102"/>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ایجاد سند مادر، چارچوب کیفیت، دفتر ۴۱ پرونده، dashboard و صف پژوهش عمیق.</w:t>
            </w:r>
          </w:p>
        </w:tc>
        <w:tc>
          <w:tcPr>
            <w:tcW w:type="dxa" w:w="1984"/>
            <w:shd w:fill="FFFFFF"/>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منتشرشده</w:t>
            </w:r>
          </w:p>
        </w:tc>
      </w:tr>
      <w:tr>
        <w:trPr>
          <w:cantSplit/>
        </w:trPr>
        <w:tc>
          <w:tcPr>
            <w:tcW w:type="dxa" w:w="130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۰٫۲ و بعدی</w:t>
            </w:r>
          </w:p>
        </w:tc>
        <w:tc>
          <w:tcPr>
            <w:tcW w:type="dxa" w:w="181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پس از تکمیل هر پرونده</w:t>
            </w:r>
          </w:p>
        </w:tc>
        <w:tc>
          <w:tcPr>
            <w:tcW w:type="dxa" w:w="5102"/>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افزودن پروندهٔ مستقل، منابع، نمودارهای مستند و به‌روزرسانی status register.</w:t>
            </w:r>
          </w:p>
        </w:tc>
        <w:tc>
          <w:tcPr>
            <w:tcW w:type="dxa" w:w="1984"/>
            <w:shd w:fill="F5F7FA"/>
            <w:tcBorders>
              <w:top w:val="single" w:sz="3" w:color="D9E0E7"/>
              <w:left w:val="single" w:sz="3" w:color="D9E0E7"/>
              <w:bottom w:val="single" w:sz="3" w:color="D9E0E7"/>
              <w:right w:val="single" w:sz="3" w:color="D9E0E7"/>
            </w:tcBorders>
          </w:tcPr>
          <w:p>
            <w:pPr>
              <w:spacing w:after="0" w:before="0" w:line="274" w:lineRule="auto"/>
              <w:jc w:val="right"/>
              <w:bidi w:val="1"/>
            </w:pPr>
            <w:r/>
            <w:r>
              <w:rPr>
                <w:rFonts w:ascii="B Zar" w:hAnsi="B Zar" w:cs="B Zar" w:eastAsia="B Zar"/>
                <w:b w:val="0"/>
                <w:color w:val="263238"/>
                <w:sz w:val="19"/>
              </w:rPr>
              <w:t>برنامه‌ریزی‌شده</w:t>
            </w:r>
          </w:p>
        </w:tc>
      </w:tr>
    </w:tbl>
    <w:p/>
    <w:tbl>
      <w:tblPr>
        <w:tblW w:type="auto" w:w="0"/>
        <w:jc w:val="center"/>
        <w:tblLook w:firstColumn="1" w:firstRow="1" w:lastColumn="0" w:lastRow="0" w:noHBand="0" w:noVBand="1" w:val="04A0"/>
        <w:bidiVisual w:val="1"/>
      </w:tblPr>
      <w:tblGrid>
        <w:gridCol w:w="9866"/>
      </w:tblGrid>
      <w:tr>
        <w:tc>
          <w:tcPr>
            <w:tcW w:type="dxa" w:w="9866"/>
            <w:vAlign w:val="center"/>
            <w:tcMar>
              <w:top w:w="80" w:type="dxa"/>
              <w:start w:w="80" w:type="dxa"/>
              <w:bottom w:w="80" w:type="dxa"/>
              <w:end w:w="80" w:type="dxa"/>
            </w:tcMar>
            <w:shd w:fill="E6F4F2"/>
            <w:tcBorders>
              <w:top w:val="single" w:sz="8" w:color="1F7A70"/>
              <w:left w:val="single" w:sz="4" w:color="D9E0E7"/>
              <w:bottom w:val="single" w:sz="4" w:color="D9E0E7"/>
              <w:right w:val="single" w:sz="4" w:color="D9E0E7"/>
            </w:tcBorders>
          </w:tcPr>
          <w:p>
            <w:pPr>
              <w:spacing w:after="60" w:before="0" w:line="288" w:lineRule="auto"/>
              <w:jc w:val="right"/>
              <w:bidi w:val="1"/>
            </w:pPr>
            <w:r/>
            <w:r>
              <w:rPr>
                <w:rFonts w:ascii="B Zar" w:hAnsi="B Zar" w:cs="B Zar" w:eastAsia="B Zar"/>
                <w:b/>
                <w:color w:val="1F7A70"/>
                <w:sz w:val="23"/>
              </w:rPr>
              <w:t>گام اجرایی بعدی</w:t>
            </w:r>
          </w:p>
          <w:p>
            <w:pPr>
              <w:spacing w:after="40" w:before="0" w:line="324" w:lineRule="auto"/>
              <w:jc w:val="right"/>
              <w:bidi w:val="1"/>
            </w:pPr>
            <w:r>
              <w:rPr>
                <w:rFonts w:ascii="B Zar" w:hAnsi="B Zar" w:cs="B Zar" w:eastAsia="B Zar"/>
                <w:color w:val="263238"/>
                <w:sz w:val="21"/>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sectPr w:rsidR="00FC693F" w:rsidRPr="0006063C" w:rsidSect="00034616">
      <w:headerReference w:type="default" r:id="rId9"/>
      <w:footerReference w:type="default" r:id="rId10"/>
      <w:pgSz w:w="11906" w:h="16838"/>
      <w:pgMar w:top="964" w:right="1020" w:bottom="907" w:left="10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40" w:lineRule="auto"/>
      <w:jc w:val="center"/>
      <w:bidi w:val="1"/>
    </w:pPr>
    <w:r>
      <w:rPr>
        <w:rFonts w:ascii="B Zar" w:hAnsi="B Zar" w:cs="B Zar" w:eastAsia="B Zar"/>
        <w:color w:val="6B7280"/>
        <w:sz w:val="18"/>
      </w:rPr>
      <w:t xml:space="preserve">محرمانه | نسخهٔ صفر | صفحهٔ </w:t>
    </w:r>
    <w:fldChar w:fldCharType="begin"/>
    <w:instrText xml:space="preserve"> PAGE </w:instrText>
    <w:fldChar w:fldCharType="end"/>
    <w:r>
      <w:rPr>
        <w:rFonts w:ascii="B Zar" w:hAnsi="B Zar" w:cs="B Zar" w:eastAsia="B Zar"/>
        <w:color w:val="6B7280"/>
        <w:sz w:val="18"/>
      </w:rPr>
      <w:t xml:space="preserve"> از سند</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jc w:val="right"/>
      <w:bidi w:val="1"/>
      <w:pBdr>
        <w:bottom w:val="single" w:sz="8" w:space="4" w:color="2A9D8F"/>
      </w:pBdr>
    </w:pPr>
    <w:r>
      <w:rPr>
        <w:rFonts w:ascii="B Zar" w:hAnsi="B Zar" w:cs="B Zar" w:eastAsia="B Zar"/>
        <w:b/>
        <w:color w:val="1F3A5F"/>
        <w:sz w:val="19"/>
      </w:rPr>
      <w:t>گزارش جامع تحقیقات بازار فناوری مد و پوشاک ایران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 Zar" w:hAnsi="B Zar" w:cs="B Za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 Zar" w:hAnsi="B Zar" w:cs="B Zar"/>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B Zar" w:hAnsi="B Zar" w:cs="B Zar"/>
      <w:b/>
      <w:bCs/>
      <w:color w:val="1F7A7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B Zar" w:hAnsi="B Zar" w:cs="B Zar"/>
      <w:b/>
      <w:bCs/>
      <w:color w:val="1F7A7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B Zar" w:hAnsi="B Zar" w:cs="B Zar"/>
      <w:color w:val="1F3A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B Zar" w:hAnsi="B Zar" w:cs="B Zar"/>
      <w:i/>
      <w:iCs/>
      <w:color w:val="6B728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صفر</dc:title>
  <dc:subject>چارچوب، فهرست پرونده‌ها و برنامه پژوهش عمیق</dc:subject>
  <dc:creator>Arena Research</dc:creator>
  <cp:keywords/>
  <dc:description>سند زنده؛ نسخه صفر</dc:description>
  <cp:lastModifiedBy/>
  <cp:revision>1</cp:revision>
  <dcterms:created xsi:type="dcterms:W3CDTF">2013-12-23T23:15:00Z</dcterms:created>
  <dcterms:modified xsi:type="dcterms:W3CDTF">2013-12-23T23:15:00Z</dcterms:modified>
  <cp:category/>
</cp:coreProperties>
</file>