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bidiVisual w:val="1"/>
      </w:tblPr>
      <w:tblGrid>
        <w:gridCol w:w="9866"/>
      </w:tblGrid>
      <w:tr>
        <w:tc>
          <w:tcPr>
            <w:tcW w:type="dxa" w:w="9865"/>
            <w:vAlign w:val="center"/>
            <w:tcMar>
              <w:top w:w="80" w:type="dxa"/>
              <w:start w:w="80" w:type="dxa"/>
              <w:bottom w:w="80" w:type="dxa"/>
              <w:end w:w="80" w:type="dxa"/>
            </w:tcMar>
            <w:shd w:fill="1F3A5F"/>
            <w:tcBorders>
              <w:top w:val="single" w:sz="0" w:color="1F3A5F"/>
              <w:left w:val="single" w:sz="0" w:color="1F3A5F"/>
              <w:bottom w:val="single" w:sz="0" w:color="1F3A5F"/>
              <w:right w:val="single" w:sz="0" w:color="1F3A5F"/>
            </w:tcBorders>
          </w:tcPr>
          <w:p>
            <w:r/>
          </w:p>
          <w:p>
            <w:pPr>
              <w:spacing w:after="0" w:before="0" w:line="240" w:lineRule="auto"/>
              <w:jc w:val="center"/>
              <w:bidi w:val="1"/>
            </w:pPr>
          </w:p>
          <w:p>
            <w:pPr>
              <w:spacing w:after="0" w:before="0" w:line="240" w:lineRule="auto"/>
              <w:jc w:val="center"/>
              <w:bidi w:val="1"/>
            </w:pPr>
          </w:p>
          <w:p>
            <w:pPr>
              <w:spacing w:after="0" w:before="0" w:line="240" w:lineRule="auto"/>
              <w:jc w:val="center"/>
              <w:bidi w:val="1"/>
            </w:pPr>
          </w:p>
          <w:p>
            <w:pPr>
              <w:spacing w:after="0" w:before="0" w:line="240" w:lineRule="auto"/>
              <w:jc w:val="center"/>
              <w:bidi w:val="1"/>
            </w:pPr>
          </w:p>
          <w:p>
            <w:pPr>
              <w:spacing w:after="200" w:before="0" w:line="264" w:lineRule="auto"/>
              <w:jc w:val="center"/>
              <w:bidi w:val="1"/>
            </w:pPr>
            <w:r>
              <w:rPr>
                <w:rFonts w:ascii="B Zar" w:hAnsi="B Zar" w:cs="B Zar" w:eastAsia="B Zar"/>
                <w:b/>
                <w:color w:val="FFFFFF"/>
                <w:sz w:val="54"/>
              </w:rPr>
              <w:t>گزارش جامع تحقیقات بازار</w:t>
            </w:r>
          </w:p>
          <w:p>
            <w:pPr>
              <w:spacing w:after="160" w:before="0" w:line="288" w:lineRule="auto"/>
              <w:jc w:val="center"/>
              <w:bidi w:val="1"/>
            </w:pPr>
            <w:r>
              <w:rPr>
                <w:rFonts w:ascii="B Zar" w:hAnsi="B Zar" w:cs="B Zar" w:eastAsia="B Zar"/>
                <w:b/>
                <w:color w:val="FFFFFF"/>
                <w:sz w:val="38"/>
              </w:rPr>
              <w:t>فرصت‌های پلتفرمی و نرم‌افزاری در اکوسیستم مد، پوشاک و فشن ایران</w:t>
            </w:r>
          </w:p>
          <w:p>
            <w:pPr>
              <w:spacing w:after="360" w:before="0" w:line="288" w:lineRule="auto"/>
              <w:jc w:val="center"/>
              <w:bidi w:val="1"/>
            </w:pPr>
            <w:r>
              <w:rPr>
                <w:rFonts w:ascii="B Zar" w:hAnsi="B Zar" w:cs="B Zar" w:eastAsia="B Zar"/>
                <w:color w:val="D9EAF0"/>
                <w:sz w:val="27"/>
              </w:rPr>
              <w:t>چارچوب اصلی، دفتر ثبت پرونده‌ها و برنامهٔ پژوهش عمیق</w:t>
            </w:r>
          </w:p>
          <w:tbl>
            <w:tblPr>
              <w:tblW w:type="auto" w:w="0"/>
              <w:jc w:val="center"/>
              <w:tblLook w:firstColumn="1" w:firstRow="1" w:lastColumn="0" w:lastRow="0" w:noHBand="0" w:noVBand="1" w:val="04A0"/>
              <w:bidiVisual w:val="1"/>
            </w:tblPr>
            <w:tblGrid>
              <w:gridCol w:w="9865"/>
            </w:tblGrid>
            <w:tr>
              <w:tc>
                <w:tcPr>
                  <w:tcW w:type="dxa" w:w="3969"/>
                  <w:vAlign w:val="center"/>
                  <w:tcMar>
                    <w:top w:w="80" w:type="dxa"/>
                    <w:start w:w="80" w:type="dxa"/>
                    <w:bottom w:w="80" w:type="dxa"/>
                    <w:end w:w="80" w:type="dxa"/>
                  </w:tcMar>
                  <w:shd w:fill="2A9D8F"/>
                </w:tcPr>
                <w:p>
                  <w:r/>
                </w:p>
              </w:tc>
            </w:tr>
          </w:tbl>
          <w:p/>
          <w:p>
            <w:pPr>
              <w:spacing w:after="0" w:before="0" w:line="240" w:lineRule="auto"/>
              <w:jc w:val="center"/>
              <w:bidi w:val="1"/>
            </w:pPr>
          </w:p>
          <w:p>
            <w:pPr>
              <w:spacing w:after="0" w:before="0" w:line="240" w:lineRule="auto"/>
              <w:jc w:val="center"/>
              <w:bidi w:val="1"/>
            </w:pPr>
          </w:p>
          <w:p>
            <w:pPr>
              <w:spacing w:after="0" w:before="0" w:line="240" w:lineRule="auto"/>
              <w:jc w:val="center"/>
              <w:bidi w:val="1"/>
            </w:pPr>
          </w:p>
          <w:p>
            <w:pPr>
              <w:spacing w:after="0" w:before="0" w:line="240" w:lineRule="auto"/>
              <w:jc w:val="center"/>
              <w:bidi w:val="1"/>
            </w:pPr>
          </w:p>
          <w:p>
            <w:pPr>
              <w:spacing w:after="0" w:before="0" w:line="240" w:lineRule="auto"/>
              <w:jc w:val="center"/>
              <w:bidi w:val="1"/>
            </w:pPr>
          </w:p>
          <w:p>
            <w:pPr>
              <w:spacing w:after="60" w:before="0" w:line="264" w:lineRule="auto"/>
              <w:jc w:val="center"/>
              <w:bidi w:val="1"/>
            </w:pPr>
            <w:r>
              <w:rPr>
                <w:rFonts w:ascii="B Zar" w:hAnsi="B Zar" w:cs="B Zar" w:eastAsia="B Zar"/>
                <w:b/>
                <w:color w:val="FFFFFF"/>
                <w:sz w:val="26"/>
              </w:rPr>
              <w:t>نسخهٔ ۰٫۲ | سند زنده و محرمانه</w:t>
            </w:r>
          </w:p>
          <w:p>
            <w:pPr>
              <w:spacing w:after="60" w:before="0" w:line="264" w:lineRule="auto"/>
              <w:jc w:val="center"/>
              <w:bidi w:val="1"/>
            </w:pPr>
            <w:r>
              <w:rPr>
                <w:rFonts w:ascii="B Zar" w:hAnsi="B Zar" w:cs="B Zar" w:eastAsia="B Zar"/>
                <w:color w:val="D9EAF0"/>
                <w:sz w:val="23"/>
              </w:rPr>
              <w:t>۱۲ مهر ۱۴۰۵  |  ۴ اکتبر ۲۰۲۶</w:t>
            </w:r>
          </w:p>
          <w:p>
            <w:pPr>
              <w:spacing w:after="60" w:before="0" w:line="264" w:lineRule="auto"/>
              <w:jc w:val="center"/>
              <w:bidi w:val="1"/>
            </w:pPr>
            <w:r>
              <w:rPr>
                <w:rFonts w:ascii="B Zar" w:hAnsi="B Zar" w:cs="B Zar" w:eastAsia="B Zar"/>
                <w:color w:val="D9EAF0"/>
                <w:sz w:val="23"/>
              </w:rPr>
              <w:t>تهیه‌شده برای: مالک پروژه</w:t>
            </w:r>
          </w:p>
          <w:p>
            <w:pPr>
              <w:spacing w:after="0" w:before="0" w:line="240" w:lineRule="auto"/>
              <w:jc w:val="center"/>
              <w:bidi w:val="1"/>
            </w:pPr>
          </w:p>
          <w:p>
            <w:pPr>
              <w:spacing w:after="0" w:before="0" w:line="240" w:lineRule="auto"/>
              <w:jc w:val="center"/>
              <w:bidi w:val="1"/>
            </w:pPr>
          </w:p>
          <w:p>
            <w:pPr>
              <w:spacing w:after="0" w:before="0" w:line="240" w:lineRule="auto"/>
              <w:jc w:val="center"/>
              <w:bidi w:val="1"/>
            </w:pPr>
          </w:p>
          <w:p>
            <w:pPr>
              <w:spacing w:after="0" w:before="0" w:line="240" w:lineRule="auto"/>
              <w:jc w:val="center"/>
              <w:bidi w:val="1"/>
            </w:pPr>
          </w:p>
          <w:p>
            <w:pPr>
              <w:spacing w:after="0" w:before="0" w:line="240" w:lineRule="auto"/>
              <w:jc w:val="center"/>
              <w:bidi w:val="1"/>
            </w:pPr>
          </w:p>
        </w:tc>
      </w:tr>
    </w:tbl>
    <w:p>
      <w:pPr>
        <w:spacing w:after="0" w:before="200" w:line="288" w:lineRule="auto"/>
        <w:jc w:val="center"/>
        <w:bidi w:val="1"/>
      </w:pPr>
      <w:r>
        <w:rPr>
          <w:rFonts w:ascii="B Zar" w:hAnsi="B Zar" w:cs="B Zar" w:eastAsia="B Zar"/>
          <w:i/>
          <w:color w:val="6B7280"/>
          <w:sz w:val="19"/>
        </w:rPr>
        <w:t>این نسخه هنوز حکم سرمایه‌گذاری یا گزارش نهایی بازار نیست؛ مبنای کنترل‌شدهٔ افزودن پرونده‌های پژوهش عمیق است.</w:t>
      </w:r>
    </w:p>
    <w:p>
      <w:pPr>
        <w:sectPr>
          <w:pgSz w:w="11906" w:h="16838"/>
          <w:pgMar w:top="964" w:right="1020" w:bottom="907" w:left="1020" w:header="720" w:footer="720" w:gutter="0"/>
          <w:cols w:space="720"/>
          <w:docGrid w:linePitch="360"/>
        </w:sectPr>
      </w:pPr>
    </w:p>
    <w:p>
      <w:pPr>
        <w:pStyle w:val="Heading1"/>
        <w:spacing w:after="120" w:before="280" w:line="276" w:lineRule="auto"/>
        <w:jc w:val="right"/>
        <w:bidi w:val="1"/>
      </w:pPr>
      <w:r>
        <w:rPr>
          <w:rFonts w:ascii="B Zar" w:hAnsi="B Zar" w:cs="B Zar" w:eastAsia="B Zar"/>
          <w:b/>
          <w:color w:val="1F3A5F"/>
          <w:sz w:val="32"/>
        </w:rPr>
        <w:t>شناسه و کنترل نسخه</w:t>
      </w:r>
    </w:p>
    <w:tbl>
      <w:tblPr>
        <w:tblW w:type="auto" w:w="0"/>
        <w:jc w:val="center"/>
        <w:tblLayout w:type="fixed"/>
        <w:tblLook w:firstColumn="1" w:firstRow="1" w:lastColumn="0" w:lastRow="0" w:noHBand="0" w:noVBand="1" w:val="04A0"/>
        <w:bidiVisual w:val="1"/>
      </w:tblPr>
      <w:tblGrid>
        <w:gridCol w:w="4933"/>
        <w:gridCol w:w="4933"/>
      </w:tblGrid>
      <w:tr>
        <w:trPr>
          <w:tblHeader w:val="true"/>
        </w:trPr>
        <w:tc>
          <w:tcPr>
            <w:tcW w:type="dxa" w:w="2324"/>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فیلد</w:t>
            </w:r>
          </w:p>
        </w:tc>
        <w:tc>
          <w:tcPr>
            <w:tcW w:type="dxa" w:w="7483"/>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مقدار</w:t>
            </w:r>
          </w:p>
        </w:tc>
      </w:tr>
      <w:tr>
        <w:trPr>
          <w:cantSplit/>
        </w:trPr>
        <w:tc>
          <w:tcPr>
            <w:tcW w:type="dxa" w:w="232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عنوان سند</w:t>
            </w:r>
          </w:p>
        </w:tc>
        <w:tc>
          <w:tcPr>
            <w:tcW w:type="dxa" w:w="7483"/>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گزارش جامع تحقیقات بازار فرصت‌های پلتفرمی و نرم‌افزاری مد، پوشاک و فشن ایران</w:t>
            </w:r>
          </w:p>
        </w:tc>
      </w:tr>
      <w:tr>
        <w:trPr>
          <w:cantSplit/>
        </w:trPr>
        <w:tc>
          <w:tcPr>
            <w:tcW w:type="dxa" w:w="232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نوع سند</w:t>
            </w:r>
          </w:p>
        </w:tc>
        <w:tc>
          <w:tcPr>
            <w:tcW w:type="dxa" w:w="7483"/>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سند مادر / زنده؛ محل تجمیع پرونده‌های پژوهش عمیق و تصمیم‌های مستند</w:t>
            </w:r>
          </w:p>
        </w:tc>
      </w:tr>
      <w:tr>
        <w:trPr>
          <w:cantSplit/>
        </w:trPr>
        <w:tc>
          <w:tcPr>
            <w:tcW w:type="dxa" w:w="232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نسخه</w:t>
            </w:r>
          </w:p>
        </w:tc>
        <w:tc>
          <w:tcPr>
            <w:tcW w:type="dxa" w:w="7483"/>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۰٫۲ — سه پروندهٔ desk-research افزوده شد؛ پژوهش اولیه هنوز انجام نشده است</w:t>
            </w:r>
          </w:p>
        </w:tc>
      </w:tr>
      <w:tr>
        <w:trPr>
          <w:cantSplit/>
        </w:trPr>
        <w:tc>
          <w:tcPr>
            <w:tcW w:type="dxa" w:w="232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تاریخ انتشار</w:t>
            </w:r>
          </w:p>
        </w:tc>
        <w:tc>
          <w:tcPr>
            <w:tcW w:type="dxa" w:w="7483"/>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۱۲ مهر ۱۴۰۵ / ۴ اکتبر ۲۰۲۶</w:t>
            </w:r>
          </w:p>
        </w:tc>
      </w:tr>
      <w:tr>
        <w:trPr>
          <w:cantSplit/>
        </w:trPr>
        <w:tc>
          <w:tcPr>
            <w:tcW w:type="dxa" w:w="232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مالک سند</w:t>
            </w:r>
          </w:p>
        </w:tc>
        <w:tc>
          <w:tcPr>
            <w:tcW w:type="dxa" w:w="7483"/>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مالک پروژه</w:t>
            </w:r>
          </w:p>
        </w:tc>
      </w:tr>
      <w:tr>
        <w:trPr>
          <w:cantSplit/>
        </w:trPr>
        <w:tc>
          <w:tcPr>
            <w:tcW w:type="dxa" w:w="232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دامنهٔ جغرافیایی اصلی</w:t>
            </w:r>
          </w:p>
        </w:tc>
        <w:tc>
          <w:tcPr>
            <w:tcW w:type="dxa" w:w="7483"/>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ایران؛ benchmark و category proof جهانی در پرونده‌های مربوطه</w:t>
            </w:r>
          </w:p>
        </w:tc>
      </w:tr>
      <w:tr>
        <w:trPr>
          <w:cantSplit/>
        </w:trPr>
        <w:tc>
          <w:tcPr>
            <w:tcW w:type="dxa" w:w="232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محرمانگی</w:t>
            </w:r>
          </w:p>
        </w:tc>
        <w:tc>
          <w:tcPr>
            <w:tcW w:type="dxa" w:w="7483"/>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داخلی؛ بازنشر هر بخش منوط به کنترل منابع، حقوق داده و تأیید مالک پروژه است.</w:t>
            </w:r>
          </w:p>
        </w:tc>
      </w:tr>
    </w:tbl>
    <w:p/>
    <w:tbl>
      <w:tblPr>
        <w:tblW w:type="auto" w:w="0"/>
        <w:jc w:val="center"/>
        <w:tblLook w:firstColumn="1" w:firstRow="1" w:lastColumn="0" w:lastRow="0" w:noHBand="0" w:noVBand="1" w:val="04A0"/>
        <w:bidiVisual w:val="1"/>
      </w:tblPr>
      <w:tblGrid>
        <w:gridCol w:w="9866"/>
      </w:tblGrid>
      <w:tr>
        <w:tc>
          <w:tcPr>
            <w:tcW w:type="dxa" w:w="9866"/>
            <w:vAlign w:val="center"/>
            <w:tcMar>
              <w:top w:w="80" w:type="dxa"/>
              <w:start w:w="80" w:type="dxa"/>
              <w:bottom w:w="80" w:type="dxa"/>
              <w:end w:w="80" w:type="dxa"/>
            </w:tcMar>
            <w:shd w:fill="FFF3D6"/>
            <w:tcBorders>
              <w:top w:val="single" w:sz="8" w:color="8A6100"/>
              <w:left w:val="single" w:sz="4" w:color="D9E0E7"/>
              <w:bottom w:val="single" w:sz="4" w:color="D9E0E7"/>
              <w:right w:val="single" w:sz="4" w:color="D9E0E7"/>
            </w:tcBorders>
          </w:tcPr>
          <w:p>
            <w:pPr>
              <w:spacing w:after="60" w:before="0" w:line="288" w:lineRule="auto"/>
              <w:jc w:val="right"/>
              <w:bidi w:val="1"/>
            </w:pPr>
            <w:r/>
            <w:r>
              <w:rPr>
                <w:rFonts w:ascii="B Zar" w:hAnsi="B Zar" w:cs="B Zar" w:eastAsia="B Zar"/>
                <w:b/>
                <w:color w:val="8A6100"/>
                <w:sz w:val="23"/>
              </w:rPr>
              <w:t>یادداشت اعتبار نسخهٔ ۰٫۲</w:t>
            </w:r>
          </w:p>
          <w:p>
            <w:pPr>
              <w:spacing w:after="40" w:before="0" w:line="324" w:lineRule="auto"/>
              <w:jc w:val="right"/>
              <w:bidi w:val="1"/>
            </w:pPr>
            <w:r>
              <w:rPr>
                <w:rFonts w:ascii="B Zar" w:hAnsi="B Zar" w:cs="B Zar" w:eastAsia="B Zar"/>
                <w:color w:val="263238"/>
                <w:sz w:val="21"/>
              </w:rPr>
              <w:t>این سند در این مرحله، روش، مرز تصمیم، سبد پرونده‌ها، ترتیب پژوهش و استاندارد بصری را تثبیت می‌کند. market size، willingness-to-pay، سهم بازار یا forecast هیچ پرونده‌ای بدون منبع و روش معتبر در این نسخه قطعی تلقی نمی‌شود.</w:t>
            </w:r>
          </w:p>
        </w:tc>
      </w:tr>
    </w:tbl>
    <w:p/>
    <w:p>
      <w:pPr>
        <w:pStyle w:val="Heading1"/>
        <w:spacing w:after="120" w:before="280" w:line="276" w:lineRule="auto"/>
        <w:jc w:val="right"/>
        <w:bidi w:val="1"/>
      </w:pPr>
      <w:r>
        <w:rPr>
          <w:rFonts w:ascii="B Zar" w:hAnsi="B Zar" w:cs="B Zar" w:eastAsia="B Zar"/>
          <w:b/>
          <w:color w:val="1F3A5F"/>
          <w:sz w:val="32"/>
        </w:rPr>
        <w:t>فهرست مطالب</w:t>
      </w:r>
    </w:p>
    <w:p>
      <w:pPr>
        <w:spacing w:after="100" w:before="0" w:line="288" w:lineRule="auto"/>
        <w:jc w:val="right"/>
        <w:bidi w:val="1"/>
      </w:pPr>
      <w:fldSimple w:instr="TOC \o &quot;1-3&quot; \h \z \u"/>
    </w:p>
    <w:p>
      <w:pPr>
        <w:spacing w:after="160" w:before="0" w:line="264" w:lineRule="auto"/>
        <w:jc w:val="right"/>
        <w:bidi w:val="1"/>
      </w:pPr>
      <w:r>
        <w:rPr>
          <w:rFonts w:ascii="B Zar" w:hAnsi="B Zar" w:cs="B Zar" w:eastAsia="B Zar"/>
          <w:i/>
          <w:color w:val="6B7280"/>
          <w:sz w:val="19"/>
        </w:rPr>
        <w:t>راهنما: در Microsoft Word روی فهرست راست‌کلیک کرده و «Update Field / Update entire table» را انتخاب کنید. هنگام باز شدن فایل نیز درخواست به‌روزرسانی خودکار فعال است.</w:t>
      </w:r>
    </w:p>
    <w:p>
      <w:r>
        <w:br w:type="page"/>
      </w:r>
    </w:p>
    <w:p>
      <w:pPr>
        <w:pStyle w:val="Heading1"/>
        <w:spacing w:after="120" w:before="280" w:line="276" w:lineRule="auto"/>
        <w:jc w:val="right"/>
        <w:bidi w:val="1"/>
      </w:pPr>
      <w:r>
        <w:rPr>
          <w:rFonts w:ascii="B Zar" w:hAnsi="B Zar" w:cs="B Zar" w:eastAsia="B Zar"/>
          <w:b/>
          <w:color w:val="1F3A5F"/>
          <w:sz w:val="32"/>
        </w:rPr>
        <w:t>۱. خلاصهٔ مدیریتی و هدف سند</w:t>
      </w:r>
    </w:p>
    <w:p>
      <w:pPr>
        <w:spacing w:after="140" w:before="0" w:line="348" w:lineRule="auto"/>
        <w:jc w:val="right"/>
        <w:bidi w:val="1"/>
      </w:pPr>
      <w:r>
        <w:rPr>
          <w:rFonts w:ascii="B Zar" w:hAnsi="B Zar" w:cs="B Zar" w:eastAsia="B Zar"/>
          <w:b w:val="0"/>
          <w:color w:val="263238"/>
          <w:sz w:val="22"/>
        </w:rPr>
        <w:t>این گزارش جامع برای تبدیل پژوهش‌های پراکندهٔ انجام‌شده در حوزهٔ مد، پوشاک و فشن به یک دارایی تصمیم‌ساز، قابل‌ارائه و قابل‌به‌روزرسانی طراحی شده است. هدف نهایی، تولید مجموعه‌ای از پرونده‌های بازار در سطح ارائه به تصمیم‌گیر است؛ به‌گونه‌ای که برای هر مسیر، مسئله، مشتری، بازار، رقبا، جایگزین‌ها، مدل درآمد، امکان اجرا، ریسک و توصیهٔ تصمیمی به‌صورت مستند دیده شود.</w:t>
      </w:r>
    </w:p>
    <w:p>
      <w:pPr>
        <w:spacing w:after="140" w:before="0" w:line="348" w:lineRule="auto"/>
        <w:jc w:val="right"/>
        <w:bidi w:val="1"/>
      </w:pPr>
      <w:r>
        <w:rPr>
          <w:rFonts w:ascii="B Zar" w:hAnsi="B Zar" w:cs="B Zar" w:eastAsia="B Zar"/>
          <w:b w:val="0"/>
          <w:color w:val="263238"/>
          <w:sz w:val="22"/>
        </w:rPr>
        <w:t>نسخهٔ ۰٫۲، نقطهٔ شروع این برنامه است: ۴۱ مسیر مرتبط با حوزهٔ فشن از یادداشت‌های پژوهش پیشین بازیابی، کدگذاری و در دفتر ثبت پرونده‌ها قرار گرفته‌اند. در هر نوبت، یک پرونده با استاندارد روش‌شناختی مصوب تکمیل، به این سند افزوده و وضعیت آن در دفتر ثبت به‌روزرسانی می‌شود.</w:t>
      </w:r>
    </w:p>
    <w:tbl>
      <w:tblPr>
        <w:tblW w:type="auto" w:w="0"/>
        <w:jc w:val="center"/>
        <w:tblLayout w:type="fixed"/>
        <w:tblLook w:firstColumn="1" w:firstRow="1" w:lastColumn="0" w:lastRow="0" w:noHBand="0" w:noVBand="1" w:val="04A0"/>
        <w:bidiVisual w:val="1"/>
      </w:tblPr>
      <w:tblGrid>
        <w:gridCol w:w="4933"/>
        <w:gridCol w:w="4933"/>
      </w:tblGrid>
      <w:tr>
        <w:trPr>
          <w:tblHeader w:val="true"/>
        </w:trPr>
        <w:tc>
          <w:tcPr>
            <w:tcW w:type="dxa" w:w="2891"/>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پرسش تصمیم</w:t>
            </w:r>
          </w:p>
        </w:tc>
        <w:tc>
          <w:tcPr>
            <w:tcW w:type="dxa" w:w="6917"/>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پاسخ این برنامه در پایان هر پرونده</w:t>
            </w:r>
          </w:p>
        </w:tc>
      </w:tr>
      <w:tr>
        <w:trPr>
          <w:cantSplit/>
        </w:trPr>
        <w:tc>
          <w:tcPr>
            <w:tcW w:type="dxa" w:w="289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آیا مسئله واقعی است؟</w:t>
            </w:r>
          </w:p>
        </w:tc>
        <w:tc>
          <w:tcPr>
            <w:tcW w:type="dxa" w:w="691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شواهد frequency، severity، workflow فعلی و هزینهٔ شکست؛ نه فقط علاقهٔ لفظی.</w:t>
            </w:r>
          </w:p>
        </w:tc>
      </w:tr>
      <w:tr>
        <w:trPr>
          <w:cantSplit/>
        </w:trPr>
        <w:tc>
          <w:tcPr>
            <w:tcW w:type="dxa" w:w="289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چه کسی می‌خرد و چرا؟</w:t>
            </w:r>
          </w:p>
        </w:tc>
        <w:tc>
          <w:tcPr>
            <w:tcW w:type="dxa" w:w="691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تفکیک user، economic buyer، influencer، بودجه، trigger و مسیر خرید.</w:t>
            </w:r>
          </w:p>
        </w:tc>
      </w:tr>
      <w:tr>
        <w:trPr>
          <w:cantSplit/>
        </w:trPr>
        <w:tc>
          <w:tcPr>
            <w:tcW w:type="dxa" w:w="289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آیا بازار به‌قدر کافی جذاب است؟</w:t>
            </w:r>
          </w:p>
        </w:tc>
        <w:tc>
          <w:tcPr>
            <w:tcW w:type="dxa" w:w="691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TAM/SAM/SOM با تعریف روشن، روش، مفروضات و سناریو؛ یا ثبت صادقانهٔ شکاف داده.</w:t>
            </w:r>
          </w:p>
        </w:tc>
      </w:tr>
      <w:tr>
        <w:trPr>
          <w:cantSplit/>
        </w:trPr>
        <w:tc>
          <w:tcPr>
            <w:tcW w:type="dxa" w:w="289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رقیب واقعی چیست؟</w:t>
            </w:r>
          </w:p>
        </w:tc>
        <w:tc>
          <w:tcPr>
            <w:tcW w:type="dxa" w:w="691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رقیب مستقیم، ابزار عمومی، روش دستی، service و وضعیت محلی؛ نه فقط شرکت‌های شناخته‌شده.</w:t>
            </w:r>
          </w:p>
        </w:tc>
      </w:tr>
      <w:tr>
        <w:trPr>
          <w:cantSplit/>
        </w:trPr>
        <w:tc>
          <w:tcPr>
            <w:tcW w:type="dxa" w:w="289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آیا می‌توان بدون عملیات نامطلوب اجرا کرد؟</w:t>
            </w:r>
          </w:p>
        </w:tc>
        <w:tc>
          <w:tcPr>
            <w:tcW w:type="dxa" w:w="691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وابستگی به لجستیک، انبار، field work، expert network، API، مقررات و سرمایه.</w:t>
            </w:r>
          </w:p>
        </w:tc>
      </w:tr>
      <w:tr>
        <w:trPr>
          <w:cantSplit/>
        </w:trPr>
        <w:tc>
          <w:tcPr>
            <w:tcW w:type="dxa" w:w="289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پس چه باید کرد؟</w:t>
            </w:r>
          </w:p>
        </w:tc>
        <w:tc>
          <w:tcPr>
            <w:tcW w:type="dxa" w:w="691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Pass / Watch / Pause / Reject یا Out of scope، همراه با گیت اعتبارسنجی و kill criterion.</w:t>
            </w:r>
          </w:p>
        </w:tc>
      </w:tr>
    </w:tbl>
    <w:p/>
    <w:p>
      <w:pPr>
        <w:pStyle w:val="Heading1"/>
        <w:spacing w:after="120" w:before="280" w:line="276" w:lineRule="auto"/>
        <w:jc w:val="right"/>
        <w:bidi w:val="1"/>
      </w:pPr>
      <w:r>
        <w:rPr>
          <w:rFonts w:ascii="B Zar" w:hAnsi="B Zar" w:cs="B Zar" w:eastAsia="B Zar"/>
          <w:b/>
          <w:color w:val="1F3A5F"/>
          <w:sz w:val="32"/>
        </w:rPr>
        <w:t>۲. دامنه، مرزها و اصول تصمیم</w:t>
      </w:r>
    </w:p>
    <w:p>
      <w:pPr>
        <w:spacing w:after="140" w:before="0" w:line="348" w:lineRule="auto"/>
        <w:jc w:val="right"/>
        <w:bidi w:val="1"/>
      </w:pPr>
      <w:r>
        <w:rPr>
          <w:rFonts w:ascii="B Zar" w:hAnsi="B Zar" w:cs="B Zar" w:eastAsia="B Zar"/>
          <w:b w:val="0"/>
          <w:color w:val="263238"/>
          <w:sz w:val="22"/>
        </w:rPr>
        <w:t>دامنهٔ پژوهش شامل فناوری، پلتفرم و نرم‌افزار در امتداد طراحی، توسعهٔ محصول، تولید، برند، بازاریابی، retail، creator economy، رسانه/کاستیوم و تجربهٔ مصرف‌کنندهٔ فشن است. در هر پرونده، نمونه‌های جهانی برای اثبات category و سازوکار تجاری بررسی می‌شوند؛ سپس امکان انتقال به ایران، بازیگران داخلی و جایگزین‌های واقعی به‌صورت مستقل سنجیده می‌شود.</w:t>
      </w:r>
    </w:p>
    <w:tbl>
      <w:tblPr>
        <w:tblW w:type="auto" w:w="0"/>
        <w:jc w:val="center"/>
        <w:tblLayout w:type="fixed"/>
        <w:tblLook w:firstColumn="1" w:firstRow="1" w:lastColumn="0" w:lastRow="0" w:noHBand="0" w:noVBand="1" w:val="04A0"/>
        <w:bidiVisual w:val="1"/>
      </w:tblPr>
      <w:tblGrid>
        <w:gridCol w:w="4933"/>
        <w:gridCol w:w="4933"/>
      </w:tblGrid>
      <w:tr>
        <w:trPr>
          <w:tblHeader w:val="true"/>
        </w:trPr>
        <w:tc>
          <w:tcPr>
            <w:tcW w:type="dxa" w:w="2665"/>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قاعدهٔ دامنه</w:t>
            </w:r>
          </w:p>
        </w:tc>
        <w:tc>
          <w:tcPr>
            <w:tcW w:type="dxa" w:w="7143"/>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تفسیر اجرایی در این گزارش</w:t>
            </w:r>
          </w:p>
        </w:tc>
      </w:tr>
      <w:tr>
        <w:trPr>
          <w:cantSplit/>
        </w:trPr>
        <w:tc>
          <w:tcPr>
            <w:tcW w:type="dxa" w:w="266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فقط پلتفرم/نرم‌افزار</w:t>
            </w:r>
          </w:p>
        </w:tc>
        <w:tc>
          <w:tcPr>
            <w:tcW w:type="dxa" w:w="7143"/>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فروشگاه، برند پوشاک، تولید فیزیکی یا marketplace عمومی به‌عنوان پیشنهاد نهایی مطرح نمی‌شود.</w:t>
            </w:r>
          </w:p>
        </w:tc>
      </w:tr>
      <w:tr>
        <w:trPr>
          <w:cantSplit/>
        </w:trPr>
        <w:tc>
          <w:tcPr>
            <w:tcW w:type="dxa" w:w="2665"/>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B2B و B2C جدا</w:t>
            </w:r>
          </w:p>
        </w:tc>
        <w:tc>
          <w:tcPr>
            <w:tcW w:type="dxa" w:w="7143"/>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برای هر مسیر، buyer، KPI، توزیع، مدل درآمد و معیار اعتبارسنجی بر اساس نوع بازار جداگانه نوشته می‌شود.</w:t>
            </w:r>
          </w:p>
        </w:tc>
      </w:tr>
      <w:tr>
        <w:trPr>
          <w:cantSplit/>
        </w:trPr>
        <w:tc>
          <w:tcPr>
            <w:tcW w:type="dxa" w:w="266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عدم بازنام‌گذاری</w:t>
            </w:r>
          </w:p>
        </w:tc>
        <w:tc>
          <w:tcPr>
            <w:tcW w:type="dxa" w:w="7143"/>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مسیرهای ردشده با نام، UI یا buzzword جدید دوباره به‌عنوان candidate معرفی نمی‌شوند.</w:t>
            </w:r>
          </w:p>
        </w:tc>
      </w:tr>
      <w:tr>
        <w:trPr>
          <w:cantSplit/>
        </w:trPr>
        <w:tc>
          <w:tcPr>
            <w:tcW w:type="dxa" w:w="2665"/>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جایگزین واقعی مقدم بر نبود رقیب</w:t>
            </w:r>
          </w:p>
        </w:tc>
        <w:tc>
          <w:tcPr>
            <w:tcW w:type="dxa" w:w="7143"/>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Excel، WhatsApp، سرویس مدیریت‌شده، ERP، مدیر باتجربه یا ابزار عمومی هم «رقیب» هستند.</w:t>
            </w:r>
          </w:p>
        </w:tc>
      </w:tr>
      <w:tr>
        <w:trPr>
          <w:cantSplit/>
        </w:trPr>
        <w:tc>
          <w:tcPr>
            <w:tcW w:type="dxa" w:w="266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رد بدون حذف</w:t>
            </w:r>
          </w:p>
        </w:tc>
        <w:tc>
          <w:tcPr>
            <w:tcW w:type="dxa" w:w="7143"/>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پرونده‌های رد/متوقف در گزارش باقی می‌مانند تا یادگیری و جلوگیری از تکرار تصمیم حفظ شود.</w:t>
            </w:r>
          </w:p>
        </w:tc>
      </w:tr>
      <w:tr>
        <w:trPr>
          <w:cantSplit/>
        </w:trPr>
        <w:tc>
          <w:tcPr>
            <w:tcW w:type="dxa" w:w="2665"/>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نتیجه‌گیری مشروط</w:t>
            </w:r>
          </w:p>
        </w:tc>
        <w:tc>
          <w:tcPr>
            <w:tcW w:type="dxa" w:w="7143"/>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وجود category جهانی یا clone داخلی، به‌تنهایی برای go/no-go کافی نیست.</w:t>
            </w:r>
          </w:p>
        </w:tc>
      </w:tr>
    </w:tbl>
    <w:p/>
    <w:p>
      <w:pPr>
        <w:pStyle w:val="Heading1"/>
        <w:spacing w:after="120" w:before="280" w:line="276" w:lineRule="auto"/>
        <w:jc w:val="right"/>
        <w:bidi w:val="1"/>
      </w:pPr>
      <w:r>
        <w:rPr>
          <w:rFonts w:ascii="B Zar" w:hAnsi="B Zar" w:cs="B Zar" w:eastAsia="B Zar"/>
          <w:b/>
          <w:color w:val="1F3A5F"/>
          <w:sz w:val="32"/>
        </w:rPr>
        <w:t>۳. استاندارد روش‌شناسی و کیفیت شواهد</w:t>
      </w:r>
    </w:p>
    <w:p>
      <w:pPr>
        <w:spacing w:after="140" w:before="0" w:line="348" w:lineRule="auto"/>
        <w:jc w:val="right"/>
        <w:bidi w:val="1"/>
      </w:pPr>
      <w:r>
        <w:rPr>
          <w:rFonts w:ascii="B Zar" w:hAnsi="B Zar" w:cs="B Zar" w:eastAsia="B Zar"/>
          <w:b w:val="0"/>
          <w:color w:val="263238"/>
          <w:sz w:val="22"/>
        </w:rPr>
        <w:t>استاندارد کامل تدوین پرونده‌ها در فایل مستقل «استاندارد_تدوین_گزارش_تحقیقات_بازار_فرصت‌های_فشن.md» ذخیره شده است. این روش از اصول گزارش‌دهی شفاف ISO 20252، کد ICC/ESOMAR، راهنمای market research و competitive analysis SBA و منطق امکان‌سنجی UNIDO اقتباس شده است. این گزارش گواهی انطباق با هیچ‌یک از این استانداردها نیست.</w:t>
      </w:r>
    </w:p>
    <w:tbl>
      <w:tblPr>
        <w:tblW w:type="auto" w:w="0"/>
        <w:jc w:val="center"/>
        <w:tblLayout w:type="fixed"/>
        <w:tblLook w:firstColumn="1" w:firstRow="1" w:lastColumn="0" w:lastRow="0" w:noHBand="0" w:noVBand="1" w:val="04A0"/>
        <w:bidiVisual w:val="1"/>
      </w:tblPr>
      <w:tblGrid>
        <w:gridCol w:w="4933"/>
        <w:gridCol w:w="4933"/>
      </w:tblGrid>
      <w:tr>
        <w:trPr>
          <w:tblHeader w:val="true"/>
        </w:trPr>
        <w:tc>
          <w:tcPr>
            <w:tcW w:type="dxa" w:w="243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برچسب</w:t>
            </w:r>
          </w:p>
        </w:tc>
        <w:tc>
          <w:tcPr>
            <w:tcW w:type="dxa" w:w="7370"/>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تعریف و نحوهٔ ارائه در پرونده</w:t>
            </w:r>
          </w:p>
        </w:tc>
      </w:tr>
      <w:tr>
        <w:trPr>
          <w:cantSplit/>
        </w:trPr>
        <w:tc>
          <w:tcPr>
            <w:tcW w:type="dxa" w:w="243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F — واقعیت مستند</w:t>
            </w:r>
          </w:p>
        </w:tc>
        <w:tc>
          <w:tcPr>
            <w:tcW w:type="dxa" w:w="737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منبع قابل بازبینی، تاریخ، جغرافیا و درجهٔ منبع دارد.</w:t>
            </w:r>
          </w:p>
        </w:tc>
      </w:tr>
      <w:tr>
        <w:trPr>
          <w:cantSplit/>
        </w:trPr>
        <w:tc>
          <w:tcPr>
            <w:tcW w:type="dxa" w:w="243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E — برآورد</w:t>
            </w:r>
          </w:p>
        </w:tc>
        <w:tc>
          <w:tcPr>
            <w:tcW w:type="dxa" w:w="7370"/>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فرمول، ورودی‌ها، مفروضات، بازه و sensitivity مشخص است.</w:t>
            </w:r>
          </w:p>
        </w:tc>
      </w:tr>
      <w:tr>
        <w:trPr>
          <w:cantSplit/>
        </w:trPr>
        <w:tc>
          <w:tcPr>
            <w:tcW w:type="dxa" w:w="243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H — فرضیه</w:t>
            </w:r>
          </w:p>
        </w:tc>
        <w:tc>
          <w:tcPr>
            <w:tcW w:type="dxa" w:w="737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هنوز اثبات نشده و با طرح آزمون، KPI و kill criterion بیان می‌شود.</w:t>
            </w:r>
          </w:p>
        </w:tc>
      </w:tr>
      <w:tr>
        <w:trPr>
          <w:cantSplit/>
        </w:trPr>
        <w:tc>
          <w:tcPr>
            <w:tcW w:type="dxa" w:w="243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I — تفسیر</w:t>
            </w:r>
          </w:p>
        </w:tc>
        <w:tc>
          <w:tcPr>
            <w:tcW w:type="dxa" w:w="7370"/>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برداشت تحلیلگر از چند شواهد است؛ از یافتهٔ خام جدا می‌ماند.</w:t>
            </w:r>
          </w:p>
        </w:tc>
      </w:tr>
      <w:tr>
        <w:trPr>
          <w:cantSplit/>
        </w:trPr>
        <w:tc>
          <w:tcPr>
            <w:tcW w:type="dxa" w:w="243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R — توصیه</w:t>
            </w:r>
          </w:p>
        </w:tc>
        <w:tc>
          <w:tcPr>
            <w:tcW w:type="dxa" w:w="737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اقدام، اولویت، مالک، زمان و معیار موفقیت/شکست دارد.</w:t>
            </w:r>
          </w:p>
        </w:tc>
      </w:tr>
    </w:tbl>
    <w:p/>
    <w:tbl>
      <w:tblPr>
        <w:tblW w:type="auto" w:w="0"/>
        <w:jc w:val="center"/>
        <w:tblLook w:firstColumn="1" w:firstRow="1" w:lastColumn="0" w:lastRow="0" w:noHBand="0" w:noVBand="1" w:val="04A0"/>
        <w:bidiVisual w:val="1"/>
      </w:tblPr>
      <w:tblGrid>
        <w:gridCol w:w="9866"/>
      </w:tblGrid>
      <w:tr>
        <w:tc>
          <w:tcPr>
            <w:tcW w:type="dxa" w:w="9866"/>
            <w:vAlign w:val="center"/>
            <w:tcMar>
              <w:top w:w="80" w:type="dxa"/>
              <w:start w:w="80" w:type="dxa"/>
              <w:bottom w:w="80" w:type="dxa"/>
              <w:end w:w="80" w:type="dxa"/>
            </w:tcMar>
            <w:shd w:fill="E6F4F2"/>
            <w:tcBorders>
              <w:top w:val="single" w:sz="8" w:color="1F7A70"/>
              <w:left w:val="single" w:sz="4" w:color="D9E0E7"/>
              <w:bottom w:val="single" w:sz="4" w:color="D9E0E7"/>
              <w:right w:val="single" w:sz="4" w:color="D9E0E7"/>
            </w:tcBorders>
          </w:tcPr>
          <w:p>
            <w:pPr>
              <w:spacing w:after="60" w:before="0" w:line="288" w:lineRule="auto"/>
              <w:jc w:val="right"/>
              <w:bidi w:val="1"/>
            </w:pPr>
            <w:r/>
            <w:r>
              <w:rPr>
                <w:rFonts w:ascii="B Zar" w:hAnsi="B Zar" w:cs="B Zar" w:eastAsia="B Zar"/>
                <w:b/>
                <w:color w:val="1F7A70"/>
                <w:sz w:val="23"/>
              </w:rPr>
              <w:t>قاعدهٔ نمودار و عدد</w:t>
            </w:r>
          </w:p>
          <w:p>
            <w:pPr>
              <w:spacing w:after="40" w:before="0" w:line="324" w:lineRule="auto"/>
              <w:jc w:val="right"/>
              <w:bidi w:val="1"/>
            </w:pPr>
            <w:r>
              <w:rPr>
                <w:rFonts w:ascii="B Zar" w:hAnsi="B Zar" w:cs="B Zar" w:eastAsia="B Zar"/>
                <w:color w:val="263238"/>
                <w:sz w:val="21"/>
              </w:rPr>
              <w:t>هیچ نمودار اندازهٔ بازار، سهم بازار، درآمد یا رضایت با دادهٔ نمونه یا عدد بی‌منبع وارد این گزارش نمی‌شود. نمودارهای نسخهٔ ۰٫۲ فقط وضعیت واقعی برنامهٔ پژوهش را نمایش می‌دهند. نمودارهای هر پرونده پس از ثبت منبع، تعریف، واحد و روش ایجاد می‌شوند.</w:t>
            </w:r>
          </w:p>
        </w:tc>
      </w:tr>
    </w:tbl>
    <w:p/>
    <w:p>
      <w:pPr>
        <w:pStyle w:val="Heading1"/>
        <w:spacing w:after="120" w:before="280" w:line="276" w:lineRule="auto"/>
        <w:jc w:val="right"/>
        <w:bidi w:val="1"/>
      </w:pPr>
      <w:r>
        <w:rPr>
          <w:rFonts w:ascii="B Zar" w:hAnsi="B Zar" w:cs="B Zar" w:eastAsia="B Zar"/>
          <w:b/>
          <w:color w:val="1F3A5F"/>
          <w:sz w:val="32"/>
        </w:rPr>
        <w:t>۴. معماری گزارش جامع ۵۰۰+ صفحه‌ای</w:t>
      </w:r>
    </w:p>
    <w:p>
      <w:pPr>
        <w:spacing w:after="140" w:before="0" w:line="348" w:lineRule="auto"/>
        <w:jc w:val="right"/>
        <w:bidi w:val="1"/>
      </w:pPr>
      <w:r>
        <w:rPr>
          <w:rFonts w:ascii="B Zar" w:hAnsi="B Zar" w:cs="B Zar" w:eastAsia="B Zar"/>
          <w:b w:val="0"/>
          <w:color w:val="263238"/>
          <w:sz w:val="22"/>
        </w:rPr>
        <w:t>هدف این برنامه، یک فایل حجیم اما قابل ناوبری نیست؛ هدف، یک مجموعهٔ قابل‌اعتماد از پرونده‌های ماژولار است که در یک سند مادر گردآوری می‌شود. در نتیجه، طول نهایی می‌تواند از ۵۰۰ صفحه عبور کند، اما هر پرونده باید به‌تنهایی قابل خواندن، نسخه‌پذیر و تصمیم‌ساز بماند.</w:t>
      </w:r>
    </w:p>
    <w:tbl>
      <w:tblPr>
        <w:tblW w:type="auto" w:w="0"/>
        <w:jc w:val="center"/>
        <w:tblLayout w:type="fixed"/>
        <w:tblLook w:firstColumn="1" w:firstRow="1" w:lastColumn="0" w:lastRow="0" w:noHBand="0" w:noVBand="1" w:val="04A0"/>
        <w:bidiVisual w:val="1"/>
      </w:tblPr>
      <w:tblGrid>
        <w:gridCol w:w="2466"/>
        <w:gridCol w:w="2466"/>
        <w:gridCol w:w="2466"/>
        <w:gridCol w:w="2466"/>
      </w:tblGrid>
      <w:tr>
        <w:trPr>
          <w:tblHeader w:val="true"/>
        </w:trPr>
        <w:tc>
          <w:tcPr>
            <w:tcW w:type="dxa" w:w="1814"/>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لایه</w:t>
            </w:r>
          </w:p>
        </w:tc>
        <w:tc>
          <w:tcPr>
            <w:tcW w:type="dxa" w:w="3685"/>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محتوا</w:t>
            </w:r>
          </w:p>
        </w:tc>
        <w:tc>
          <w:tcPr>
            <w:tcW w:type="dxa" w:w="1871"/>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عمق هدف</w:t>
            </w:r>
          </w:p>
        </w:tc>
        <w:tc>
          <w:tcPr>
            <w:tcW w:type="dxa" w:w="243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حکم تکمیل</w:t>
            </w:r>
          </w:p>
        </w:tc>
      </w:tr>
      <w:tr>
        <w:trPr>
          <w:cantSplit/>
        </w:trPr>
        <w:tc>
          <w:tcPr>
            <w:tcW w:type="dxa" w:w="181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جلد و مدیریت سند</w:t>
            </w:r>
          </w:p>
        </w:tc>
        <w:tc>
          <w:tcPr>
            <w:tcW w:type="dxa" w:w="368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فهرست، واژه‌نامه، روش، register، dashboard و changelog</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۲۵–۴۰ صفحه</w:t>
            </w:r>
          </w:p>
        </w:tc>
        <w:tc>
          <w:tcPr>
            <w:tcW w:type="dxa" w:w="243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در نسخه صفر ایجاد شد</w:t>
            </w:r>
          </w:p>
        </w:tc>
      </w:tr>
      <w:tr>
        <w:trPr>
          <w:cantSplit/>
        </w:trPr>
        <w:tc>
          <w:tcPr>
            <w:tcW w:type="dxa" w:w="181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پرونده‌های فعال / Watch</w:t>
            </w:r>
          </w:p>
        </w:tc>
        <w:tc>
          <w:tcPr>
            <w:tcW w:type="dxa" w:w="3685"/>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تحقیق بازار کامل، رقابت، sizing، WTP، مدل، risk و validation</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۲۰–۳۵ صفحه برای هر مسیر</w:t>
            </w:r>
          </w:p>
        </w:tc>
        <w:tc>
          <w:tcPr>
            <w:tcW w:type="dxa" w:w="243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پس از تکمیل evidence ledger و verdict</w:t>
            </w:r>
          </w:p>
        </w:tc>
      </w:tr>
      <w:tr>
        <w:trPr>
          <w:cantSplit/>
        </w:trPr>
        <w:tc>
          <w:tcPr>
            <w:tcW w:type="dxa" w:w="181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پرونده‌های Pause / Reject</w:t>
            </w:r>
          </w:p>
        </w:tc>
        <w:tc>
          <w:tcPr>
            <w:tcW w:type="dxa" w:w="368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پیشینه، بازار/جایگزین، دلیل تصمیم، counterargument و trigger بازگشایی</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۸–۱۵ صفحه برای هر مسیر</w:t>
            </w:r>
          </w:p>
        </w:tc>
        <w:tc>
          <w:tcPr>
            <w:tcW w:type="dxa" w:w="243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پس از ثبت کامل منطق رد/توقف</w:t>
            </w:r>
          </w:p>
        </w:tc>
      </w:tr>
      <w:tr>
        <w:trPr>
          <w:cantSplit/>
        </w:trPr>
        <w:tc>
          <w:tcPr>
            <w:tcW w:type="dxa" w:w="181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پیوست‌های قابل‌حسابرسی</w:t>
            </w:r>
          </w:p>
        </w:tc>
        <w:tc>
          <w:tcPr>
            <w:tcW w:type="dxa" w:w="3685"/>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منابع، محاسبات، مصاحبه‌ها، ابزار survey، data book و changelog</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به‌تناسب داده</w:t>
            </w:r>
          </w:p>
        </w:tc>
        <w:tc>
          <w:tcPr>
            <w:tcW w:type="dxa" w:w="243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بدون تغییر متن اصلی</w:t>
            </w:r>
          </w:p>
        </w:tc>
      </w:tr>
    </w:tbl>
    <w:p/>
    <w:p>
      <w:r>
        <w:br w:type="page"/>
      </w:r>
    </w:p>
    <w:p>
      <w:pPr>
        <w:pStyle w:val="Heading1"/>
        <w:spacing w:after="120" w:before="280" w:line="276" w:lineRule="auto"/>
        <w:jc w:val="right"/>
        <w:bidi w:val="1"/>
      </w:pPr>
      <w:r>
        <w:rPr>
          <w:rFonts w:ascii="B Zar" w:hAnsi="B Zar" w:cs="B Zar" w:eastAsia="B Zar"/>
          <w:b/>
          <w:color w:val="1F3A5F"/>
          <w:sz w:val="32"/>
        </w:rPr>
        <w:t>۵. دفتر ثبت پرونده‌های فشن</w:t>
      </w:r>
    </w:p>
    <w:p>
      <w:pPr>
        <w:spacing w:after="140" w:before="0" w:line="348" w:lineRule="auto"/>
        <w:jc w:val="right"/>
        <w:bidi w:val="1"/>
      </w:pPr>
      <w:r>
        <w:rPr>
          <w:rFonts w:ascii="B Zar" w:hAnsi="B Zar" w:cs="B Zar" w:eastAsia="B Zar"/>
          <w:b w:val="0"/>
          <w:color w:val="263238"/>
          <w:sz w:val="22"/>
        </w:rPr>
        <w:t>این دفتر، فهرست کنترل‌شدهٔ همهٔ مسیرهای بررسی‌شده در حوزهٔ مد، پوشاک و فشن است. وضعیت نشان‌دهندهٔ تصمیم فعلی پژوهش است و از اولویت یا کیفیت ذاتی محصول نتیجه‌گیری نمی‌کند. «رد/آرشیوی» به معنی حذف دانش یا داده نیست؛ این پرونده‌ها در گزارش جامع خواهند ماند و با نام جدید بازپیشنهاد نمی‌شوند.</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328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وضعیت</w:t>
            </w:r>
          </w:p>
        </w:tc>
        <w:tc>
          <w:tcPr>
            <w:tcW w:type="dxa" w:w="1304"/>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تعداد پرونده</w:t>
            </w:r>
          </w:p>
        </w:tc>
        <w:tc>
          <w:tcPr>
            <w:tcW w:type="dxa" w:w="5216"/>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تفسیر</w:t>
            </w:r>
          </w:p>
        </w:tc>
      </w:tr>
      <w:tr>
        <w:trPr>
          <w:cantSplit/>
        </w:trPr>
        <w:tc>
          <w:tcPr>
            <w:tcW w:type="dxa" w:w="328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فعال برای اعتبارسنجی</w:t>
            </w:r>
          </w:p>
        </w:tc>
        <w:tc>
          <w:tcPr>
            <w:tcW w:type="dxa" w:w="130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2</w:t>
            </w:r>
          </w:p>
        </w:tc>
        <w:tc>
          <w:tcPr>
            <w:tcW w:type="dxa" w:w="5216"/>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تعریف وضعیت در استاندارد داخلی</w:t>
            </w:r>
          </w:p>
        </w:tc>
      </w:tr>
      <w:tr>
        <w:trPr>
          <w:cantSplit/>
        </w:trPr>
        <w:tc>
          <w:tcPr>
            <w:tcW w:type="dxa" w:w="328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نیازمند پژوهش عمیق</w:t>
            </w:r>
          </w:p>
        </w:tc>
        <w:tc>
          <w:tcPr>
            <w:tcW w:type="dxa" w:w="130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2</w:t>
            </w:r>
          </w:p>
        </w:tc>
        <w:tc>
          <w:tcPr>
            <w:tcW w:type="dxa" w:w="5216"/>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تعریف وضعیت در استاندارد داخلی</w:t>
            </w:r>
          </w:p>
        </w:tc>
      </w:tr>
      <w:tr>
        <w:trPr>
          <w:cantSplit/>
        </w:trPr>
        <w:tc>
          <w:tcPr>
            <w:tcW w:type="dxa" w:w="328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متوقف / Pause</w:t>
            </w:r>
          </w:p>
        </w:tc>
        <w:tc>
          <w:tcPr>
            <w:tcW w:type="dxa" w:w="130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3</w:t>
            </w:r>
          </w:p>
        </w:tc>
        <w:tc>
          <w:tcPr>
            <w:tcW w:type="dxa" w:w="5216"/>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تعریف وضعیت در استاندارد داخلی</w:t>
            </w:r>
          </w:p>
        </w:tc>
      </w:tr>
      <w:tr>
        <w:trPr>
          <w:cantSplit/>
        </w:trPr>
        <w:tc>
          <w:tcPr>
            <w:tcW w:type="dxa" w:w="328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اولویت پایین</w:t>
            </w:r>
          </w:p>
        </w:tc>
        <w:tc>
          <w:tcPr>
            <w:tcW w:type="dxa" w:w="130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2</w:t>
            </w:r>
          </w:p>
        </w:tc>
        <w:tc>
          <w:tcPr>
            <w:tcW w:type="dxa" w:w="5216"/>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تعریف وضعیت در استاندارد داخلی</w:t>
            </w:r>
          </w:p>
        </w:tc>
      </w:tr>
      <w:tr>
        <w:trPr>
          <w:cantSplit/>
        </w:trPr>
        <w:tc>
          <w:tcPr>
            <w:tcW w:type="dxa" w:w="328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رد / آرشیوی</w:t>
            </w:r>
          </w:p>
        </w:tc>
        <w:tc>
          <w:tcPr>
            <w:tcW w:type="dxa" w:w="130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30</w:t>
            </w:r>
          </w:p>
        </w:tc>
        <w:tc>
          <w:tcPr>
            <w:tcW w:type="dxa" w:w="5216"/>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تعریف وضعیت در استاندارد داخلی</w:t>
            </w:r>
          </w:p>
        </w:tc>
      </w:tr>
      <w:tr>
        <w:trPr>
          <w:cantSplit/>
        </w:trPr>
        <w:tc>
          <w:tcPr>
            <w:tcW w:type="dxa" w:w="328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خارج از دامنه</w:t>
            </w:r>
          </w:p>
        </w:tc>
        <w:tc>
          <w:tcPr>
            <w:tcW w:type="dxa" w:w="130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2</w:t>
            </w:r>
          </w:p>
        </w:tc>
        <w:tc>
          <w:tcPr>
            <w:tcW w:type="dxa" w:w="5216"/>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تعریف وضعیت در استاندارد داخلی</w:t>
            </w:r>
          </w:p>
        </w:tc>
      </w:tr>
    </w:tbl>
    <w:p/>
    <w:p>
      <w:pPr>
        <w:spacing w:after="140" w:before="0" w:line="240" w:lineRule="auto"/>
        <w:jc w:val="right"/>
        <w:bidi w:val="1"/>
      </w:pPr>
      <w:r>
        <w:rPr>
          <w:rFonts w:ascii="B Zar" w:hAnsi="B Zar" w:cs="B Zar" w:eastAsia="B Zar"/>
          <w:b/>
          <w:i/>
          <w:color w:val="6B7280"/>
          <w:sz w:val="20"/>
        </w:rPr>
        <w:t>شکل ۱ — توزیع وضعیت پرونده‌های موجود در نسخهٔ ۰٫۲</w:t>
      </w:r>
    </w:p>
    <w:p>
      <w:pPr>
        <w:spacing w:after="200"/>
        <w:jc w:val="center"/>
      </w:pPr>
      <w:r>
        <w:drawing>
          <wp:inline xmlns:a="http://schemas.openxmlformats.org/drawingml/2006/main" xmlns:pic="http://schemas.openxmlformats.org/drawingml/2006/picture">
            <wp:extent cx="5940000" cy="3192750"/>
            <wp:docPr id="1" name="Picture 1"/>
            <wp:cNvGraphicFramePr>
              <a:graphicFrameLocks noChangeAspect="1"/>
            </wp:cNvGraphicFramePr>
            <a:graphic>
              <a:graphicData uri="http://schemas.openxmlformats.org/drawingml/2006/picture">
                <pic:pic>
                  <pic:nvPicPr>
                    <pic:cNvPr id="0" name="portfolio_status_1405.png"/>
                    <pic:cNvPicPr/>
                  </pic:nvPicPr>
                  <pic:blipFill>
                    <a:blip r:embed="rId11"/>
                    <a:stretch>
                      <a:fillRect/>
                    </a:stretch>
                  </pic:blipFill>
                  <pic:spPr>
                    <a:xfrm>
                      <a:off x="0" y="0"/>
                      <a:ext cx="5940000" cy="3192750"/>
                    </a:xfrm>
                    <a:prstGeom prst="rect"/>
                  </pic:spPr>
                </pic:pic>
              </a:graphicData>
            </a:graphic>
          </wp:inline>
        </w:drawing>
      </w:r>
    </w:p>
    <w:p>
      <w:pPr>
        <w:spacing w:after="160" w:before="0" w:line="264" w:lineRule="auto"/>
        <w:jc w:val="right"/>
        <w:bidi w:val="1"/>
      </w:pPr>
      <w:r>
        <w:rPr>
          <w:rFonts w:ascii="B Zar" w:hAnsi="B Zar" w:cs="B Zar" w:eastAsia="B Zar"/>
          <w:i/>
          <w:color w:val="6B7280"/>
          <w:sz w:val="18"/>
        </w:rPr>
        <w:t>یادداشت: این نمودار اندازهٔ بازار یا احتمال موفقیت را نشان نمی‌دهد؛ صرفاً شمارش وضعیت‌های ثبت‌شده در دفتر پژوهش است.</w:t>
      </w:r>
    </w:p>
    <w:p>
      <w:pPr>
        <w:pStyle w:val="Heading2"/>
        <w:spacing w:after="120" w:before="180" w:line="276" w:lineRule="auto"/>
        <w:jc w:val="right"/>
        <w:bidi w:val="1"/>
      </w:pPr>
      <w:r>
        <w:rPr>
          <w:rFonts w:ascii="B Zar" w:hAnsi="B Zar" w:cs="B Zar" w:eastAsia="B Zar"/>
          <w:b/>
          <w:color w:val="1F7A70"/>
          <w:sz w:val="27"/>
        </w:rPr>
        <w:t>۵-۱. مسیرهای فعال و فرضیه‌های نیازمند پژوهش عمیق</w:t>
      </w:r>
    </w:p>
    <w:tbl>
      <w:tblPr>
        <w:tblW w:type="auto" w:w="0"/>
        <w:jc w:val="center"/>
        <w:tblLayout w:type="fixed"/>
        <w:tblLook w:firstColumn="1" w:firstRow="1" w:lastColumn="0" w:lastRow="0" w:noHBand="0" w:noVBand="1" w:val="04A0"/>
        <w:bidiVisual w:val="1"/>
      </w:tblPr>
      <w:tblGrid>
        <w:gridCol w:w="1973"/>
        <w:gridCol w:w="1973"/>
        <w:gridCol w:w="1973"/>
        <w:gridCol w:w="1973"/>
        <w:gridCol w:w="1973"/>
      </w:tblGrid>
      <w:tr>
        <w:trPr>
          <w:tblHeader w:val="true"/>
        </w:trPr>
        <w:tc>
          <w:tcPr>
            <w:tcW w:type="dxa" w:w="794"/>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کد</w:t>
            </w:r>
          </w:p>
        </w:tc>
        <w:tc>
          <w:tcPr>
            <w:tcW w:type="dxa" w:w="379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مسیر / محصول</w:t>
            </w:r>
          </w:p>
        </w:tc>
        <w:tc>
          <w:tcPr>
            <w:tcW w:type="dxa" w:w="1247"/>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بازار</w:t>
            </w:r>
          </w:p>
        </w:tc>
        <w:tc>
          <w:tcPr>
            <w:tcW w:type="dxa" w:w="1871"/>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تصمیم فعلی</w:t>
            </w:r>
          </w:p>
        </w:tc>
        <w:tc>
          <w:tcPr>
            <w:tcW w:type="dxa" w:w="226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وضعیت در گزارش جامع</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F-01</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مدیریت گردش نمونهٔ لباس و Creator Seeding</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فعال برای اعتبارسنجی</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عمیق در صف ۱</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F-02</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تداوم لباس و مدیریت دارایی برای فیلم، سریال و تبلیغات</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فعال برای اعتبارسنجی</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عمیق در صف ۲</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F-03</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Tech Pack → تأیید نمونه → قفل انتشار تولید انبوه</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Watch / نیازمند اثبات</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عمیق در صف ۳</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F-04</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اصالت‌سنجی مستقل پوشاک/اسنیکر برند پیش از معامله</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Watch / نیازمند اثبات</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عمیق در صف ۴</w:t>
            </w:r>
          </w:p>
        </w:tc>
      </w:tr>
    </w:tbl>
    <w:p/>
    <w:p>
      <w:pPr>
        <w:pStyle w:val="Heading2"/>
        <w:spacing w:after="120" w:before="180" w:line="276" w:lineRule="auto"/>
        <w:jc w:val="right"/>
        <w:bidi w:val="1"/>
      </w:pPr>
      <w:r>
        <w:rPr>
          <w:rFonts w:ascii="B Zar" w:hAnsi="B Zar" w:cs="B Zar" w:eastAsia="B Zar"/>
          <w:b/>
          <w:color w:val="1F7A70"/>
          <w:sz w:val="27"/>
        </w:rPr>
        <w:t>۵-۲. مسیرهای متوقف‌شده به درخواست کاربر</w:t>
      </w:r>
    </w:p>
    <w:tbl>
      <w:tblPr>
        <w:tblW w:type="auto" w:w="0"/>
        <w:jc w:val="center"/>
        <w:tblLayout w:type="fixed"/>
        <w:tblLook w:firstColumn="1" w:firstRow="1" w:lastColumn="0" w:lastRow="0" w:noHBand="0" w:noVBand="1" w:val="04A0"/>
        <w:bidiVisual w:val="1"/>
      </w:tblPr>
      <w:tblGrid>
        <w:gridCol w:w="1973"/>
        <w:gridCol w:w="1973"/>
        <w:gridCol w:w="1973"/>
        <w:gridCol w:w="1973"/>
        <w:gridCol w:w="1973"/>
      </w:tblGrid>
      <w:tr>
        <w:trPr>
          <w:tblHeader w:val="true"/>
        </w:trPr>
        <w:tc>
          <w:tcPr>
            <w:tcW w:type="dxa" w:w="794"/>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کد</w:t>
            </w:r>
          </w:p>
        </w:tc>
        <w:tc>
          <w:tcPr>
            <w:tcW w:type="dxa" w:w="379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مسیر / محصول</w:t>
            </w:r>
          </w:p>
        </w:tc>
        <w:tc>
          <w:tcPr>
            <w:tcW w:type="dxa" w:w="1247"/>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بازار</w:t>
            </w:r>
          </w:p>
        </w:tc>
        <w:tc>
          <w:tcPr>
            <w:tcW w:type="dxa" w:w="1871"/>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تصمیم فعلی</w:t>
            </w:r>
          </w:p>
        </w:tc>
        <w:tc>
          <w:tcPr>
            <w:tcW w:type="dxa" w:w="226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وضعیت در گزارش جامع</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F-07</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فشن‌گیم اجتماعی بومی</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Pause به درخواست کاربر</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بازگشایی فقط با درخواست صریح</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F-08</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Sew-Along و Help Loop پروژه‌محور برای خیاطی خانگی</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Pause به درخواست کاربر</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بازگشایی فقط با درخواست صریح</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F-09</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Brief → Critique → Revision برای طراحان نوپا</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Pause به درخواست کاربر</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بازگشایی فقط با درخواست صریح</w:t>
            </w:r>
          </w:p>
        </w:tc>
      </w:tr>
    </w:tbl>
    <w:p/>
    <w:p>
      <w:pPr>
        <w:pStyle w:val="Heading2"/>
        <w:spacing w:after="120" w:before="180" w:line="276" w:lineRule="auto"/>
        <w:jc w:val="right"/>
        <w:bidi w:val="1"/>
      </w:pPr>
      <w:r>
        <w:rPr>
          <w:rFonts w:ascii="B Zar" w:hAnsi="B Zar" w:cs="B Zar" w:eastAsia="B Zar"/>
          <w:b/>
          <w:color w:val="1F7A70"/>
          <w:sz w:val="27"/>
        </w:rPr>
        <w:t>۵-۳. مسیرهای محصول و تولید که در وضعیت آرشیوی/خارج از دامنه‌اند</w:t>
      </w:r>
    </w:p>
    <w:tbl>
      <w:tblPr>
        <w:tblW w:type="auto" w:w="0"/>
        <w:jc w:val="center"/>
        <w:tblLayout w:type="fixed"/>
        <w:tblLook w:firstColumn="1" w:firstRow="1" w:lastColumn="0" w:lastRow="0" w:noHBand="0" w:noVBand="1" w:val="04A0"/>
        <w:bidiVisual w:val="1"/>
      </w:tblPr>
      <w:tblGrid>
        <w:gridCol w:w="1973"/>
        <w:gridCol w:w="1973"/>
        <w:gridCol w:w="1973"/>
        <w:gridCol w:w="1973"/>
        <w:gridCol w:w="1973"/>
      </w:tblGrid>
      <w:tr>
        <w:trPr>
          <w:tblHeader w:val="true"/>
        </w:trPr>
        <w:tc>
          <w:tcPr>
            <w:tcW w:type="dxa" w:w="794"/>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کد</w:t>
            </w:r>
          </w:p>
        </w:tc>
        <w:tc>
          <w:tcPr>
            <w:tcW w:type="dxa" w:w="379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مسیر / محصول</w:t>
            </w:r>
          </w:p>
        </w:tc>
        <w:tc>
          <w:tcPr>
            <w:tcW w:type="dxa" w:w="1247"/>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بازار</w:t>
            </w:r>
          </w:p>
        </w:tc>
        <w:tc>
          <w:tcPr>
            <w:tcW w:type="dxa" w:w="1871"/>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تصمیم فعلی</w:t>
            </w:r>
          </w:p>
        </w:tc>
        <w:tc>
          <w:tcPr>
            <w:tcW w:type="dxa" w:w="226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وضعیت در گزارش جامع</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F-10</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CAD/3D و الگوسازی دیجیتال عمومی</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F-11</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PLM/ERP عمومی فشن و design-to-production suite</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F-12</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سایزدهی و پرو مجازی عمومی</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F-13</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رنگ، lab-dip و تأیید رنگ پارچه</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F-14</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اجرای خط دوخت، WIP، barcode و line balancing</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F-15</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QC/AQL/CAPA و کنترل کیفیت عمومی پوشاک</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F-16</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فروش الگوی دیجیتال و الگوسازی عمومی</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F-17</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OS مزون و خیاطی سفارشی</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F-18</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استودیوی managed «ایده تا تولید»</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خارج از دامنه</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F-19</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costing و product development عمومی</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F-20</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Proof-to-Production برای چاپ/DTF/DTG/گلدوزی</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 به درخواست کاربر</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F-21</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Skill Passport و Training OS اپراتور دوخت</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 به درخواست کاربر</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bl>
    <w:p/>
    <w:p>
      <w:pPr>
        <w:pStyle w:val="Heading2"/>
        <w:spacing w:after="120" w:before="180" w:line="276" w:lineRule="auto"/>
        <w:jc w:val="right"/>
        <w:bidi w:val="1"/>
      </w:pPr>
      <w:r>
        <w:rPr>
          <w:rFonts w:ascii="B Zar" w:hAnsi="B Zar" w:cs="B Zar" w:eastAsia="B Zar"/>
          <w:b/>
          <w:color w:val="1F7A70"/>
          <w:sz w:val="27"/>
        </w:rPr>
        <w:t>۵-۴. مسیرهای retail، برند و commerce در وضعیت آرشیوی</w:t>
      </w:r>
    </w:p>
    <w:tbl>
      <w:tblPr>
        <w:tblW w:type="auto" w:w="0"/>
        <w:jc w:val="center"/>
        <w:tblLayout w:type="fixed"/>
        <w:tblLook w:firstColumn="1" w:firstRow="1" w:lastColumn="0" w:lastRow="0" w:noHBand="0" w:noVBand="1" w:val="04A0"/>
        <w:bidiVisual w:val="1"/>
      </w:tblPr>
      <w:tblGrid>
        <w:gridCol w:w="1973"/>
        <w:gridCol w:w="1973"/>
        <w:gridCol w:w="1973"/>
        <w:gridCol w:w="1973"/>
        <w:gridCol w:w="1973"/>
      </w:tblGrid>
      <w:tr>
        <w:trPr>
          <w:tblHeader w:val="true"/>
        </w:trPr>
        <w:tc>
          <w:tcPr>
            <w:tcW w:type="dxa" w:w="794"/>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کد</w:t>
            </w:r>
          </w:p>
        </w:tc>
        <w:tc>
          <w:tcPr>
            <w:tcW w:type="dxa" w:w="379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مسیر / محصول</w:t>
            </w:r>
          </w:p>
        </w:tc>
        <w:tc>
          <w:tcPr>
            <w:tcW w:type="dxa" w:w="1247"/>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بازار</w:t>
            </w:r>
          </w:p>
        </w:tc>
        <w:tc>
          <w:tcPr>
            <w:tcW w:type="dxa" w:w="1871"/>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تصمیم فعلی</w:t>
            </w:r>
          </w:p>
        </w:tc>
        <w:tc>
          <w:tcPr>
            <w:tcW w:type="dxa" w:w="226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وضعیت در گزارش جامع</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F-22</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Demand Intelligence و برنامه‌ریزی تقاضا/کالکشن</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 به درخواست کاربر</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F-23</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merchandise allocation و in-season rebalancing</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بازپیشنهاد نشود</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F-24</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Fashion retail intelligence: قیمت/assortment/رقیب</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بازپیشنهاد نشود</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F-25</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Clienteling، استایلینگ نوبتی و VIP shopping</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 به درخواست کاربر</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F-26</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برنامهٔ مرجوعی و تعویض پوشاک چندکاناله</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کنار گذاشته شده</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F-27</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Social / Live Commerce OS برای بوتیک فشن</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F-28</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private wholesale showroom و پیش‌سفارش کالکشن</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F-29</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Content Studio OS فشن برای e-commerce</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 به درخواست کاربر</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F-30</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Brand-protection command center پوشاک</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 به درخواست کاربر</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F-31</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Digital Product Passport / QR اصالت برند</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B2B/B2C</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 اولیه</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F-32</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Uniform-as-a-Service و مدیریت چرخه لباس فرم</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کنار گذاشته شده</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F-33</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بازارگاه حرفه‌ای خیاطی، پارچه و تولید</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 به درخواست کاربر</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bl>
    <w:p/>
    <w:p>
      <w:pPr>
        <w:pStyle w:val="Heading2"/>
        <w:spacing w:after="120" w:before="180" w:line="276" w:lineRule="auto"/>
        <w:jc w:val="right"/>
        <w:bidi w:val="1"/>
      </w:pPr>
      <w:r>
        <w:rPr>
          <w:rFonts w:ascii="B Zar" w:hAnsi="B Zar" w:cs="B Zar" w:eastAsia="B Zar"/>
          <w:b/>
          <w:color w:val="1F7A70"/>
          <w:sz w:val="27"/>
        </w:rPr>
        <w:t>۵-۵. مسیرهای مصرف‌کننده و تخصصی در وضعیت آرشیوی/خارج از دامنه</w:t>
      </w:r>
    </w:p>
    <w:tbl>
      <w:tblPr>
        <w:tblW w:type="auto" w:w="0"/>
        <w:jc w:val="center"/>
        <w:tblLayout w:type="fixed"/>
        <w:tblLook w:firstColumn="1" w:firstRow="1" w:lastColumn="0" w:lastRow="0" w:noHBand="0" w:noVBand="1" w:val="04A0"/>
        <w:bidiVisual w:val="1"/>
      </w:tblPr>
      <w:tblGrid>
        <w:gridCol w:w="1973"/>
        <w:gridCol w:w="1973"/>
        <w:gridCol w:w="1973"/>
        <w:gridCol w:w="1973"/>
        <w:gridCol w:w="1973"/>
      </w:tblGrid>
      <w:tr>
        <w:trPr>
          <w:tblHeader w:val="true"/>
        </w:trPr>
        <w:tc>
          <w:tcPr>
            <w:tcW w:type="dxa" w:w="794"/>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کد</w:t>
            </w:r>
          </w:p>
        </w:tc>
        <w:tc>
          <w:tcPr>
            <w:tcW w:type="dxa" w:w="379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مسیر / محصول</w:t>
            </w:r>
          </w:p>
        </w:tc>
        <w:tc>
          <w:tcPr>
            <w:tcW w:type="dxa" w:w="1247"/>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بازار</w:t>
            </w:r>
          </w:p>
        </w:tc>
        <w:tc>
          <w:tcPr>
            <w:tcW w:type="dxa" w:w="1871"/>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تصمیم فعلی</w:t>
            </w:r>
          </w:p>
        </w:tc>
        <w:tc>
          <w:tcPr>
            <w:tcW w:type="dxa" w:w="226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وضعیت در گزارش جامع</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F-34</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کمد دیجیتال و پیشنهاد استایل B2C</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F-35</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AI Fashion Photo و مدلینگ مجازی</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F-36</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interactive needlework player برای رودوزی ایرانی</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 به درخواست کاربر</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F-37</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Fashion Product Truth Layer مصرف‌کننده</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 به درخواست کاربر</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F-38</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repair، alteration و aftercare عمومی</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F-39</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Healthwear با دسترسی درمانی مشخص</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خارج از مسیر پلتفرم فعال</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F-40</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پوشاک تطبیقی عمومی برای معلولیت/سالمندی</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 اولیه</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F-41</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Model-agency / casting management</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bl>
    <w:p/>
    <w:p>
      <w:r>
        <w:br w:type="page"/>
      </w:r>
    </w:p>
    <w:p>
      <w:pPr>
        <w:pStyle w:val="Heading1"/>
        <w:spacing w:after="120" w:before="280" w:line="276" w:lineRule="auto"/>
        <w:jc w:val="right"/>
        <w:bidi w:val="1"/>
      </w:pPr>
      <w:r>
        <w:rPr>
          <w:rFonts w:ascii="B Zar" w:hAnsi="B Zar" w:cs="B Zar" w:eastAsia="B Zar"/>
          <w:b/>
          <w:color w:val="1F3A5F"/>
          <w:sz w:val="32"/>
        </w:rPr>
        <w:t>۶. قالب ثابت هر پروندهٔ تحقیق بازار</w:t>
      </w:r>
    </w:p>
    <w:p>
      <w:pPr>
        <w:spacing w:after="140" w:before="0" w:line="348" w:lineRule="auto"/>
        <w:jc w:val="right"/>
        <w:bidi w:val="1"/>
      </w:pPr>
      <w:r>
        <w:rPr>
          <w:rFonts w:ascii="B Zar" w:hAnsi="B Zar" w:cs="B Zar" w:eastAsia="B Zar"/>
          <w:b w:val="0"/>
          <w:color w:val="263238"/>
          <w:sz w:val="22"/>
        </w:rPr>
        <w:t>برای جلوگیری از گزارش‌های صرفاً توصیفی، هر پرونده با «کارت تصمیم» آغاز و با گیت اعتبارسنجی یا توصیهٔ صریح پایان می‌یابد. تیترهای زیر در همهٔ پرونده‌ها حفظ می‌شوند؛ عمق هر بخش تابع سطح بلوغ و کیفیت داده است.</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1757"/>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فصل پرونده</w:t>
            </w:r>
          </w:p>
        </w:tc>
        <w:tc>
          <w:tcPr>
            <w:tcW w:type="dxa" w:w="3969"/>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پرسش اصلی</w:t>
            </w:r>
          </w:p>
        </w:tc>
        <w:tc>
          <w:tcPr>
            <w:tcW w:type="dxa" w:w="4252"/>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خروجی اجباری</w:t>
            </w:r>
          </w:p>
        </w:tc>
      </w:tr>
      <w:tr>
        <w:trPr>
          <w:cantSplit/>
        </w:trPr>
        <w:tc>
          <w:tcPr>
            <w:tcW w:type="dxa" w:w="175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۱. کارت تصمیم</w:t>
            </w:r>
          </w:p>
        </w:tc>
        <w:tc>
          <w:tcPr>
            <w:tcW w:type="dxa" w:w="3969"/>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این مسیر چیست و اکنون چه تصمیمی نیاز دارد؟</w:t>
            </w:r>
          </w:p>
        </w:tc>
        <w:tc>
          <w:tcPr>
            <w:tcW w:type="dxa" w:w="4252"/>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تعریف، status، ICP، مرز، سه شاهد، سه شکاف، next step</w:t>
            </w:r>
          </w:p>
        </w:tc>
      </w:tr>
      <w:tr>
        <w:trPr>
          <w:cantSplit/>
        </w:trPr>
        <w:tc>
          <w:tcPr>
            <w:tcW w:type="dxa" w:w="175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۲. مسئله و JTBD</w:t>
            </w:r>
          </w:p>
        </w:tc>
        <w:tc>
          <w:tcPr>
            <w:tcW w:type="dxa" w:w="3969"/>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کدام جریان کاری یا رفتار واقعاً دچار اصطکاک است؟</w:t>
            </w:r>
          </w:p>
        </w:tc>
        <w:tc>
          <w:tcPr>
            <w:tcW w:type="dxa" w:w="4252"/>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workflow، pain، frequency، cost of failure و workaround</w:t>
            </w:r>
          </w:p>
        </w:tc>
      </w:tr>
      <w:tr>
        <w:trPr>
          <w:cantSplit/>
        </w:trPr>
        <w:tc>
          <w:tcPr>
            <w:tcW w:type="dxa" w:w="175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۳. بازار و تقاضا</w:t>
            </w:r>
          </w:p>
        </w:tc>
        <w:tc>
          <w:tcPr>
            <w:tcW w:type="dxa" w:w="3969"/>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چه مشتری/بخشی، در کجا و با چه budgetی دارد؟</w:t>
            </w:r>
          </w:p>
        </w:tc>
        <w:tc>
          <w:tcPr>
            <w:tcW w:type="dxa" w:w="4252"/>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segment، buyer journey، WTP evidence، TAM/SAM/SOM یا data gap</w:t>
            </w:r>
          </w:p>
        </w:tc>
      </w:tr>
      <w:tr>
        <w:trPr>
          <w:cantSplit/>
        </w:trPr>
        <w:tc>
          <w:tcPr>
            <w:tcW w:type="dxa" w:w="175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۴. شواهد جهانی</w:t>
            </w:r>
          </w:p>
        </w:tc>
        <w:tc>
          <w:tcPr>
            <w:tcW w:type="dxa" w:w="3969"/>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آیا category در بازارهای دیگر واقعا خریدار دارد؟</w:t>
            </w:r>
          </w:p>
        </w:tc>
        <w:tc>
          <w:tcPr>
            <w:tcW w:type="dxa" w:w="4252"/>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benchmark، scale، revenue model، transferability limits</w:t>
            </w:r>
          </w:p>
        </w:tc>
      </w:tr>
      <w:tr>
        <w:trPr>
          <w:cantSplit/>
        </w:trPr>
        <w:tc>
          <w:tcPr>
            <w:tcW w:type="dxa" w:w="175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۵. ایران و جایگزین‌ها</w:t>
            </w:r>
          </w:p>
        </w:tc>
        <w:tc>
          <w:tcPr>
            <w:tcW w:type="dxa" w:w="3969"/>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وضع موجود و تمام substituteهای واقعی ایران چیست؟</w:t>
            </w:r>
          </w:p>
        </w:tc>
        <w:tc>
          <w:tcPr>
            <w:tcW w:type="dxa" w:w="4252"/>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competitor map، manual workflow، service و regulation</w:t>
            </w:r>
          </w:p>
        </w:tc>
      </w:tr>
      <w:tr>
        <w:trPr>
          <w:cantSplit/>
        </w:trPr>
        <w:tc>
          <w:tcPr>
            <w:tcW w:type="dxa" w:w="175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۶. رقابت و تمایز</w:t>
            </w:r>
          </w:p>
        </w:tc>
        <w:tc>
          <w:tcPr>
            <w:tcW w:type="dxa" w:w="3969"/>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چه white space باقی می‌ماند و چه چیزی آن را از بین می‌برد؟</w:t>
            </w:r>
          </w:p>
        </w:tc>
        <w:tc>
          <w:tcPr>
            <w:tcW w:type="dxa" w:w="4252"/>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matrix، positioning، switching cost، counter-thesis</w:t>
            </w:r>
          </w:p>
        </w:tc>
      </w:tr>
      <w:tr>
        <w:trPr>
          <w:cantSplit/>
        </w:trPr>
        <w:tc>
          <w:tcPr>
            <w:tcW w:type="dxa" w:w="175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۷. مدل کسب‌وکار و اجرا</w:t>
            </w:r>
          </w:p>
        </w:tc>
        <w:tc>
          <w:tcPr>
            <w:tcW w:type="dxa" w:w="3969"/>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چگونه درآمد، توزیع و delivery بدون عملیات نامطلوب ممکن است؟</w:t>
            </w:r>
          </w:p>
        </w:tc>
        <w:tc>
          <w:tcPr>
            <w:tcW w:type="dxa" w:w="4252"/>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pricing، GTM، unit economics، dependencies و product boundary</w:t>
            </w:r>
          </w:p>
        </w:tc>
      </w:tr>
      <w:tr>
        <w:trPr>
          <w:cantSplit/>
        </w:trPr>
        <w:tc>
          <w:tcPr>
            <w:tcW w:type="dxa" w:w="175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۸. ریسک و اعتبارسنجی</w:t>
            </w:r>
          </w:p>
        </w:tc>
        <w:tc>
          <w:tcPr>
            <w:tcW w:type="dxa" w:w="3969"/>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چه چیزی thesis را رد می‌کند و چگونه زود می‌فهمیم؟</w:t>
            </w:r>
          </w:p>
        </w:tc>
        <w:tc>
          <w:tcPr>
            <w:tcW w:type="dxa" w:w="4252"/>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risk register، pilot، KPI، hard kill و go/no-go</w:t>
            </w:r>
          </w:p>
        </w:tc>
      </w:tr>
      <w:tr>
        <w:trPr>
          <w:cantSplit/>
        </w:trPr>
        <w:tc>
          <w:tcPr>
            <w:tcW w:type="dxa" w:w="175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۹. پیوست و منابع</w:t>
            </w:r>
          </w:p>
        </w:tc>
        <w:tc>
          <w:tcPr>
            <w:tcW w:type="dxa" w:w="3969"/>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آیا ادعاها قابل حسابرسی‌اند؟</w:t>
            </w:r>
          </w:p>
        </w:tc>
        <w:tc>
          <w:tcPr>
            <w:tcW w:type="dxa" w:w="4252"/>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evidence ledger، source log، محاسبات و instruments</w:t>
            </w:r>
          </w:p>
        </w:tc>
      </w:tr>
    </w:tbl>
    <w:p/>
    <w:p>
      <w:pPr>
        <w:pStyle w:val="Heading1"/>
        <w:spacing w:after="120" w:before="280" w:line="276" w:lineRule="auto"/>
        <w:jc w:val="right"/>
        <w:bidi w:val="1"/>
      </w:pPr>
      <w:r>
        <w:rPr>
          <w:rFonts w:ascii="B Zar" w:hAnsi="B Zar" w:cs="B Zar" w:eastAsia="B Zar"/>
          <w:b/>
          <w:color w:val="1F3A5F"/>
          <w:sz w:val="32"/>
        </w:rPr>
        <w:t>۷. ترتیب اجرای پرونده‌های عمیق</w:t>
      </w:r>
    </w:p>
    <w:p>
      <w:pPr>
        <w:spacing w:after="140" w:before="0" w:line="348" w:lineRule="auto"/>
        <w:jc w:val="right"/>
        <w:bidi w:val="1"/>
      </w:pPr>
      <w:r>
        <w:rPr>
          <w:rFonts w:ascii="B Zar" w:hAnsi="B Zar" w:cs="B Zar" w:eastAsia="B Zar"/>
          <w:b w:val="0"/>
          <w:color w:val="263238"/>
          <w:sz w:val="22"/>
        </w:rPr>
        <w:t>ترتیب زیر، ترتیب ارائهٔ پیشنهاد سرمایه‌گذاری نیست؛ صرفاً ترتیب پژوهش با توجه به وضعیت فعال، امکان دسترسی به مصاحبه‌شونده، و نیاز به حذف سریع uncertainty است. پرونده‌های Pause و Reject فقط طبق trigger ثبت‌شده یا برای تکمیل آرشیو تصمیم توسعه می‌یابند.</w:t>
      </w:r>
    </w:p>
    <w:tbl>
      <w:tblPr>
        <w:tblW w:type="auto" w:w="0"/>
        <w:jc w:val="center"/>
        <w:tblLayout w:type="fixed"/>
        <w:tblLook w:firstColumn="1" w:firstRow="1" w:lastColumn="0" w:lastRow="0" w:noHBand="0" w:noVBand="1" w:val="04A0"/>
        <w:bidiVisual w:val="1"/>
      </w:tblPr>
      <w:tblGrid>
        <w:gridCol w:w="2466"/>
        <w:gridCol w:w="2466"/>
        <w:gridCol w:w="2466"/>
        <w:gridCol w:w="2466"/>
      </w:tblGrid>
      <w:tr>
        <w:trPr>
          <w:tblHeader w:val="true"/>
        </w:trPr>
        <w:tc>
          <w:tcPr>
            <w:tcW w:type="dxa" w:w="680"/>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صف</w:t>
            </w:r>
          </w:p>
        </w:tc>
        <w:tc>
          <w:tcPr>
            <w:tcW w:type="dxa" w:w="680"/>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کد</w:t>
            </w:r>
          </w:p>
        </w:tc>
        <w:tc>
          <w:tcPr>
            <w:tcW w:type="dxa" w:w="3061"/>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پرونده</w:t>
            </w:r>
          </w:p>
        </w:tc>
        <w:tc>
          <w:tcPr>
            <w:tcW w:type="dxa" w:w="5556"/>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گیت اصلی قبل از هر تصمیم</w:t>
            </w:r>
          </w:p>
        </w:tc>
      </w:tr>
      <w:tr>
        <w:trPr>
          <w:cantSplit/>
        </w:trPr>
        <w:tc>
          <w:tcPr>
            <w:tcW w:type="dxa" w:w="68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۱</w:t>
            </w:r>
          </w:p>
        </w:tc>
        <w:tc>
          <w:tcPr>
            <w:tcW w:type="dxa" w:w="68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F-01</w:t>
            </w:r>
          </w:p>
        </w:tc>
        <w:tc>
          <w:tcPr>
            <w:tcW w:type="dxa" w:w="306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مدیریت گردش نمونهٔ لباس و Creator Seeding</w:t>
            </w:r>
          </w:p>
        </w:tc>
        <w:tc>
          <w:tcPr>
            <w:tcW w:type="dxa" w:w="5556"/>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اثبات حجم send-out، هزینهٔ گم‌شدن/تاخیر، buyer و پرداخت برای pilot بدون تبدیل شدن به marketplace.</w:t>
            </w:r>
          </w:p>
        </w:tc>
      </w:tr>
      <w:tr>
        <w:trPr>
          <w:cantSplit/>
        </w:trPr>
        <w:tc>
          <w:tcPr>
            <w:tcW w:type="dxa" w:w="680"/>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۲</w:t>
            </w:r>
          </w:p>
        </w:tc>
        <w:tc>
          <w:tcPr>
            <w:tcW w:type="dxa" w:w="680"/>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F-02</w:t>
            </w:r>
          </w:p>
        </w:tc>
        <w:tc>
          <w:tcPr>
            <w:tcW w:type="dxa" w:w="306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تداوم لباس و مدیریت دارایی production</w:t>
            </w:r>
          </w:p>
        </w:tc>
        <w:tc>
          <w:tcPr>
            <w:tcW w:type="dxa" w:w="5556"/>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اثبات budget پروژه‌ای، نیاز موبایل/آفلاین در صحنه، و ظرفیت بازار/مسیر توسعهٔ منطقه‌ای.</w:t>
            </w:r>
          </w:p>
        </w:tc>
      </w:tr>
      <w:tr>
        <w:trPr>
          <w:cantSplit/>
        </w:trPr>
        <w:tc>
          <w:tcPr>
            <w:tcW w:type="dxa" w:w="68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۳</w:t>
            </w:r>
          </w:p>
        </w:tc>
        <w:tc>
          <w:tcPr>
            <w:tcW w:type="dxa" w:w="68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F-03</w:t>
            </w:r>
          </w:p>
        </w:tc>
        <w:tc>
          <w:tcPr>
            <w:tcW w:type="dxa" w:w="306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Tech Pack تا bulk-release record</w:t>
            </w:r>
          </w:p>
        </w:tc>
        <w:tc>
          <w:tcPr>
            <w:tcW w:type="dxa" w:w="5556"/>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اثبات هزینهٔ version mismatch و فروش دو pilot پولی با استفادهٔ واقعی برند و کارگاه.</w:t>
            </w:r>
          </w:p>
        </w:tc>
      </w:tr>
      <w:tr>
        <w:trPr>
          <w:cantSplit/>
        </w:trPr>
        <w:tc>
          <w:tcPr>
            <w:tcW w:type="dxa" w:w="680"/>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۴</w:t>
            </w:r>
          </w:p>
        </w:tc>
        <w:tc>
          <w:tcPr>
            <w:tcW w:type="dxa" w:w="680"/>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F-04</w:t>
            </w:r>
          </w:p>
        </w:tc>
        <w:tc>
          <w:tcPr>
            <w:tcW w:type="dxa" w:w="306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اصالت‌سنجی مستقل پوشاک/اسنیکر</w:t>
            </w:r>
          </w:p>
        </w:tc>
        <w:tc>
          <w:tcPr>
            <w:tcW w:type="dxa" w:w="5556"/>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اثبات WTP هر بررسی، قابلیت تضمین accuracy و پرهیز از نیاز به دریافت فیزیکی کالا.</w:t>
            </w:r>
          </w:p>
        </w:tc>
      </w:tr>
      <w:tr>
        <w:trPr>
          <w:cantSplit/>
        </w:trPr>
        <w:tc>
          <w:tcPr>
            <w:tcW w:type="dxa" w:w="68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۵</w:t>
            </w:r>
          </w:p>
        </w:tc>
        <w:tc>
          <w:tcPr>
            <w:tcW w:type="dxa" w:w="68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F-05/F-06</w:t>
            </w:r>
          </w:p>
        </w:tc>
        <w:tc>
          <w:tcPr>
            <w:tcW w:type="dxa" w:w="306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ویژوال مرچندایزینگ و archive sub-segment</w:t>
            </w:r>
          </w:p>
        </w:tc>
        <w:tc>
          <w:tcPr>
            <w:tcW w:type="dxa" w:w="5556"/>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تنها پس از تکمیل چهار پروندهٔ اول یا trigger مشخص؛ اولویت مستقل پایین‌تر.</w:t>
            </w:r>
          </w:p>
        </w:tc>
      </w:tr>
    </w:tbl>
    <w:p/>
    <w:p>
      <w:pPr>
        <w:pStyle w:val="Heading1"/>
        <w:spacing w:after="120" w:before="280" w:line="276" w:lineRule="auto"/>
        <w:jc w:val="right"/>
        <w:bidi w:val="1"/>
      </w:pPr>
      <w:r>
        <w:rPr>
          <w:rFonts w:ascii="B Zar" w:hAnsi="B Zar" w:cs="B Zar" w:eastAsia="B Zar"/>
          <w:b/>
          <w:color w:val="1F3A5F"/>
          <w:sz w:val="32"/>
        </w:rPr>
        <w:t>۸. شکاف داده و برنامهٔ تکمیل شواهد</w:t>
      </w:r>
    </w:p>
    <w:tbl>
      <w:tblPr>
        <w:tblW w:type="auto" w:w="0"/>
        <w:jc w:val="center"/>
        <w:tblLayout w:type="fixed"/>
        <w:tblLook w:firstColumn="1" w:firstRow="1" w:lastColumn="0" w:lastRow="0" w:noHBand="0" w:noVBand="1" w:val="04A0"/>
        <w:bidiVisual w:val="1"/>
      </w:tblPr>
      <w:tblGrid>
        <w:gridCol w:w="2466"/>
        <w:gridCol w:w="2466"/>
        <w:gridCol w:w="2466"/>
        <w:gridCol w:w="2466"/>
      </w:tblGrid>
      <w:tr>
        <w:trPr>
          <w:tblHeader w:val="true"/>
        </w:trPr>
        <w:tc>
          <w:tcPr>
            <w:tcW w:type="dxa" w:w="2381"/>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شکاف شواهد مشترک</w:t>
            </w:r>
          </w:p>
        </w:tc>
        <w:tc>
          <w:tcPr>
            <w:tcW w:type="dxa" w:w="2551"/>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چرا اکنون قطعی نیست؟</w:t>
            </w:r>
          </w:p>
        </w:tc>
        <w:tc>
          <w:tcPr>
            <w:tcW w:type="dxa" w:w="2665"/>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روش رفع</w:t>
            </w:r>
          </w:p>
        </w:tc>
        <w:tc>
          <w:tcPr>
            <w:tcW w:type="dxa" w:w="2381"/>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خروجی قابل قبول</w:t>
            </w:r>
          </w:p>
        </w:tc>
      </w:tr>
      <w:tr>
        <w:trPr>
          <w:cantSplit/>
        </w:trPr>
        <w:tc>
          <w:tcPr>
            <w:tcW w:type="dxa" w:w="238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اندازهٔ بازار نرم‌افزار فشن در ایران</w:t>
            </w:r>
          </w:p>
        </w:tc>
        <w:tc>
          <w:tcPr>
            <w:tcW w:type="dxa" w:w="255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تعریف بازارها ناهمگون و دادهٔ فروش/بودجه عمومی محدود است.</w:t>
            </w:r>
          </w:p>
        </w:tc>
        <w:tc>
          <w:tcPr>
            <w:tcW w:type="dxa" w:w="266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bottom-up account mapping، مصاحبه buyer و sanity-check با spend واقعی.</w:t>
            </w:r>
          </w:p>
        </w:tc>
        <w:tc>
          <w:tcPr>
            <w:tcW w:type="dxa" w:w="238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بازهٔ TAM/SAM با ورودی و sensitivity، نه یک عدد قطعی.</w:t>
            </w:r>
          </w:p>
        </w:tc>
      </w:tr>
      <w:tr>
        <w:trPr>
          <w:cantSplit/>
        </w:trPr>
        <w:tc>
          <w:tcPr>
            <w:tcW w:type="dxa" w:w="238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تمایل به پرداخت</w:t>
            </w:r>
          </w:p>
        </w:tc>
        <w:tc>
          <w:tcPr>
            <w:tcW w:type="dxa" w:w="255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علاقهٔ لفظی و مشاهدهٔ مشکل معادل پرداخت نیست.</w:t>
            </w:r>
          </w:p>
        </w:tc>
        <w:tc>
          <w:tcPr>
            <w:tcW w:type="dxa" w:w="2665"/>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مصاحبه artifact-based، price anchoring و paid design-partner/pilot.</w:t>
            </w:r>
          </w:p>
        </w:tc>
        <w:tc>
          <w:tcPr>
            <w:tcW w:type="dxa" w:w="238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پیش‌پرداخت یا تعهد خرید با owner و budget مشخص.</w:t>
            </w:r>
          </w:p>
        </w:tc>
      </w:tr>
      <w:tr>
        <w:trPr>
          <w:cantSplit/>
        </w:trPr>
        <w:tc>
          <w:tcPr>
            <w:tcW w:type="dxa" w:w="238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سهم/توان رقبا</w:t>
            </w:r>
          </w:p>
        </w:tc>
        <w:tc>
          <w:tcPr>
            <w:tcW w:type="dxa" w:w="255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بیشتر بازیگران محلی دادهٔ مالی و مشتری منتشر نمی‌کنند.</w:t>
            </w:r>
          </w:p>
        </w:tc>
        <w:tc>
          <w:tcPr>
            <w:tcW w:type="dxa" w:w="266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customer reference، product audit، pricing capture و expert interview.</w:t>
            </w:r>
          </w:p>
        </w:tc>
        <w:tc>
          <w:tcPr>
            <w:tcW w:type="dxa" w:w="238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range با quality grade و توضیح method.</w:t>
            </w:r>
          </w:p>
        </w:tc>
      </w:tr>
      <w:tr>
        <w:trPr>
          <w:cantSplit/>
        </w:trPr>
        <w:tc>
          <w:tcPr>
            <w:tcW w:type="dxa" w:w="238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مصرف‌کننده B2C</w:t>
            </w:r>
          </w:p>
        </w:tc>
        <w:tc>
          <w:tcPr>
            <w:tcW w:type="dxa" w:w="255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دانلود یا engagement، نشانهٔ retention/پرداخت پایدار نیست.</w:t>
            </w:r>
          </w:p>
        </w:tc>
        <w:tc>
          <w:tcPr>
            <w:tcW w:type="dxa" w:w="2665"/>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cohort test، رفتار پرداخت و retention cohort.</w:t>
            </w:r>
          </w:p>
        </w:tc>
        <w:tc>
          <w:tcPr>
            <w:tcW w:type="dxa" w:w="238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معیار فعال‌سازی، D30/D90 و contribution margin.</w:t>
            </w:r>
          </w:p>
        </w:tc>
      </w:tr>
      <w:tr>
        <w:trPr>
          <w:cantSplit/>
        </w:trPr>
        <w:tc>
          <w:tcPr>
            <w:tcW w:type="dxa" w:w="238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قیود حقوقی و data</w:t>
            </w:r>
          </w:p>
        </w:tc>
        <w:tc>
          <w:tcPr>
            <w:tcW w:type="dxa" w:w="255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categoryها در حریم خصوصی، مالکیت محتوا/تصویر و consumer protection متفاوت‌اند.</w:t>
            </w:r>
          </w:p>
        </w:tc>
        <w:tc>
          <w:tcPr>
            <w:tcW w:type="dxa" w:w="266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بررسی حقوقی موضوعی پیش از pilot.</w:t>
            </w:r>
          </w:p>
        </w:tc>
        <w:tc>
          <w:tcPr>
            <w:tcW w:type="dxa" w:w="238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legal memo محدود به use case و risk register.</w:t>
            </w:r>
          </w:p>
        </w:tc>
      </w:tr>
    </w:tbl>
    <w:p/>
    <w:p>
      <w:pPr>
        <w:pStyle w:val="Heading1"/>
        <w:spacing w:after="120" w:before="280" w:line="276" w:lineRule="auto"/>
        <w:jc w:val="right"/>
        <w:bidi w:val="1"/>
      </w:pPr>
      <w:r>
        <w:rPr>
          <w:rFonts w:ascii="B Zar" w:hAnsi="B Zar" w:cs="B Zar" w:eastAsia="B Zar"/>
          <w:b/>
          <w:color w:val="1F3A5F"/>
          <w:sz w:val="32"/>
        </w:rPr>
        <w:t>۹. کنترل کیفیت پیش از افزودن هر پرونده</w:t>
      </w:r>
    </w:p>
    <w:p>
      <w:pPr>
        <w:pStyle w:val="ListBullet"/>
        <w:spacing w:after="60" w:before="0" w:line="312" w:lineRule="auto"/>
        <w:ind w:right="142"/>
        <w:jc w:val="right"/>
        <w:bidi w:val="1"/>
      </w:pPr>
      <w:r>
        <w:rPr>
          <w:rFonts w:ascii="B Zar" w:hAnsi="B Zar" w:cs="B Zar" w:eastAsia="B Zar"/>
          <w:color w:val="263238"/>
          <w:sz w:val="22"/>
        </w:rPr>
        <w:t>□  مرز بازار، مسئله و محصول روشن است و با مسیرهای قبلاً ردشده overlap پنهان ندارد.</w:t>
      </w:r>
    </w:p>
    <w:p>
      <w:pPr>
        <w:pStyle w:val="ListBullet"/>
        <w:spacing w:after="60" w:before="0" w:line="312" w:lineRule="auto"/>
        <w:ind w:right="142"/>
        <w:jc w:val="right"/>
        <w:bidi w:val="1"/>
      </w:pPr>
      <w:r>
        <w:rPr>
          <w:rFonts w:ascii="B Zar" w:hAnsi="B Zar" w:cs="B Zar" w:eastAsia="B Zar"/>
          <w:color w:val="263238"/>
          <w:sz w:val="22"/>
        </w:rPr>
        <w:t>□  Fact، Estimate، Hypothesis، Interpretation و Recommendation در متن از هم تفکیک شده‌اند.</w:t>
      </w:r>
    </w:p>
    <w:p>
      <w:pPr>
        <w:pStyle w:val="ListBullet"/>
        <w:spacing w:after="60" w:before="0" w:line="312" w:lineRule="auto"/>
        <w:ind w:right="142"/>
        <w:jc w:val="right"/>
        <w:bidi w:val="1"/>
      </w:pPr>
      <w:r>
        <w:rPr>
          <w:rFonts w:ascii="B Zar" w:hAnsi="B Zar" w:cs="B Zar" w:eastAsia="B Zar"/>
          <w:color w:val="263238"/>
          <w:sz w:val="22"/>
        </w:rPr>
        <w:t>□  رقیب خارجی، رقیب/جایگزین ایران و روش دستی فعلی همگی بررسی شده‌اند.</w:t>
      </w:r>
    </w:p>
    <w:p>
      <w:pPr>
        <w:pStyle w:val="ListBullet"/>
        <w:spacing w:after="60" w:before="0" w:line="312" w:lineRule="auto"/>
        <w:ind w:right="142"/>
        <w:jc w:val="right"/>
        <w:bidi w:val="1"/>
      </w:pPr>
      <w:r>
        <w:rPr>
          <w:rFonts w:ascii="B Zar" w:hAnsi="B Zar" w:cs="B Zar" w:eastAsia="B Zar"/>
          <w:color w:val="263238"/>
          <w:sz w:val="22"/>
        </w:rPr>
        <w:t>□  برای همهٔ نمودارها واحد، دوره، منبع، روش و محدودیت نوشته شده است؛ عدد نمونه به شکل دادهٔ واقعی نمایش داده نشده است.</w:t>
      </w:r>
    </w:p>
    <w:p>
      <w:pPr>
        <w:pStyle w:val="ListBullet"/>
        <w:spacing w:after="60" w:before="0" w:line="312" w:lineRule="auto"/>
        <w:ind w:right="142"/>
        <w:jc w:val="right"/>
        <w:bidi w:val="1"/>
      </w:pPr>
      <w:r>
        <w:rPr>
          <w:rFonts w:ascii="B Zar" w:hAnsi="B Zar" w:cs="B Zar" w:eastAsia="B Zar"/>
          <w:color w:val="263238"/>
          <w:sz w:val="22"/>
        </w:rPr>
        <w:t>□  B2B و B2C، buyer و user، و مدل درآمدی/عملیاتی جدا ثبت شده‌اند.</w:t>
      </w:r>
    </w:p>
    <w:p>
      <w:pPr>
        <w:pStyle w:val="ListBullet"/>
        <w:spacing w:after="60" w:before="0" w:line="312" w:lineRule="auto"/>
        <w:ind w:right="142"/>
        <w:jc w:val="right"/>
        <w:bidi w:val="1"/>
      </w:pPr>
      <w:r>
        <w:rPr>
          <w:rFonts w:ascii="B Zar" w:hAnsi="B Zar" w:cs="B Zar" w:eastAsia="B Zar"/>
          <w:color w:val="263238"/>
          <w:sz w:val="22"/>
        </w:rPr>
        <w:t>□  counter-thesis، risk register، طرح اعتبارسنجی و hard-kill criterion وجود دارد.</w:t>
      </w:r>
    </w:p>
    <w:p>
      <w:pPr>
        <w:pStyle w:val="ListBullet"/>
        <w:spacing w:after="60" w:before="0" w:line="312" w:lineRule="auto"/>
        <w:ind w:right="142"/>
        <w:jc w:val="right"/>
        <w:bidi w:val="1"/>
      </w:pPr>
      <w:r>
        <w:rPr>
          <w:rFonts w:ascii="B Zar" w:hAnsi="B Zar" w:cs="B Zar" w:eastAsia="B Zar"/>
          <w:color w:val="263238"/>
          <w:sz w:val="22"/>
        </w:rPr>
        <w:t>□  منابع و تغییرات پرونده قابل‌ردیابی‌اند و نتیجه‌گیری با شواهد متناسب است.</w:t>
      </w:r>
    </w:p>
    <w:p>
      <w:r>
        <w:br w:type="page"/>
      </w:r>
    </w:p>
    <w:p>
      <w:pPr>
        <w:pStyle w:val="Heading1"/>
        <w:spacing w:after="120" w:before="280" w:line="276" w:lineRule="auto"/>
        <w:jc w:val="right"/>
        <w:bidi w:val="1"/>
      </w:pPr>
      <w:r>
        <w:rPr>
          <w:rFonts w:ascii="B Zar" w:hAnsi="B Zar" w:cs="B Zar" w:eastAsia="B Zar"/>
          <w:b/>
          <w:color w:val="1F3A5F"/>
          <w:sz w:val="32"/>
        </w:rPr>
        <w:t>۱۰. منابع معیار این نسخه</w:t>
      </w:r>
    </w:p>
    <w:p>
      <w:pPr>
        <w:spacing w:after="140" w:before="0" w:line="348" w:lineRule="auto"/>
        <w:jc w:val="right"/>
        <w:bidi w:val="1"/>
      </w:pPr>
      <w:r>
        <w:rPr>
          <w:rFonts w:ascii="B Zar" w:hAnsi="B Zar" w:cs="B Zar" w:eastAsia="B Zar"/>
          <w:b w:val="0"/>
          <w:color w:val="263238"/>
          <w:sz w:val="22"/>
        </w:rPr>
        <w:t>منابع این صفحه، منابع روش‌شناسی نسخهٔ ۰٫۲ هستند، نه منابع بازار هر محصول. منابع بازار، رقبا، داده‌های ایران و benchmarkهای جهانی در پروندهٔ اختصاصی هر مسیر ثبت خواهند شد.</w:t>
      </w:r>
    </w:p>
    <w:tbl>
      <w:tblPr>
        <w:tblW w:type="auto" w:w="0"/>
        <w:jc w:val="center"/>
        <w:tblLayout w:type="fixed"/>
        <w:tblLook w:firstColumn="1" w:firstRow="1" w:lastColumn="0" w:lastRow="0" w:noHBand="0" w:noVBand="1" w:val="04A0"/>
        <w:bidiVisual w:val="1"/>
      </w:tblPr>
      <w:tblGrid>
        <w:gridCol w:w="2466"/>
        <w:gridCol w:w="2466"/>
        <w:gridCol w:w="2466"/>
        <w:gridCol w:w="2466"/>
      </w:tblGrid>
      <w:tr>
        <w:trPr>
          <w:tblHeader w:val="true"/>
        </w:trPr>
        <w:tc>
          <w:tcPr>
            <w:tcW w:type="dxa" w:w="850"/>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کد</w:t>
            </w:r>
          </w:p>
        </w:tc>
        <w:tc>
          <w:tcPr>
            <w:tcW w:type="dxa" w:w="3005"/>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منبع</w:t>
            </w:r>
          </w:p>
        </w:tc>
        <w:tc>
          <w:tcPr>
            <w:tcW w:type="dxa" w:w="328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کاربرد در برنامه</w:t>
            </w:r>
          </w:p>
        </w:tc>
        <w:tc>
          <w:tcPr>
            <w:tcW w:type="dxa" w:w="2835"/>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پیوند</w:t>
            </w:r>
          </w:p>
        </w:tc>
      </w:tr>
      <w:tr>
        <w:trPr>
          <w:cantSplit/>
        </w:trPr>
        <w:tc>
          <w:tcPr>
            <w:tcW w:type="dxa" w:w="85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M-01</w:t>
            </w:r>
          </w:p>
        </w:tc>
        <w:tc>
          <w:tcPr>
            <w:tcW w:type="dxa" w:w="300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ISO 20252:2026 — Market, opinion and social research, including insights and data analytics</w:t>
            </w:r>
          </w:p>
        </w:tc>
        <w:tc>
          <w:tcPr>
            <w:tcW w:type="dxa" w:w="328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چارچوب شفافیت، سرویس پژوهش، داده و گزارش‌دهی</w:t>
            </w:r>
          </w:p>
        </w:tc>
        <w:tc>
          <w:tcPr>
            <w:tcW w:type="dxa" w:w="283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iso.org/standard/88881.html</w:t>
            </w:r>
          </w:p>
        </w:tc>
      </w:tr>
      <w:tr>
        <w:trPr>
          <w:cantSplit/>
        </w:trPr>
        <w:tc>
          <w:tcPr>
            <w:tcW w:type="dxa" w:w="850"/>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M-02</w:t>
            </w:r>
          </w:p>
        </w:tc>
        <w:tc>
          <w:tcPr>
            <w:tcW w:type="dxa" w:w="3005"/>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ICC/ESOMAR International Code on Market and Social Research</w:t>
            </w:r>
          </w:p>
        </w:tc>
        <w:tc>
          <w:tcPr>
            <w:tcW w:type="dxa" w:w="328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اصول صداقت، عینیت، حفاظت از پاسخ‌دهنده و تفکیک یافته/تفسیر/توصیه</w:t>
            </w:r>
          </w:p>
        </w:tc>
        <w:tc>
          <w:tcPr>
            <w:tcW w:type="dxa" w:w="2835"/>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shop.esomar.org/.../ESOMAR_ICC-ESOMAR_Code_English.pdf</w:t>
            </w:r>
          </w:p>
        </w:tc>
      </w:tr>
      <w:tr>
        <w:trPr>
          <w:cantSplit/>
        </w:trPr>
        <w:tc>
          <w:tcPr>
            <w:tcW w:type="dxa" w:w="85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M-03</w:t>
            </w:r>
          </w:p>
        </w:tc>
        <w:tc>
          <w:tcPr>
            <w:tcW w:type="dxa" w:w="300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U.S. Small Business Administration — Market research and competitive analysis</w:t>
            </w:r>
          </w:p>
        </w:tc>
        <w:tc>
          <w:tcPr>
            <w:tcW w:type="dxa" w:w="328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حداقل تحلیل تقاضا، اندازه، اشباع، قیمت، رقبا و موانع ورود</w:t>
            </w:r>
          </w:p>
        </w:tc>
        <w:tc>
          <w:tcPr>
            <w:tcW w:type="dxa" w:w="283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sba.gov/business-guide/plan-your-business/market-research-competitive-analysis</w:t>
            </w:r>
          </w:p>
        </w:tc>
      </w:tr>
      <w:tr>
        <w:trPr>
          <w:cantSplit/>
        </w:trPr>
        <w:tc>
          <w:tcPr>
            <w:tcW w:type="dxa" w:w="850"/>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M-04</w:t>
            </w:r>
          </w:p>
        </w:tc>
        <w:tc>
          <w:tcPr>
            <w:tcW w:type="dxa" w:w="3005"/>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UNIDO — Feasibility studies guidance</w:t>
            </w:r>
          </w:p>
        </w:tc>
        <w:tc>
          <w:tcPr>
            <w:tcW w:type="dxa" w:w="328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پیوند بازار، تقاضا، رقابت، مدل مالی، ریسک و go/no-go</w:t>
            </w:r>
          </w:p>
        </w:tc>
        <w:tc>
          <w:tcPr>
            <w:tcW w:type="dxa" w:w="2835"/>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ipp.unido.org/industrial-parks-guidelines/phase-two-planning-design-and-policy-framework</w:t>
            </w:r>
          </w:p>
        </w:tc>
      </w:tr>
    </w:tbl>
    <w:p/>
    <w:p>
      <w:pPr>
        <w:pStyle w:val="Heading1"/>
        <w:spacing w:after="120" w:before="280" w:line="276" w:lineRule="auto"/>
        <w:jc w:val="right"/>
        <w:bidi w:val="1"/>
      </w:pPr>
      <w:r>
        <w:rPr>
          <w:rFonts w:ascii="B Zar" w:hAnsi="B Zar" w:cs="B Zar" w:eastAsia="B Zar"/>
          <w:b/>
          <w:color w:val="1F3A5F"/>
          <w:sz w:val="32"/>
        </w:rPr>
        <w:t>پیوست الف. واژه‌نامهٔ کوتاه</w:t>
      </w:r>
    </w:p>
    <w:tbl>
      <w:tblPr>
        <w:tblW w:type="auto" w:w="0"/>
        <w:jc w:val="center"/>
        <w:tblLayout w:type="fixed"/>
        <w:tblLook w:firstColumn="1" w:firstRow="1" w:lastColumn="0" w:lastRow="0" w:noHBand="0" w:noVBand="1" w:val="04A0"/>
        <w:bidiVisual w:val="1"/>
      </w:tblPr>
      <w:tblGrid>
        <w:gridCol w:w="4933"/>
        <w:gridCol w:w="4933"/>
      </w:tblGrid>
      <w:tr>
        <w:trPr>
          <w:tblHeader w:val="true"/>
        </w:trPr>
        <w:tc>
          <w:tcPr>
            <w:tcW w:type="dxa" w:w="226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اصطلاح</w:t>
            </w:r>
          </w:p>
        </w:tc>
        <w:tc>
          <w:tcPr>
            <w:tcW w:type="dxa" w:w="7370"/>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تعریف اجرایی در این گزارش</w:t>
            </w:r>
          </w:p>
        </w:tc>
      </w:tr>
      <w:tr>
        <w:trPr>
          <w:cantSplit/>
        </w:trPr>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ICP</w:t>
            </w:r>
          </w:p>
        </w:tc>
        <w:tc>
          <w:tcPr>
            <w:tcW w:type="dxa" w:w="737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Ideal Customer Profile: نوع حساب/مشتری با بیشترین تناسب مسئله، بودجه و قابلیت خرید؛ نه صرفاً demographic کلی.</w:t>
            </w:r>
          </w:p>
        </w:tc>
      </w:tr>
      <w:tr>
        <w:trPr>
          <w:cantSplit/>
        </w:trPr>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JTBD</w:t>
            </w:r>
          </w:p>
        </w:tc>
        <w:tc>
          <w:tcPr>
            <w:tcW w:type="dxa" w:w="7370"/>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Job-to-be-done: پیشرفتی که مشتری در یک موقعیت مشخص می‌خواهد حاصل کند و اکنون برای آن راه‌حل به‌کار می‌گیرد.</w:t>
            </w:r>
          </w:p>
        </w:tc>
      </w:tr>
      <w:tr>
        <w:trPr>
          <w:cantSplit/>
        </w:trPr>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TAM / SAM / SOM</w:t>
            </w:r>
          </w:p>
        </w:tc>
        <w:tc>
          <w:tcPr>
            <w:tcW w:type="dxa" w:w="737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بازار کل نظری / بازار قابل خدمت با مدل و جغرافیای فعلی / سهم واقع‌بینانهٔ قابل کسب در افق زمانی معلوم.</w:t>
            </w:r>
          </w:p>
        </w:tc>
      </w:tr>
      <w:tr>
        <w:trPr>
          <w:cantSplit/>
        </w:trPr>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WTP</w:t>
            </w:r>
          </w:p>
        </w:tc>
        <w:tc>
          <w:tcPr>
            <w:tcW w:type="dxa" w:w="7370"/>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Willingness-to-pay: تمایل و توان پرداخت قابل‌آزمون؛ با نظرسنجی علاقه یکی نیست.</w:t>
            </w:r>
          </w:p>
        </w:tc>
      </w:tr>
      <w:tr>
        <w:trPr>
          <w:cantSplit/>
        </w:trPr>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Desk research</w:t>
            </w:r>
          </w:p>
        </w:tc>
        <w:tc>
          <w:tcPr>
            <w:tcW w:type="dxa" w:w="737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تحلیل داده‌ها و منابع ثانویه و قابل دسترس پیش از پژوهش میدانی/اولیه.</w:t>
            </w:r>
          </w:p>
        </w:tc>
      </w:tr>
      <w:tr>
        <w:trPr>
          <w:cantSplit/>
        </w:trPr>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Paid pilot</w:t>
            </w:r>
          </w:p>
        </w:tc>
        <w:tc>
          <w:tcPr>
            <w:tcW w:type="dxa" w:w="7370"/>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آزمون محدود با پرداخت یا تعهد قراردادی که استفادهٔ واقعی و outcome قابل سنجش دارد.</w:t>
            </w:r>
          </w:p>
        </w:tc>
      </w:tr>
      <w:tr>
        <w:trPr>
          <w:cantSplit/>
        </w:trPr>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Hard kill criterion</w:t>
            </w:r>
          </w:p>
        </w:tc>
        <w:tc>
          <w:tcPr>
            <w:tcW w:type="dxa" w:w="737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شرط روشن و از پیش تعیین‌شده برای متوقف‌کردن مسیر؛ از sunk-cost و تفسیر گزینشی جلوگیری می‌کند.</w:t>
            </w:r>
          </w:p>
        </w:tc>
      </w:tr>
    </w:tbl>
    <w:p/>
    <w:p>
      <w:pPr>
        <w:pStyle w:val="Heading1"/>
        <w:spacing w:after="120" w:before="280" w:line="276" w:lineRule="auto"/>
        <w:jc w:val="right"/>
        <w:bidi w:val="1"/>
      </w:pPr>
      <w:r>
        <w:rPr>
          <w:rFonts w:ascii="B Zar" w:hAnsi="B Zar" w:cs="B Zar" w:eastAsia="B Zar"/>
          <w:b/>
          <w:color w:val="1F3A5F"/>
          <w:sz w:val="32"/>
        </w:rPr>
        <w:t>پیوست ب. تغییرنگار سند</w:t>
      </w:r>
    </w:p>
    <w:tbl>
      <w:tblPr>
        <w:tblW w:type="auto" w:w="0"/>
        <w:jc w:val="center"/>
        <w:tblLayout w:type="fixed"/>
        <w:tblLook w:firstColumn="1" w:firstRow="1" w:lastColumn="0" w:lastRow="0" w:noHBand="0" w:noVBand="1" w:val="04A0"/>
        <w:bidiVisual w:val="1"/>
      </w:tblPr>
      <w:tblGrid>
        <w:gridCol w:w="2466"/>
        <w:gridCol w:w="2466"/>
        <w:gridCol w:w="2466"/>
        <w:gridCol w:w="2466"/>
      </w:tblGrid>
      <w:tr>
        <w:trPr>
          <w:tblHeader w:val="true"/>
        </w:trPr>
        <w:tc>
          <w:tcPr>
            <w:tcW w:type="dxa" w:w="1304"/>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نسخه</w:t>
            </w:r>
          </w:p>
        </w:tc>
        <w:tc>
          <w:tcPr>
            <w:tcW w:type="dxa" w:w="1814"/>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تاریخ</w:t>
            </w:r>
          </w:p>
        </w:tc>
        <w:tc>
          <w:tcPr>
            <w:tcW w:type="dxa" w:w="5102"/>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تغییر</w:t>
            </w:r>
          </w:p>
        </w:tc>
        <w:tc>
          <w:tcPr>
            <w:tcW w:type="dxa" w:w="1984"/>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وضعیت</w:t>
            </w:r>
          </w:p>
        </w:tc>
      </w:tr>
      <w:tr>
        <w:trPr>
          <w:cantSplit/>
        </w:trPr>
        <w:tc>
          <w:tcPr>
            <w:tcW w:type="dxa" w:w="130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۰٫۱</w:t>
            </w:r>
          </w:p>
        </w:tc>
        <w:tc>
          <w:tcPr>
            <w:tcW w:type="dxa" w:w="181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۱۲ مهر ۱۴۰۵</w:t>
            </w:r>
          </w:p>
        </w:tc>
        <w:tc>
          <w:tcPr>
            <w:tcW w:type="dxa" w:w="5102"/>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ایجاد سند مادر، چارچوب کیفیت، دفتر ۴۱ پرونده، dashboard و صف پژوهش عمیق.</w:t>
            </w:r>
          </w:p>
        </w:tc>
        <w:tc>
          <w:tcPr>
            <w:tcW w:type="dxa" w:w="198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منتشرشده</w:t>
            </w:r>
          </w:p>
        </w:tc>
      </w:tr>
      <w:tr>
        <w:trPr>
          <w:cantSplit/>
        </w:trPr>
        <w:tc>
          <w:tcPr>
            <w:tcW w:type="dxa" w:w="130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۰٫۲ و بعدی</w:t>
            </w:r>
          </w:p>
        </w:tc>
        <w:tc>
          <w:tcPr>
            <w:tcW w:type="dxa" w:w="181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پس از تکمیل هر پرونده</w:t>
            </w:r>
          </w:p>
        </w:tc>
        <w:tc>
          <w:tcPr>
            <w:tcW w:type="dxa" w:w="5102"/>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افزودن پروندهٔ مستقل، منابع، نمودارهای مستند و به‌روزرسانی status register.</w:t>
            </w:r>
          </w:p>
        </w:tc>
        <w:tc>
          <w:tcPr>
            <w:tcW w:type="dxa" w:w="198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برنامه‌ریزی‌شده</w:t>
            </w:r>
          </w:p>
        </w:tc>
      </w:tr>
    </w:tbl>
    <w:p/>
    <w:tbl>
      <w:tblPr>
        <w:tblW w:type="auto" w:w="0"/>
        <w:jc w:val="center"/>
        <w:tblLook w:firstColumn="1" w:firstRow="1" w:lastColumn="0" w:lastRow="0" w:noHBand="0" w:noVBand="1" w:val="04A0"/>
        <w:bidiVisual w:val="1"/>
      </w:tblPr>
      <w:tblGrid>
        <w:gridCol w:w="9866"/>
      </w:tblGrid>
      <w:tr>
        <w:tc>
          <w:tcPr>
            <w:tcW w:type="dxa" w:w="9866"/>
            <w:vAlign w:val="center"/>
            <w:tcMar>
              <w:top w:w="80" w:type="dxa"/>
              <w:start w:w="80" w:type="dxa"/>
              <w:bottom w:w="80" w:type="dxa"/>
              <w:end w:w="80" w:type="dxa"/>
            </w:tcMar>
            <w:shd w:fill="E6F4F2"/>
            <w:tcBorders>
              <w:top w:val="single" w:sz="8" w:color="1F7A70"/>
              <w:left w:val="single" w:sz="4" w:color="D9E0E7"/>
              <w:bottom w:val="single" w:sz="4" w:color="D9E0E7"/>
              <w:right w:val="single" w:sz="4" w:color="D9E0E7"/>
            </w:tcBorders>
          </w:tcPr>
          <w:p>
            <w:pPr>
              <w:spacing w:after="60" w:before="0" w:line="288" w:lineRule="auto"/>
              <w:jc w:val="right"/>
              <w:bidi w:val="1"/>
            </w:pPr>
            <w:r/>
            <w:r>
              <w:rPr>
                <w:rFonts w:ascii="B Zar" w:hAnsi="B Zar" w:cs="B Zar" w:eastAsia="B Zar"/>
                <w:b/>
                <w:color w:val="1F7A70"/>
                <w:sz w:val="23"/>
              </w:rPr>
              <w:t>گام اجرایی بعدی</w:t>
            </w:r>
          </w:p>
          <w:p>
            <w:pPr>
              <w:spacing w:after="40" w:before="0" w:line="324" w:lineRule="auto"/>
              <w:jc w:val="right"/>
              <w:bidi w:val="1"/>
            </w:pPr>
            <w:r>
              <w:rPr>
                <w:rFonts w:ascii="B Zar" w:hAnsi="B Zar" w:cs="B Zar" w:eastAsia="B Zar"/>
                <w:color w:val="263238"/>
                <w:sz w:val="21"/>
              </w:rPr>
              <w:t>پروندهٔ اول، F-01 «مدیریت گردش نمونهٔ لباس و Creator Seeding» خواهد بود و با فصل‌های کامل بازار، رقابت، جایگزین‌های ایران، sizing، مدل درآمد، امکان اجرا و گیت اعتبارسنجی به این سند افزوده می‌شود. تا زمان ثبت شواهد اولیه، این مسیر صرفاً در وضعیت «فعال برای اعتبارسنجی» باقی می‌ماند.</w:t>
            </w:r>
          </w:p>
        </w:tc>
      </w:tr>
    </w:tbl>
    <w:p/>
    <w:p>
      <w:r>
        <w:br w:type="page"/>
      </w:r>
    </w:p>
    <w:p>
      <w:pPr>
        <w:pStyle w:val="Heading1"/>
        <w:spacing w:after="120" w:before="300" w:line="276" w:lineRule="auto"/>
        <w:jc w:val="right"/>
        <w:bidi w:val="1"/>
      </w:pPr>
      <w:r>
        <w:rPr>
          <w:rFonts w:ascii="B Zar" w:hAnsi="B Zar" w:cs="B Zar" w:eastAsia="B Zar"/>
          <w:b/>
          <w:color w:val="1F3A5F"/>
          <w:sz w:val="32"/>
        </w:rPr>
        <w:t>بخش دوم — پرونده‌های پژوهش عمیق</w:t>
      </w:r>
    </w:p>
    <w:p>
      <w:pPr>
        <w:spacing w:after="140" w:before="0" w:line="341" w:lineRule="auto"/>
        <w:jc w:val="right"/>
        <w:bidi w:val="1"/>
      </w:pPr>
      <w:r>
        <w:rPr>
          <w:rFonts w:ascii="B Zar" w:hAnsi="B Zar" w:cs="B Zar" w:eastAsia="B Zar"/>
          <w:b w:val="0"/>
          <w:color w:val="263238"/>
          <w:sz w:val="22"/>
        </w:rPr>
        <w:t>این بخش، نخستین سه پروندهٔ desk-research را به سند مادر می‌افزاید. هر پرونده از نظر category جهانی، workflow، جایگزین‌های ایران، model، execution و risk بررسی شده است؛ اما هیچ‌کدام تا پیش از مصاحبه/پایلوت، توصیهٔ سرمایه‌گذاری یا ادعای اندازهٔ بازار قطعی نیستند.</w:t>
      </w:r>
    </w:p>
    <w:tbl>
      <w:tblPr>
        <w:tblW w:type="auto" w:w="0"/>
        <w:jc w:val="center"/>
        <w:tblLook w:firstColumn="1" w:firstRow="1" w:lastColumn="0" w:lastRow="0" w:noHBand="0" w:noVBand="1" w:val="04A0"/>
        <w:bidiVisual w:val="1"/>
      </w:tblPr>
      <w:tblGrid>
        <w:gridCol w:w="9866"/>
      </w:tblGrid>
      <w:tr>
        <w:tc>
          <w:tcPr>
            <w:tcW w:type="dxa" w:w="9866"/>
            <w:vAlign w:val="center"/>
            <w:tcMar>
              <w:top w:w="75" w:type="dxa"/>
              <w:start w:w="75" w:type="dxa"/>
              <w:bottom w:w="75" w:type="dxa"/>
              <w:end w:w="75" w:type="dxa"/>
            </w:tcMar>
            <w:shd w:fill="E3EEF9"/>
            <w:tcBorders>
              <w:top w:val="single" w:sz="8" w:color="4A6C8E"/>
              <w:bottom w:val="single" w:sz="3" w:color="D9E0E7"/>
              <w:left w:val="single" w:sz="3" w:color="D9E0E7"/>
              <w:right w:val="single" w:sz="3" w:color="D9E0E7"/>
            </w:tcBorders>
          </w:tcPr>
          <w:p>
            <w:pPr>
              <w:spacing w:after="60" w:before="0" w:line="288" w:lineRule="auto"/>
              <w:jc w:val="right"/>
              <w:bidi w:val="1"/>
            </w:pPr>
            <w:r/>
            <w:r>
              <w:rPr>
                <w:rFonts w:ascii="B Zar" w:hAnsi="B Zar" w:cs="B Zar" w:eastAsia="B Zar"/>
                <w:b/>
                <w:color w:val="4A6C8E"/>
                <w:sz w:val="22"/>
              </w:rPr>
              <w:t>قاعدهٔ خواندن پرونده‌ها</w:t>
            </w:r>
          </w:p>
          <w:p>
            <w:pPr>
              <w:spacing w:after="40" w:before="0" w:line="324" w:lineRule="auto"/>
              <w:jc w:val="right"/>
              <w:bidi w:val="1"/>
            </w:pPr>
            <w:r>
              <w:rPr>
                <w:rFonts w:ascii="B Zar" w:hAnsi="B Zar" w:cs="B Zar" w:eastAsia="B Zar"/>
                <w:color w:val="263238"/>
                <w:sz w:val="21"/>
              </w:rPr>
              <w:t>برچسب‌های F (واقعیت مستند)، E (برآورد)، H (فرضیه)، I (تفسیر) و R (توصیه) در «استاندارد تدوین گزارش» تعریف شده‌اند. مقیاس‌های vendor به‌عنوان ادعای فروشنده نشان داده می‌شوند و به ایران تعمیم داده نشده‌اند.</w:t>
            </w:r>
          </w:p>
        </w:tc>
      </w:tr>
    </w:tbl>
    <w:p/>
    <w:p>
      <w:r>
        <w:br w:type="page"/>
      </w:r>
    </w:p>
    <w:p>
      <w:pPr>
        <w:pStyle w:val="Heading1"/>
        <w:spacing w:after="120" w:before="300" w:line="276" w:lineRule="auto"/>
        <w:jc w:val="right"/>
        <w:bidi w:val="1"/>
      </w:pPr>
      <w:r>
        <w:rPr>
          <w:rFonts w:ascii="B Zar" w:hAnsi="B Zar" w:cs="B Zar" w:eastAsia="B Zar"/>
          <w:b/>
          <w:color w:val="1F3A5F"/>
          <w:sz w:val="32"/>
        </w:rPr>
        <w:t>F-01. مدیریت گردش نمونهٔ لباس و Creator Seeding</w:t>
      </w:r>
    </w:p>
    <w:tbl>
      <w:tblPr>
        <w:tblW w:type="auto" w:w="0"/>
        <w:jc w:val="center"/>
        <w:tblLook w:firstColumn="1" w:firstRow="1" w:lastColumn="0" w:lastRow="0" w:noHBand="0" w:noVBand="1" w:val="04A0"/>
        <w:bidiVisual w:val="1"/>
      </w:tblPr>
      <w:tblGrid>
        <w:gridCol w:w="9866"/>
      </w:tblGrid>
      <w:tr>
        <w:tc>
          <w:tcPr>
            <w:tcW w:type="dxa" w:w="9866"/>
            <w:vAlign w:val="center"/>
            <w:tcMar>
              <w:top w:w="75" w:type="dxa"/>
              <w:start w:w="75" w:type="dxa"/>
              <w:bottom w:w="75" w:type="dxa"/>
              <w:end w:w="75" w:type="dxa"/>
            </w:tcMar>
            <w:shd w:fill="DDF3E8"/>
            <w:tcBorders>
              <w:top w:val="single" w:sz="8" w:color="1F7A70"/>
              <w:bottom w:val="single" w:sz="3" w:color="D9E0E7"/>
              <w:left w:val="single" w:sz="3" w:color="D9E0E7"/>
              <w:right w:val="single" w:sz="3" w:color="D9E0E7"/>
            </w:tcBorders>
          </w:tcPr>
          <w:p>
            <w:pPr>
              <w:spacing w:after="60" w:before="0" w:line="288" w:lineRule="auto"/>
              <w:jc w:val="right"/>
              <w:bidi w:val="1"/>
            </w:pPr>
            <w:r/>
            <w:r>
              <w:rPr>
                <w:rFonts w:ascii="B Zar" w:hAnsi="B Zar" w:cs="B Zar" w:eastAsia="B Zar"/>
                <w:b/>
                <w:color w:val="1F7A70"/>
                <w:sz w:val="22"/>
              </w:rPr>
              <w:t>کارت تصمیم — وضعیت: فعال برای اعتبارسنجی</w:t>
            </w:r>
          </w:p>
          <w:p>
            <w:pPr>
              <w:spacing w:after="40" w:before="0" w:line="324" w:lineRule="auto"/>
              <w:jc w:val="right"/>
              <w:bidi w:val="1"/>
            </w:pPr>
            <w:r>
              <w:rPr>
                <w:rFonts w:ascii="B Zar" w:hAnsi="B Zar" w:cs="B Zar" w:eastAsia="B Zar"/>
                <w:color w:val="263238"/>
                <w:sz w:val="21"/>
              </w:rPr>
              <w:t>بازار B2B | Buyer فرضی: مدیر PR/مارکتینگ برند یا operations lead آژانس | User: sample coordinator، account manager و دریافت‌کنندهٔ نمونه. محصول پیشنهادی فقط system-of-record برای گردش فیزیکی نمونه، return/condition و activation/asset-right است؛ marketplace اینفلوئنسر، fulfillment، ERP یا PLM نیست.</w:t>
            </w:r>
          </w:p>
        </w:tc>
      </w:tr>
    </w:tbl>
    <w:p/>
    <w:p>
      <w:pPr>
        <w:pStyle w:val="Heading2"/>
        <w:spacing w:after="120" w:before="200" w:line="276" w:lineRule="auto"/>
        <w:jc w:val="right"/>
        <w:bidi w:val="1"/>
      </w:pPr>
      <w:r>
        <w:rPr>
          <w:rFonts w:ascii="B Zar" w:hAnsi="B Zar" w:cs="B Zar" w:eastAsia="B Zar"/>
          <w:b/>
          <w:color w:val="1F7A70"/>
          <w:sz w:val="27"/>
        </w:rPr>
        <w:t>۱. مسئله و جریان کاری</w:t>
      </w:r>
    </w:p>
    <w:p>
      <w:pPr>
        <w:spacing w:after="140" w:before="0" w:line="341" w:lineRule="auto"/>
        <w:jc w:val="right"/>
        <w:bidi w:val="1"/>
      </w:pPr>
      <w:r>
        <w:rPr>
          <w:rFonts w:ascii="B Zar" w:hAnsi="B Zar" w:cs="B Zar" w:eastAsia="B Zar"/>
          <w:b w:val="0"/>
          <w:color w:val="263238"/>
          <w:sz w:val="22"/>
        </w:rPr>
        <w:t>فرضیهٔ مسئله این است که در creator seeding و PR پوشاک، لباس نمونه به‌عنوان یک asset فیزیکی گران و زمان‌حساس، از showroom به رسانه، استایلیست، عکاس یا creator می‌رود؛ اما مکان، custodian، موعد بازگشت، condition، تعهد محتوا و حق استفاده از asset ایجادشده در پیام‌رسان، spreadsheet و حافظهٔ تیم پراکنده می‌ماند. وجود درد در ایران هنوز با مصاحبه اثبات نشده است.</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170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مرحله</w:t>
            </w:r>
          </w:p>
        </w:tc>
        <w:tc>
          <w:tcPr>
            <w:tcW w:type="dxa" w:w="419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record مورد نیاز</w:t>
            </w:r>
          </w:p>
        </w:tc>
        <w:tc>
          <w:tcPr>
            <w:tcW w:type="dxa" w:w="3969"/>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پیامد شکست</w:t>
            </w:r>
          </w:p>
        </w:tc>
      </w:tr>
      <w:tr>
        <w:trPr>
          <w:cantSplit/>
        </w:trPr>
        <w:tc>
          <w:tcPr>
            <w:tcW w:type="dxa" w:w="170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ثبت نمونه</w:t>
            </w:r>
          </w:p>
        </w:tc>
        <w:tc>
          <w:tcPr>
            <w:tcW w:type="dxa" w:w="419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کد یکتا، عکس، سایز/رنگ، collection، ارزش، location و availability</w:t>
            </w:r>
          </w:p>
        </w:tc>
        <w:tc>
          <w:tcPr>
            <w:tcW w:type="dxa" w:w="3969"/>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نمونه قابل جست‌وجو/رزرو نیست یا با نمونهٔ فروش/تولید اشتباه گرفته می‌شود.</w:t>
            </w:r>
          </w:p>
        </w:tc>
      </w:tr>
      <w:tr>
        <w:trPr>
          <w:cantSplit/>
        </w:trPr>
        <w:tc>
          <w:tcPr>
            <w:tcW w:type="dxa" w:w="170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درخواست و رزرو</w:t>
            </w:r>
          </w:p>
        </w:tc>
        <w:tc>
          <w:tcPr>
            <w:tcW w:type="dxa" w:w="419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دریافت‌کننده، رویداد یا shoot، بازهٔ زمانی، تأیید و priority</w:t>
            </w:r>
          </w:p>
        </w:tc>
        <w:tc>
          <w:tcPr>
            <w:tcW w:type="dxa" w:w="3969"/>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double-booking یا از دست‌رفتن فرصت رسانه‌ای.</w:t>
            </w:r>
          </w:p>
        </w:tc>
      </w:tr>
      <w:tr>
        <w:trPr>
          <w:cantSplit/>
        </w:trPr>
        <w:tc>
          <w:tcPr>
            <w:tcW w:type="dxa" w:w="170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تحویل و امانت</w:t>
            </w:r>
          </w:p>
        </w:tc>
        <w:tc>
          <w:tcPr>
            <w:tcW w:type="dxa" w:w="419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chain of custody، موعد بازگشت، یادآور و تغییر status</w:t>
            </w:r>
          </w:p>
        </w:tc>
        <w:tc>
          <w:tcPr>
            <w:tcW w:type="dxa" w:w="3969"/>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پیگیری دستی، sample گمشده یا وضعیت نامعلوم.</w:t>
            </w:r>
          </w:p>
        </w:tc>
      </w:tr>
      <w:tr>
        <w:trPr>
          <w:cantSplit/>
        </w:trPr>
        <w:tc>
          <w:tcPr>
            <w:tcW w:type="dxa" w:w="170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بازگشت و condition</w:t>
            </w:r>
          </w:p>
        </w:tc>
        <w:tc>
          <w:tcPr>
            <w:tcW w:type="dxa" w:w="419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تصویر قبل/بعد، لوازم جانبی، خسارت/هدیه/بایگانی و تصمیم</w:t>
            </w:r>
          </w:p>
        </w:tc>
        <w:tc>
          <w:tcPr>
            <w:tcW w:type="dxa" w:w="3969"/>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dispute یا عدم تشخیص loss/damage.</w:t>
            </w:r>
          </w:p>
        </w:tc>
      </w:tr>
      <w:tr>
        <w:trPr>
          <w:cantSplit/>
        </w:trPr>
        <w:tc>
          <w:tcPr>
            <w:tcW w:type="dxa" w:w="170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Activation</w:t>
            </w:r>
          </w:p>
        </w:tc>
        <w:tc>
          <w:tcPr>
            <w:tcW w:type="dxa" w:w="419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لینک/asset محتوا، تاریخ، permission/reuse و note</w:t>
            </w:r>
          </w:p>
        </w:tc>
        <w:tc>
          <w:tcPr>
            <w:tcW w:type="dxa" w:w="3969"/>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نمونه ارسال شده اما اثر/حق استفاده قابل گزارش نیست.</w:t>
            </w:r>
          </w:p>
        </w:tc>
      </w:tr>
    </w:tbl>
    <w:p/>
    <w:p>
      <w:pPr>
        <w:spacing w:after="120" w:before="0" w:line="240" w:lineRule="auto"/>
        <w:jc w:val="right"/>
        <w:bidi w:val="1"/>
      </w:pPr>
      <w:r>
        <w:rPr>
          <w:rFonts w:ascii="B Zar" w:hAnsi="B Zar" w:cs="B Zar" w:eastAsia="B Zar"/>
          <w:b/>
          <w:i/>
          <w:color w:val="6B7280"/>
          <w:sz w:val="18"/>
        </w:rPr>
        <w:t>جدول F01-۱ — blueprint فرایند مورد بررسی؛ این جدول تعریف محصول است، نه ادعای وضعیت بازار ایران.</w:t>
      </w:r>
    </w:p>
    <w:p>
      <w:pPr>
        <w:pStyle w:val="Heading2"/>
        <w:spacing w:after="120" w:before="200" w:line="276" w:lineRule="auto"/>
        <w:jc w:val="right"/>
        <w:bidi w:val="1"/>
      </w:pPr>
      <w:r>
        <w:rPr>
          <w:rFonts w:ascii="B Zar" w:hAnsi="B Zar" w:cs="B Zar" w:eastAsia="B Zar"/>
          <w:b/>
          <w:color w:val="1F7A70"/>
          <w:sz w:val="27"/>
        </w:rPr>
        <w:t>۲. شواهد جهانی و category proof</w:t>
      </w:r>
    </w:p>
    <w:p>
      <w:pPr>
        <w:spacing w:after="140" w:before="0" w:line="341" w:lineRule="auto"/>
        <w:jc w:val="right"/>
        <w:bidi w:val="1"/>
      </w:pPr>
      <w:r>
        <w:rPr>
          <w:rFonts w:ascii="B Zar" w:hAnsi="B Zar" w:cs="B Zar" w:eastAsia="B Zar"/>
          <w:b w:val="0"/>
          <w:color w:val="263238"/>
          <w:sz w:val="22"/>
        </w:rPr>
        <w:t>Fashion GPS در ۲۰۰۶ برای جایگزینی paper filing در sample closet و مدیریت workflow publicist/publication شکل گرفت و اکنون در Launchmetrics Samples ادامه دارد. Launchmetrics طبق اعلام خود، با بیش از ۱٬۷۰۰ برند در بیش از ۱۰۰ کشور کار می‌کند؛ این آمار vendor claim است، اما product-market category را در سطح جهانی معتبر می‌کند. [F01-S01][F01-S02]</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2268"/>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قابلیت Launchmetrics Samples</w:t>
            </w:r>
          </w:p>
        </w:tc>
        <w:tc>
          <w:tcPr>
            <w:tcW w:type="dxa" w:w="4252"/>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شاهد قابل مشاهده</w:t>
            </w:r>
          </w:p>
        </w:tc>
        <w:tc>
          <w:tcPr>
            <w:tcW w:type="dxa" w:w="334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دلالت برای wedge محلی</w:t>
            </w:r>
          </w:p>
        </w:tc>
      </w:tr>
      <w:tr>
        <w:trPr>
          <w:cantSplit/>
        </w:trPr>
        <w:tc>
          <w:tcPr>
            <w:tcW w:type="dxa" w:w="226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گردش نمونهٔ فیزیکی</w:t>
            </w:r>
          </w:p>
        </w:tc>
        <w:tc>
          <w:tcPr>
            <w:tcW w:type="dxa" w:w="425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location، request، loan، check-in/out، return و inventory در سطح قطعه. [F01-S01][F01-S03]</w:t>
            </w:r>
          </w:p>
        </w:tc>
        <w:tc>
          <w:tcPr>
            <w:tcW w:type="dxa" w:w="334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واحد محصول باید «sample movement» باشد، نه contact یا فروشگاه.</w:t>
            </w:r>
          </w:p>
        </w:tc>
      </w:tr>
      <w:tr>
        <w:trPr>
          <w:cantSplit/>
        </w:trPr>
        <w:tc>
          <w:tcPr>
            <w:tcW w:type="dxa" w:w="2268"/>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رزرو/transfer/archive/gift</w:t>
            </w:r>
          </w:p>
        </w:tc>
        <w:tc>
          <w:tcPr>
            <w:tcW w:type="dxa" w:w="4252"/>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stateهای مشخص برای جلوگیری از تعارض یا فراموشی. [F01-S03]</w:t>
            </w:r>
          </w:p>
        </w:tc>
        <w:tc>
          <w:tcPr>
            <w:tcW w:type="dxa" w:w="334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MVP باید state model روشن و audit trail داشته باشد.</w:t>
            </w:r>
          </w:p>
        </w:tc>
      </w:tr>
      <w:tr>
        <w:trPr>
          <w:cantSplit/>
        </w:trPr>
        <w:tc>
          <w:tcPr>
            <w:tcW w:type="dxa" w:w="226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barcode/RFID و import</w:t>
            </w:r>
          </w:p>
        </w:tc>
        <w:tc>
          <w:tcPr>
            <w:tcW w:type="dxa" w:w="425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جست‌وجوی status/style/color/season و ورود از spreadsheet/API. [F01-S03]</w:t>
            </w:r>
          </w:p>
        </w:tc>
        <w:tc>
          <w:tcPr>
            <w:tcW w:type="dxa" w:w="334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شروع با code/QR و import Excel؛ RFID زودهنگام غیرضروری است.</w:t>
            </w:r>
          </w:p>
        </w:tc>
      </w:tr>
      <w:tr>
        <w:trPr>
          <w:cantSplit/>
        </w:trPr>
        <w:tc>
          <w:tcPr>
            <w:tcW w:type="dxa" w:w="2268"/>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پیوند activation و coverage</w:t>
            </w:r>
          </w:p>
        </w:tc>
        <w:tc>
          <w:tcPr>
            <w:tcW w:type="dxa" w:w="4252"/>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نمونه می‌تواند به placement/mention و MIV متصل شود. [F01-S04]</w:t>
            </w:r>
          </w:p>
        </w:tc>
        <w:tc>
          <w:tcPr>
            <w:tcW w:type="dxa" w:w="334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ایران ابتدا فقط link/asset/right ثبت کند؛ attribution یا MIV وعده نشود.</w:t>
            </w:r>
          </w:p>
        </w:tc>
      </w:tr>
    </w:tbl>
    <w:p/>
    <w:p>
      <w:pPr>
        <w:spacing w:after="140" w:before="0" w:line="341" w:lineRule="auto"/>
        <w:jc w:val="right"/>
        <w:bidi w:val="1"/>
      </w:pPr>
      <w:r>
        <w:rPr>
          <w:rFonts w:ascii="B Zar" w:hAnsi="B Zar" w:cs="B Zar" w:eastAsia="B Zar"/>
          <w:b w:val="0"/>
          <w:color w:val="263238"/>
          <w:sz w:val="22"/>
        </w:rPr>
        <w:t>Launchmetrics، PLM را از sample tracking جدا می‌داند: PLM specification و تولید محصول را تعریف می‌کند؛ Samples حرکت و activation قطعهٔ فیزیکی موجود را ثبت می‌کند. [F01-S01] این مرز برای اجتناب از بازنام‌گذاری مسیر ردشدهٔ PLM/ERP ضروری است.</w:t>
      </w:r>
    </w:p>
    <w:p>
      <w:pPr>
        <w:pStyle w:val="Heading2"/>
        <w:spacing w:after="120" w:before="200" w:line="276" w:lineRule="auto"/>
        <w:jc w:val="right"/>
        <w:bidi w:val="1"/>
      </w:pPr>
      <w:r>
        <w:rPr>
          <w:rFonts w:ascii="B Zar" w:hAnsi="B Zar" w:cs="B Zar" w:eastAsia="B Zar"/>
          <w:b/>
          <w:color w:val="1F7A70"/>
          <w:sz w:val="27"/>
        </w:rPr>
        <w:t>۳. ایران، رقابت و جایگزین واقعی</w:t>
      </w:r>
    </w:p>
    <w:p>
      <w:pPr>
        <w:spacing w:after="140" w:before="0" w:line="341" w:lineRule="auto"/>
        <w:jc w:val="right"/>
        <w:bidi w:val="1"/>
      </w:pPr>
      <w:r>
        <w:rPr>
          <w:rFonts w:ascii="B Zar" w:hAnsi="B Zar" w:cs="B Zar" w:eastAsia="B Zar"/>
          <w:b w:val="0"/>
          <w:color w:val="263238"/>
          <w:sz w:val="22"/>
        </w:rPr>
        <w:t>پلتفرم‌ها و آژانس‌های ایرانی influencer marketing، discovery، brief، campaign، گزارش و در مواردی payment را پوشش می‌دهند. دیما سوشال سفارش/همکاری/گزارش را مطرح می‌کند؛ نشانت و تگرو نیز network و campaign management عرضه می‌کنند. [F01-S05][F01-S06][F01-S07] در صفحات عمومی بررسی‌شده، workflow صریح برای custody هر لباس، return/condition و asset-right مشاهده نشد. این «عدم مشاهده در desk scan» است، نه ادعای نبود رقیب.</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1928"/>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دستهٔ جایگزین</w:t>
            </w:r>
          </w:p>
        </w:tc>
        <w:tc>
          <w:tcPr>
            <w:tcW w:type="dxa" w:w="368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کارکرد موجود</w:t>
            </w:r>
          </w:p>
        </w:tc>
        <w:tc>
          <w:tcPr>
            <w:tcW w:type="dxa" w:w="4252"/>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شکافِ فقط قابل‌اعتبارسنجی</w:t>
            </w:r>
          </w:p>
        </w:tc>
      </w:tr>
      <w:tr>
        <w:trPr>
          <w:cantSplit/>
        </w:trPr>
        <w:tc>
          <w:tcPr>
            <w:tcW w:type="dxa" w:w="192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Influencer marketing platform</w:t>
            </w:r>
          </w:p>
        </w:tc>
        <w:tc>
          <w:tcPr>
            <w:tcW w:type="dxa" w:w="368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creator discovery، brief، campaign، report و payment.</w:t>
            </w:r>
          </w:p>
        </w:tc>
        <w:tc>
          <w:tcPr>
            <w:tcW w:type="dxa" w:w="425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امانت/بازگشت/condition لباس و history قطعه را عموماً موضوع اصلی نمی‌داند.</w:t>
            </w:r>
          </w:p>
        </w:tc>
      </w:tr>
      <w:tr>
        <w:trPr>
          <w:cantSplit/>
        </w:trPr>
        <w:tc>
          <w:tcPr>
            <w:tcW w:type="dxa" w:w="1928"/>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آژانس یا PR manager</w:t>
            </w:r>
          </w:p>
        </w:tc>
        <w:tc>
          <w:tcPr>
            <w:tcW w:type="dxa" w:w="368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هماهنگی، مذاکره، پیگیری و report دستی.</w:t>
            </w:r>
          </w:p>
        </w:tc>
        <w:tc>
          <w:tcPr>
            <w:tcW w:type="dxa" w:w="4252"/>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حافظهٔ فرایند به فرد وابسته و record بین client/agency پراکنده است.</w:t>
            </w:r>
          </w:p>
        </w:tc>
      </w:tr>
      <w:tr>
        <w:trPr>
          <w:cantSplit/>
        </w:trPr>
        <w:tc>
          <w:tcPr>
            <w:tcW w:type="dxa" w:w="192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Excel + WhatsApp + Drive</w:t>
            </w:r>
          </w:p>
        </w:tc>
        <w:tc>
          <w:tcPr>
            <w:tcW w:type="dxa" w:w="368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ارزان، آشنا، انعطاف‌پذیر و سریع.</w:t>
            </w:r>
          </w:p>
        </w:tc>
        <w:tc>
          <w:tcPr>
            <w:tcW w:type="dxa" w:w="425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فقط اگر overdue/conflict/search/rights درد واقعی بسازد، ناکافی تلقی می‌شود.</w:t>
            </w:r>
          </w:p>
        </w:tc>
      </w:tr>
      <w:tr>
        <w:trPr>
          <w:cantSplit/>
        </w:trPr>
        <w:tc>
          <w:tcPr>
            <w:tcW w:type="dxa" w:w="1928"/>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نرم‌افزار پوشاک/انبار</w:t>
            </w:r>
          </w:p>
        </w:tc>
        <w:tc>
          <w:tcPr>
            <w:tcW w:type="dxa" w:w="368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رنگ، سایز، بارکد و موجودی را مدیریت می‌کند. [F01-S08]</w:t>
            </w:r>
          </w:p>
        </w:tc>
        <w:tc>
          <w:tcPr>
            <w:tcW w:type="dxa" w:w="4252"/>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loan چرخهٔ PR و creator activation را به شکل تخصصی هدف نمی‌گیرد.</w:t>
            </w:r>
          </w:p>
        </w:tc>
      </w:tr>
    </w:tbl>
    <w:p/>
    <w:p>
      <w:pPr>
        <w:pStyle w:val="Heading2"/>
        <w:spacing w:after="120" w:before="200" w:line="276" w:lineRule="auto"/>
        <w:jc w:val="right"/>
        <w:bidi w:val="1"/>
      </w:pPr>
      <w:r>
        <w:rPr>
          <w:rFonts w:ascii="B Zar" w:hAnsi="B Zar" w:cs="B Zar" w:eastAsia="B Zar"/>
          <w:b/>
          <w:color w:val="1F7A70"/>
          <w:sz w:val="27"/>
        </w:rPr>
        <w:t>۴. بازار، ICP و مدل کسب‌وکار</w:t>
      </w:r>
    </w:p>
    <w:p>
      <w:pPr>
        <w:spacing w:after="140" w:before="0" w:line="341" w:lineRule="auto"/>
        <w:jc w:val="right"/>
        <w:bidi w:val="1"/>
      </w:pPr>
      <w:r>
        <w:rPr>
          <w:rFonts w:ascii="B Zar" w:hAnsi="B Zar" w:cs="B Zar" w:eastAsia="B Zar"/>
          <w:b w:val="0"/>
          <w:color w:val="263238"/>
          <w:sz w:val="22"/>
        </w:rPr>
        <w:t>برای این پرونده هیچ آمار عمومی قابل دفاعی از تعداد sample send-out، ارزش نمونهٔ رسانه‌ای یا بودجهٔ creator seeding پوشاک ایران پیدا نشد. بنابراین TAM/SAM/SOM پولی در این نسخه محاسبه نمی‌شود. روش صحیح، account mapping و bottom-up است: تعداد برند/agency واجد ICP × نرخ پذیرش × ARPA سالانه. هر denominator باید در پژوهش اولیه ثبت شود.</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300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ICP فرضی</w:t>
            </w:r>
          </w:p>
        </w:tc>
        <w:tc>
          <w:tcPr>
            <w:tcW w:type="dxa" w:w="351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نشانهٔ ورود به مصاحبه</w:t>
            </w:r>
          </w:p>
        </w:tc>
        <w:tc>
          <w:tcPr>
            <w:tcW w:type="dxa" w:w="334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Buyer و price anchor احتمالی</w:t>
            </w:r>
          </w:p>
        </w:tc>
      </w:tr>
      <w:tr>
        <w:trPr>
          <w:cantSplit/>
        </w:trPr>
        <w:tc>
          <w:tcPr>
            <w:tcW w:type="dxa" w:w="300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برند پوشاک دارای نمونه‌های رسانه‌ای</w:t>
            </w:r>
          </w:p>
        </w:tc>
        <w:tc>
          <w:tcPr>
            <w:tcW w:type="dxa" w:w="351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حداقل ۲۰ گردش نمونه در quarter یا هزینهٔ قابل بیان از پیگیری/گم‌شدن.</w:t>
            </w:r>
          </w:p>
        </w:tc>
        <w:tc>
          <w:tcPr>
            <w:tcW w:type="dxa" w:w="334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PR/marketing lead یا founder؛ زمان تیم، ارزش نمونه و فرصت رسانه‌ای.</w:t>
            </w:r>
          </w:p>
        </w:tc>
      </w:tr>
      <w:tr>
        <w:trPr>
          <w:cantSplit/>
        </w:trPr>
        <w:tc>
          <w:tcPr>
            <w:tcW w:type="dxa" w:w="300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آژانس PR/influencer با چند برند فشن</w:t>
            </w:r>
          </w:p>
        </w:tc>
        <w:tc>
          <w:tcPr>
            <w:tcW w:type="dxa" w:w="351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مسئول هماهنگی فیزیکی نمونه باشد، نه فقط خرید پست.</w:t>
            </w:r>
          </w:p>
        </w:tc>
        <w:tc>
          <w:tcPr>
            <w:tcW w:type="dxa" w:w="334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operations/account director؛ کاهش نفر-ساعت و reporting قابل حسابرسی.</w:t>
            </w:r>
          </w:p>
        </w:tc>
      </w:tr>
      <w:tr>
        <w:trPr>
          <w:cantSplit/>
        </w:trPr>
        <w:tc>
          <w:tcPr>
            <w:tcW w:type="dxa" w:w="300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showroom/برند premium چندکاناله</w:t>
            </w:r>
          </w:p>
        </w:tc>
        <w:tc>
          <w:tcPr>
            <w:tcW w:type="dxa" w:w="351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loan به stylist/editor و رزروهای هم‌زمان داشته باشد.</w:t>
            </w:r>
          </w:p>
        </w:tc>
        <w:tc>
          <w:tcPr>
            <w:tcW w:type="dxa" w:w="334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showroom/PR manager؛ جلوگیری از conflict و loss.</w:t>
            </w:r>
          </w:p>
        </w:tc>
      </w:tr>
    </w:tbl>
    <w:p/>
    <w:p>
      <w:pPr>
        <w:spacing w:after="140" w:before="0" w:line="341" w:lineRule="auto"/>
        <w:jc w:val="right"/>
        <w:bidi w:val="1"/>
      </w:pPr>
      <w:r>
        <w:rPr>
          <w:rFonts w:ascii="B Zar" w:hAnsi="B Zar" w:cs="B Zar" w:eastAsia="B Zar"/>
          <w:b w:val="0"/>
          <w:color w:val="263238"/>
          <w:sz w:val="22"/>
        </w:rPr>
        <w:t>مدل قابل آزمون: SaaS به‌ازای workspace یا active sample/campaign، با tier برای permission/audit/reporting و paid onboarding. کمیسیون influencer، marketplace و payment intermediary خارج از thesis است.</w:t>
      </w:r>
    </w:p>
    <w:p>
      <w:pPr>
        <w:pStyle w:val="Heading2"/>
        <w:spacing w:after="120" w:before="200" w:line="276" w:lineRule="auto"/>
        <w:jc w:val="right"/>
        <w:bidi w:val="1"/>
      </w:pPr>
      <w:r>
        <w:rPr>
          <w:rFonts w:ascii="B Zar" w:hAnsi="B Zar" w:cs="B Zar" w:eastAsia="B Zar"/>
          <w:b/>
          <w:color w:val="1F7A70"/>
          <w:sz w:val="27"/>
        </w:rPr>
        <w:t>۵. محصول حداقلی، ریسک و گیت اعتبارسنجی</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3572"/>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MVP آزمون</w:t>
            </w:r>
          </w:p>
        </w:tc>
        <w:tc>
          <w:tcPr>
            <w:tcW w:type="dxa" w:w="323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Non-goal</w:t>
            </w:r>
          </w:p>
        </w:tc>
        <w:tc>
          <w:tcPr>
            <w:tcW w:type="dxa" w:w="306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KPI اولیه</w:t>
            </w:r>
          </w:p>
        </w:tc>
      </w:tr>
      <w:tr>
        <w:trPr>
          <w:cantSplit/>
        </w:trPr>
        <w:tc>
          <w:tcPr>
            <w:tcW w:type="dxa" w:w="357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catalog code/QR، request/reservation، handoff log، reminder، return/condition عکس‌دار، activation link/right و dashboard overdue.</w:t>
            </w:r>
          </w:p>
        </w:tc>
        <w:tc>
          <w:tcPr>
            <w:tcW w:type="dxa" w:w="323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تامین creator، ارسال فیزیکی، escrow، MIV، social listening یا CRM/ERP کامل.</w:t>
            </w:r>
          </w:p>
        </w:tc>
        <w:tc>
          <w:tcPr>
            <w:tcW w:type="dxa" w:w="306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 نمونه با custodian/موعد/status؛ زمان پاسخ به location؛ % return/condition؛ conflict؛ renewal intent.</w:t>
            </w:r>
          </w:p>
        </w:tc>
      </w:tr>
    </w:tbl>
    <w:p/>
    <w:tbl>
      <w:tblPr>
        <w:tblW w:type="auto" w:w="0"/>
        <w:jc w:val="center"/>
        <w:tblLayout w:type="fixed"/>
        <w:tblLook w:firstColumn="1" w:firstRow="1" w:lastColumn="0" w:lastRow="0" w:noHBand="0" w:noVBand="1" w:val="04A0"/>
        <w:bidiVisual w:val="1"/>
      </w:tblPr>
      <w:tblGrid>
        <w:gridCol w:w="4933"/>
        <w:gridCol w:w="4933"/>
      </w:tblGrid>
      <w:tr>
        <w:trPr>
          <w:tblHeader w:val="true"/>
        </w:trPr>
        <w:tc>
          <w:tcPr>
            <w:tcW w:type="dxa" w:w="3402"/>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ریسک تعیین‌کننده</w:t>
            </w:r>
          </w:p>
        </w:tc>
        <w:tc>
          <w:tcPr>
            <w:tcW w:type="dxa" w:w="6463"/>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آزمون یا کاهش</w:t>
            </w:r>
          </w:p>
        </w:tc>
      </w:tr>
      <w:tr>
        <w:trPr>
          <w:cantSplit/>
        </w:trPr>
        <w:tc>
          <w:tcPr>
            <w:tcW w:type="dxa" w:w="340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حجم کم و کفایت Excel/WhatsApp</w:t>
            </w:r>
          </w:p>
        </w:tc>
        <w:tc>
          <w:tcPr>
            <w:tcW w:type="dxa" w:w="6463"/>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مصاحبه بر پایهٔ سه گردش واقعی و pilot پولی، نه survey علاقه‌مندی.</w:t>
            </w:r>
          </w:p>
        </w:tc>
      </w:tr>
      <w:tr>
        <w:trPr>
          <w:cantSplit/>
        </w:trPr>
        <w:tc>
          <w:tcPr>
            <w:tcW w:type="dxa" w:w="3402"/>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دریافت‌کننده portal را استفاده نکند</w:t>
            </w:r>
          </w:p>
        </w:tc>
        <w:tc>
          <w:tcPr>
            <w:tcW w:type="dxa" w:w="6463"/>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flow موبایلیِ بدون account کامل و سنجش acknowledgment در pilot.</w:t>
            </w:r>
          </w:p>
        </w:tc>
      </w:tr>
      <w:tr>
        <w:trPr>
          <w:cantSplit/>
        </w:trPr>
        <w:tc>
          <w:tcPr>
            <w:tcW w:type="dxa" w:w="340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dispute خسارت/حقوق محتوا</w:t>
            </w:r>
          </w:p>
        </w:tc>
        <w:tc>
          <w:tcPr>
            <w:tcW w:type="dxa" w:w="6463"/>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software فقط evidence log؛ قرارداد، ودیعه و liability با brand/agency؛ legal review پیش از scale.</w:t>
            </w:r>
          </w:p>
        </w:tc>
      </w:tr>
      <w:tr>
        <w:trPr>
          <w:cantSplit/>
        </w:trPr>
        <w:tc>
          <w:tcPr>
            <w:tcW w:type="dxa" w:w="3402"/>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انحراف به marketplace یا fulfillment</w:t>
            </w:r>
          </w:p>
        </w:tc>
        <w:tc>
          <w:tcPr>
            <w:tcW w:type="dxa" w:w="6463"/>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عدم وجود commission، inventory creator یا عملیات پیک در scope MVP.</w:t>
            </w:r>
          </w:p>
        </w:tc>
      </w:tr>
    </w:tbl>
    <w:p/>
    <w:p>
      <w:pPr>
        <w:spacing w:after="140" w:before="0" w:line="341" w:lineRule="auto"/>
        <w:jc w:val="right"/>
        <w:bidi w:val="1"/>
      </w:pPr>
      <w:r>
        <w:rPr>
          <w:rFonts w:ascii="B Zar" w:hAnsi="B Zar" w:cs="B Zar" w:eastAsia="B Zar"/>
          <w:b w:val="0"/>
          <w:color w:val="263238"/>
          <w:sz w:val="22"/>
        </w:rPr>
        <w:t>طرح اعتبارسنجی: ۱۵ مصاحبه artifact-based با مدیر برند/PR، agency operations، sample coordinator/showroom و creator/stylist؛ سپس دو pilot پولی ۶ تا ۸ هفته‌ای با ۱۰–۳۰ movement واقعی برای هر customer. hard kill اگر درد تکرارشونده/هزینه‌دار دیده نشود، دو pilot فروخته نشود، دریافت‌کننده flow را استفاده نکند یا accountها حجم کافی نداشته باشند.</w:t>
      </w:r>
    </w:p>
    <w:p>
      <w:pPr>
        <w:pStyle w:val="Heading2"/>
        <w:spacing w:after="120" w:before="200" w:line="276" w:lineRule="auto"/>
        <w:jc w:val="right"/>
        <w:bidi w:val="1"/>
      </w:pPr>
      <w:r>
        <w:rPr>
          <w:rFonts w:ascii="B Zar" w:hAnsi="B Zar" w:cs="B Zar" w:eastAsia="B Zar"/>
          <w:b/>
          <w:color w:val="1F7A70"/>
          <w:sz w:val="27"/>
        </w:rPr>
        <w:t>۶. verdict desk-research</w:t>
      </w:r>
    </w:p>
    <w:tbl>
      <w:tblPr>
        <w:tblW w:type="auto" w:w="0"/>
        <w:jc w:val="center"/>
        <w:tblLook w:firstColumn="1" w:firstRow="1" w:lastColumn="0" w:lastRow="0" w:noHBand="0" w:noVBand="1" w:val="04A0"/>
        <w:bidiVisual w:val="1"/>
      </w:tblPr>
      <w:tblGrid>
        <w:gridCol w:w="9866"/>
      </w:tblGrid>
      <w:tr>
        <w:tc>
          <w:tcPr>
            <w:tcW w:type="dxa" w:w="9866"/>
            <w:vAlign w:val="center"/>
            <w:tcMar>
              <w:top w:w="75" w:type="dxa"/>
              <w:start w:w="75" w:type="dxa"/>
              <w:bottom w:w="75" w:type="dxa"/>
              <w:end w:w="75" w:type="dxa"/>
            </w:tcMar>
            <w:shd w:fill="FFF3D6"/>
            <w:tcBorders>
              <w:top w:val="single" w:sz="8" w:color="8A6100"/>
              <w:bottom w:val="single" w:sz="3" w:color="D9E0E7"/>
              <w:left w:val="single" w:sz="3" w:color="D9E0E7"/>
              <w:right w:val="single" w:sz="3" w:color="D9E0E7"/>
            </w:tcBorders>
          </w:tcPr>
          <w:p>
            <w:pPr>
              <w:spacing w:after="60" w:before="0" w:line="288" w:lineRule="auto"/>
              <w:jc w:val="right"/>
              <w:bidi w:val="1"/>
            </w:pPr>
            <w:r/>
            <w:r>
              <w:rPr>
                <w:rFonts w:ascii="B Zar" w:hAnsi="B Zar" w:cs="B Zar" w:eastAsia="B Zar"/>
                <w:b/>
                <w:color w:val="8A6100"/>
                <w:sz w:val="22"/>
              </w:rPr>
              <w:t>نتیجه: فعال برای اعتبارسنجی، نه Pass</w:t>
            </w:r>
          </w:p>
          <w:p>
            <w:pPr>
              <w:spacing w:after="40" w:before="0" w:line="324" w:lineRule="auto"/>
              <w:jc w:val="right"/>
              <w:bidi w:val="1"/>
            </w:pPr>
            <w:r>
              <w:rPr>
                <w:rFonts w:ascii="B Zar" w:hAnsi="B Zar" w:cs="B Zar" w:eastAsia="B Zar"/>
                <w:color w:val="263238"/>
                <w:sz w:val="21"/>
              </w:rPr>
              <w:t>category جهانی و workflow تخصصی آن روشن است؛ ایران دارای substituteهای campaign و ابزارهای عمومی است. تنها thesis قابل آزمون، accountability نمونهٔ فیزیکی از request تا return و asset-right است. نبود product مشابه در صفحات عمومی، gap را ثابت نمی‌کند؛ فروش pilot و adoption مشترک برند/دریافت‌کننده تعیین‌کننده خواهد بود.</w:t>
            </w:r>
          </w:p>
        </w:tc>
      </w:tr>
    </w:tbl>
    <w:p/>
    <w:p>
      <w:pPr>
        <w:pStyle w:val="Heading2"/>
        <w:spacing w:after="120" w:before="200" w:line="276" w:lineRule="auto"/>
        <w:jc w:val="right"/>
        <w:bidi w:val="1"/>
      </w:pPr>
      <w:r>
        <w:rPr>
          <w:rFonts w:ascii="B Zar" w:hAnsi="B Zar" w:cs="B Zar" w:eastAsia="B Zar"/>
          <w:b/>
          <w:color w:val="1F7A70"/>
          <w:sz w:val="27"/>
        </w:rPr>
        <w:t>منابع پرونده F-01</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119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کد</w:t>
            </w:r>
          </w:p>
        </w:tc>
        <w:tc>
          <w:tcPr>
            <w:tcW w:type="dxa" w:w="1304"/>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رتبه</w:t>
            </w:r>
          </w:p>
        </w:tc>
        <w:tc>
          <w:tcPr>
            <w:tcW w:type="dxa" w:w="7370"/>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منبع و پیوند</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F01-S01</w:t>
            </w:r>
          </w:p>
        </w:tc>
        <w:tc>
          <w:tcPr>
            <w:tcW w:type="dxa" w:w="130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w:t>
            </w:r>
          </w:p>
        </w:tc>
        <w:tc>
          <w:tcPr>
            <w:tcW w:type="dxa" w:w="7370"/>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Launchmetrics Samples Management — https://www.launchmetrics.com/software/samples-management</w:t>
            </w:r>
          </w:p>
        </w:tc>
      </w:tr>
      <w:tr>
        <w:trPr>
          <w:cantSplit/>
        </w:trPr>
        <w:tc>
          <w:tcPr>
            <w:tcW w:type="dxa" w:w="11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F01-S02</w:t>
            </w:r>
          </w:p>
        </w:tc>
        <w:tc>
          <w:tcPr>
            <w:tcW w:type="dxa" w:w="130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w:t>
            </w:r>
          </w:p>
        </w:tc>
        <w:tc>
          <w:tcPr>
            <w:tcW w:type="dxa" w:w="7370"/>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Fashion GPS Background — https://www.launchmetrics.com/fashion-gps-background</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F01-S03</w:t>
            </w:r>
          </w:p>
        </w:tc>
        <w:tc>
          <w:tcPr>
            <w:tcW w:type="dxa" w:w="130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w:t>
            </w:r>
          </w:p>
        </w:tc>
        <w:tc>
          <w:tcPr>
            <w:tcW w:type="dxa" w:w="7370"/>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Fashion Sample Tracking Software — https://www.launchmetrics.com/resources/blog/sample-tracking-software</w:t>
            </w:r>
          </w:p>
        </w:tc>
      </w:tr>
      <w:tr>
        <w:trPr>
          <w:cantSplit/>
        </w:trPr>
        <w:tc>
          <w:tcPr>
            <w:tcW w:type="dxa" w:w="11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F01-S04</w:t>
            </w:r>
          </w:p>
        </w:tc>
        <w:tc>
          <w:tcPr>
            <w:tcW w:type="dxa" w:w="130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w:t>
            </w:r>
          </w:p>
        </w:tc>
        <w:tc>
          <w:tcPr>
            <w:tcW w:type="dxa" w:w="7370"/>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Sample Tracking &amp; MIV — https://www.launchmetrics.com/resources/blog/how-to-improve-fashion-sample-tracking-and-quantify-with-miv</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F01-S05</w:t>
            </w:r>
          </w:p>
        </w:tc>
        <w:tc>
          <w:tcPr>
            <w:tcW w:type="dxa" w:w="130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w:t>
            </w:r>
          </w:p>
        </w:tc>
        <w:tc>
          <w:tcPr>
            <w:tcW w:type="dxa" w:w="7370"/>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دیما سوشال — https://deema.agency/deema-social-platform/</w:t>
            </w:r>
          </w:p>
        </w:tc>
      </w:tr>
      <w:tr>
        <w:trPr>
          <w:cantSplit/>
        </w:trPr>
        <w:tc>
          <w:tcPr>
            <w:tcW w:type="dxa" w:w="11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F01-S06</w:t>
            </w:r>
          </w:p>
        </w:tc>
        <w:tc>
          <w:tcPr>
            <w:tcW w:type="dxa" w:w="130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w:t>
            </w:r>
          </w:p>
        </w:tc>
        <w:tc>
          <w:tcPr>
            <w:tcW w:type="dxa" w:w="7370"/>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نشانت — https://neshanet.com/</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F01-S07</w:t>
            </w:r>
          </w:p>
        </w:tc>
        <w:tc>
          <w:tcPr>
            <w:tcW w:type="dxa" w:w="130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w:t>
            </w:r>
          </w:p>
        </w:tc>
        <w:tc>
          <w:tcPr>
            <w:tcW w:type="dxa" w:w="7370"/>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تگرو — https://tagrow.net/</w:t>
            </w:r>
          </w:p>
        </w:tc>
      </w:tr>
      <w:tr>
        <w:trPr>
          <w:cantSplit/>
        </w:trPr>
        <w:tc>
          <w:tcPr>
            <w:tcW w:type="dxa" w:w="11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F01-S08</w:t>
            </w:r>
          </w:p>
        </w:tc>
        <w:tc>
          <w:tcPr>
            <w:tcW w:type="dxa" w:w="130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w:t>
            </w:r>
          </w:p>
        </w:tc>
        <w:tc>
          <w:tcPr>
            <w:tcW w:type="dxa" w:w="7370"/>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محک، نرم‌افزار حسابداری پوشاک — https://www.mahaksoft.com/garment-accounting-software/</w:t>
            </w:r>
          </w:p>
        </w:tc>
      </w:tr>
    </w:tbl>
    <w:p/>
    <w:p>
      <w:r>
        <w:br w:type="page"/>
      </w:r>
    </w:p>
    <w:p>
      <w:pPr>
        <w:pStyle w:val="Heading1"/>
        <w:spacing w:after="120" w:before="300" w:line="276" w:lineRule="auto"/>
        <w:jc w:val="right"/>
        <w:bidi w:val="1"/>
      </w:pPr>
      <w:r>
        <w:rPr>
          <w:rFonts w:ascii="B Zar" w:hAnsi="B Zar" w:cs="B Zar" w:eastAsia="B Zar"/>
          <w:b/>
          <w:color w:val="1F3A5F"/>
          <w:sz w:val="32"/>
        </w:rPr>
        <w:t>F-02. تداوم لباس و مدیریت دارایی برای تولیدات تصویری</w:t>
      </w:r>
    </w:p>
    <w:tbl>
      <w:tblPr>
        <w:tblW w:type="auto" w:w="0"/>
        <w:jc w:val="center"/>
        <w:tblLook w:firstColumn="1" w:firstRow="1" w:lastColumn="0" w:lastRow="0" w:noHBand="0" w:noVBand="1" w:val="04A0"/>
        <w:bidiVisual w:val="1"/>
      </w:tblPr>
      <w:tblGrid>
        <w:gridCol w:w="9866"/>
      </w:tblGrid>
      <w:tr>
        <w:tc>
          <w:tcPr>
            <w:tcW w:type="dxa" w:w="9866"/>
            <w:vAlign w:val="center"/>
            <w:tcMar>
              <w:top w:w="75" w:type="dxa"/>
              <w:start w:w="75" w:type="dxa"/>
              <w:bottom w:w="75" w:type="dxa"/>
              <w:end w:w="75" w:type="dxa"/>
            </w:tcMar>
            <w:shd w:fill="DDF3E8"/>
            <w:tcBorders>
              <w:top w:val="single" w:sz="8" w:color="1F7A70"/>
              <w:bottom w:val="single" w:sz="3" w:color="D9E0E7"/>
              <w:left w:val="single" w:sz="3" w:color="D9E0E7"/>
              <w:right w:val="single" w:sz="3" w:color="D9E0E7"/>
            </w:tcBorders>
          </w:tcPr>
          <w:p>
            <w:pPr>
              <w:spacing w:after="60" w:before="0" w:line="288" w:lineRule="auto"/>
              <w:jc w:val="right"/>
              <w:bidi w:val="1"/>
            </w:pPr>
            <w:r/>
            <w:r>
              <w:rPr>
                <w:rFonts w:ascii="B Zar" w:hAnsi="B Zar" w:cs="B Zar" w:eastAsia="B Zar"/>
                <w:b/>
                <w:color w:val="1F7A70"/>
                <w:sz w:val="22"/>
              </w:rPr>
              <w:t>کارت تصمیم — وضعیت: فعال برای اعتبارسنجی</w:t>
            </w:r>
          </w:p>
          <w:p>
            <w:pPr>
              <w:spacing w:after="40" w:before="0" w:line="324" w:lineRule="auto"/>
              <w:jc w:val="right"/>
              <w:bidi w:val="1"/>
            </w:pPr>
            <w:r>
              <w:rPr>
                <w:rFonts w:ascii="B Zar" w:hAnsi="B Zar" w:cs="B Zar" w:eastAsia="B Zar"/>
                <w:color w:val="263238"/>
                <w:sz w:val="21"/>
              </w:rPr>
              <w:t>بازار B2B و پروژه‌محور | Buyer فرضی: line producer/production manager | User: costume designer، supervisor، set costumer و dresser. محصول فقط costume continuity + asset workflow از prep تا wrap است؛ ERP کامل فیلم، rental marketplace، payroll یا AI image tool نیست.</w:t>
            </w:r>
          </w:p>
        </w:tc>
      </w:tr>
    </w:tbl>
    <w:p/>
    <w:p>
      <w:pPr>
        <w:pStyle w:val="Heading2"/>
        <w:spacing w:after="120" w:before="200" w:line="276" w:lineRule="auto"/>
        <w:jc w:val="right"/>
        <w:bidi w:val="1"/>
      </w:pPr>
      <w:r>
        <w:rPr>
          <w:rFonts w:ascii="B Zar" w:hAnsi="B Zar" w:cs="B Zar" w:eastAsia="B Zar"/>
          <w:b/>
          <w:color w:val="1F7A70"/>
          <w:sz w:val="27"/>
        </w:rPr>
        <w:t>۱. مسئله و جریان کاری</w:t>
      </w:r>
    </w:p>
    <w:p>
      <w:pPr>
        <w:spacing w:after="140" w:before="0" w:line="341" w:lineRule="auto"/>
        <w:jc w:val="right"/>
        <w:bidi w:val="1"/>
      </w:pPr>
      <w:r>
        <w:rPr>
          <w:rFonts w:ascii="B Zar" w:hAnsi="B Zar" w:cs="B Zar" w:eastAsia="B Zar"/>
          <w:b w:val="0"/>
          <w:color w:val="263238"/>
          <w:sz w:val="22"/>
        </w:rPr>
        <w:t>فیلم‌برداری غیرخطی باعث می‌شود یک look برای شخصیت، در روزها و ترتیب‌های متفاوت گرفته شود. تیم لباس باید قطعه، duplicate، وضعیت تمیزی/آسیب، fitting، عکس مرجع و جزئیات look را کنار episode/scene/script day نگه دارد. جایگزین‌های متعارف دفتر، گالری موبایل، پیام‌رسان و spreadsheet هستند؛ کارایی یا ناکارایی آن‌ها برای ایران باید در صحنهٔ واقعی آزموده شود.</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170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مرحله</w:t>
            </w:r>
          </w:p>
        </w:tc>
        <w:tc>
          <w:tcPr>
            <w:tcW w:type="dxa" w:w="4139"/>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record لازم</w:t>
            </w:r>
          </w:p>
        </w:tc>
        <w:tc>
          <w:tcPr>
            <w:tcW w:type="dxa" w:w="402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اثر عدم انسجام</w:t>
            </w:r>
          </w:p>
        </w:tc>
      </w:tr>
      <w:tr>
        <w:trPr>
          <w:cantSplit/>
        </w:trPr>
        <w:tc>
          <w:tcPr>
            <w:tcW w:type="dxa" w:w="170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breakdown</w:t>
            </w:r>
          </w:p>
        </w:tc>
        <w:tc>
          <w:tcPr>
            <w:tcW w:type="dxa" w:w="4139"/>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شخصیت، episode/scene، script day، costume cue و look code</w:t>
            </w:r>
          </w:p>
        </w:tc>
        <w:tc>
          <w:tcPr>
            <w:tcW w:type="dxa" w:w="402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تجهیز/لباس درست برای صحنهٔ بعدی آماده نیست.</w:t>
            </w:r>
          </w:p>
        </w:tc>
      </w:tr>
      <w:tr>
        <w:trPr>
          <w:cantSplit/>
        </w:trPr>
        <w:tc>
          <w:tcPr>
            <w:tcW w:type="dxa" w:w="170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fitting</w:t>
            </w:r>
          </w:p>
        </w:tc>
        <w:tc>
          <w:tcPr>
            <w:tcW w:type="dxa" w:w="4139"/>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اندازه، عکس، note، alteration و approval</w:t>
            </w:r>
          </w:p>
        </w:tc>
        <w:tc>
          <w:tcPr>
            <w:tcW w:type="dxa" w:w="402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داده با تغییر team یا بازیگر انتقال کامل ندارد.</w:t>
            </w:r>
          </w:p>
        </w:tc>
      </w:tr>
      <w:tr>
        <w:trPr>
          <w:cantSplit/>
        </w:trPr>
        <w:tc>
          <w:tcPr>
            <w:tcW w:type="dxa" w:w="170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shoot/continuity</w:t>
            </w:r>
          </w:p>
        </w:tc>
        <w:tc>
          <w:tcPr>
            <w:tcW w:type="dxa" w:w="4139"/>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عکس قبل و on-set، look state، take/scene و note</w:t>
            </w:r>
          </w:p>
        </w:tc>
        <w:tc>
          <w:tcPr>
            <w:tcW w:type="dxa" w:w="402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خطای continuity و جست‌وجوی زمان‌بر در set.</w:t>
            </w:r>
          </w:p>
        </w:tc>
      </w:tr>
      <w:tr>
        <w:trPr>
          <w:cantSplit/>
        </w:trPr>
        <w:tc>
          <w:tcPr>
            <w:tcW w:type="dxa" w:w="170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asset operations</w:t>
            </w:r>
          </w:p>
        </w:tc>
        <w:tc>
          <w:tcPr>
            <w:tcW w:type="dxa" w:w="4139"/>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location، rental/purchase، laundry/repair/damage/duplicate</w:t>
            </w:r>
          </w:p>
        </w:tc>
        <w:tc>
          <w:tcPr>
            <w:tcW w:type="dxa" w:w="402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قطعه آماده نیست یا history قابل استناد ندارد.</w:t>
            </w:r>
          </w:p>
        </w:tc>
      </w:tr>
      <w:tr>
        <w:trPr>
          <w:cantSplit/>
        </w:trPr>
        <w:tc>
          <w:tcPr>
            <w:tcW w:type="dxa" w:w="170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wrap</w:t>
            </w:r>
          </w:p>
        </w:tc>
        <w:tc>
          <w:tcPr>
            <w:tcW w:type="dxa" w:w="4139"/>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box، return، quantity، source و report</w:t>
            </w:r>
          </w:p>
        </w:tc>
        <w:tc>
          <w:tcPr>
            <w:tcW w:type="dxa" w:w="402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re-entry دستی، missing asset و اختلاف با rental house.</w:t>
            </w:r>
          </w:p>
        </w:tc>
      </w:tr>
    </w:tbl>
    <w:p/>
    <w:p>
      <w:pPr>
        <w:pStyle w:val="Heading2"/>
        <w:spacing w:after="120" w:before="200" w:line="276" w:lineRule="auto"/>
        <w:jc w:val="right"/>
        <w:bidi w:val="1"/>
      </w:pPr>
      <w:r>
        <w:rPr>
          <w:rFonts w:ascii="B Zar" w:hAnsi="B Zar" w:cs="B Zar" w:eastAsia="B Zar"/>
          <w:b/>
          <w:color w:val="1F7A70"/>
          <w:sz w:val="27"/>
        </w:rPr>
        <w:t>۲. شواهد جهانی و category proof</w:t>
      </w:r>
    </w:p>
    <w:p>
      <w:pPr>
        <w:spacing w:after="140" w:before="0" w:line="341" w:lineRule="auto"/>
        <w:jc w:val="right"/>
        <w:bidi w:val="1"/>
      </w:pPr>
      <w:r>
        <w:rPr>
          <w:rFonts w:ascii="B Zar" w:hAnsi="B Zar" w:cs="B Zar" w:eastAsia="B Zar"/>
          <w:b w:val="0"/>
          <w:color w:val="263238"/>
          <w:sz w:val="22"/>
        </w:rPr>
        <w:t>SyncOnSet برای costume department، breakdown، digital continuity book، photo upload، inventory، budget، measurement و wrap report عرضه می‌شود و mobile offline را برای set مطرح می‌کند. [F02-S01][F02-S02] Variety در ۲۰۱۶ استفادهٔ آن در ۲٬۵۰۰ feature/TV series و نمونهٔ Game of Thrones را گزارش کرد؛ این داده تاریخی است و برای market sizing فعلی استفاده نمی‌شود. [F02-S03]</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1814"/>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benchmark</w:t>
            </w:r>
          </w:p>
        </w:tc>
        <w:tc>
          <w:tcPr>
            <w:tcW w:type="dxa" w:w="436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workflow مستند</w:t>
            </w:r>
          </w:p>
        </w:tc>
        <w:tc>
          <w:tcPr>
            <w:tcW w:type="dxa" w:w="368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دلالت برای محصول محلی</w:t>
            </w:r>
          </w:p>
        </w:tc>
      </w:tr>
      <w:tr>
        <w:trPr>
          <w:cantSplit/>
        </w:trPr>
        <w:tc>
          <w:tcPr>
            <w:tcW w:type="dxa" w:w="181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SyncOnSet</w:t>
            </w:r>
          </w:p>
        </w:tc>
        <w:tc>
          <w:tcPr>
            <w:tcW w:type="dxa" w:w="436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breakdown، photo/notes، item inventory، measurements، offline و wrap labels. [F02-S01]</w:t>
            </w:r>
          </w:p>
        </w:tc>
        <w:tc>
          <w:tcPr>
            <w:tcW w:type="dxa" w:w="368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costume-specific + mobile/offline هسته است؛ نه full ERP.</w:t>
            </w:r>
          </w:p>
        </w:tc>
      </w:tr>
      <w:tr>
        <w:trPr>
          <w:cantSplit/>
        </w:trPr>
        <w:tc>
          <w:tcPr>
            <w:tcW w:type="dxa" w:w="181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Dramatify</w:t>
            </w:r>
          </w:p>
        </w:tc>
        <w:tc>
          <w:tcPr>
            <w:tcW w:type="dxa" w:w="436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wardrobe breakdown، stripboard، cast measurement، images tagged before/on-set و schedule. [F02-S04]</w:t>
            </w:r>
          </w:p>
        </w:tc>
        <w:tc>
          <w:tcPr>
            <w:tcW w:type="dxa" w:w="368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پیوستگی scene/look و photo retrieval ارزش اصلی است.</w:t>
            </w:r>
          </w:p>
        </w:tc>
      </w:tr>
      <w:tr>
        <w:trPr>
          <w:cantSplit/>
        </w:trPr>
        <w:tc>
          <w:tcPr>
            <w:tcW w:type="dxa" w:w="181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Ready4Set</w:t>
            </w:r>
          </w:p>
        </w:tc>
        <w:tc>
          <w:tcPr>
            <w:tcW w:type="dxa" w:w="436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script/schedule، costume inventory، source/budget، sizes، photo/annotation و reports. [F02-S05]</w:t>
            </w:r>
          </w:p>
        </w:tc>
        <w:tc>
          <w:tcPr>
            <w:tcW w:type="dxa" w:w="368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موجودیت‌های costume asset و look، category مجزا از inventory عمومی می‌سازند.</w:t>
            </w:r>
          </w:p>
        </w:tc>
      </w:tr>
    </w:tbl>
    <w:p/>
    <w:p>
      <w:pPr>
        <w:pStyle w:val="Heading2"/>
        <w:spacing w:after="120" w:before="200" w:line="276" w:lineRule="auto"/>
        <w:jc w:val="right"/>
        <w:bidi w:val="1"/>
      </w:pPr>
      <w:r>
        <w:rPr>
          <w:rFonts w:ascii="B Zar" w:hAnsi="B Zar" w:cs="B Zar" w:eastAsia="B Zar"/>
          <w:b/>
          <w:color w:val="1F7A70"/>
          <w:sz w:val="27"/>
        </w:rPr>
        <w:t>۳. ایران و جایگزین واقعی</w:t>
      </w:r>
    </w:p>
    <w:p>
      <w:pPr>
        <w:spacing w:after="140" w:before="0" w:line="341" w:lineRule="auto"/>
        <w:jc w:val="right"/>
        <w:bidi w:val="1"/>
      </w:pPr>
      <w:r>
        <w:rPr>
          <w:rFonts w:ascii="B Zar" w:hAnsi="B Zar" w:cs="B Zar" w:eastAsia="B Zar"/>
          <w:b w:val="0"/>
          <w:color w:val="263238"/>
          <w:sz w:val="22"/>
        </w:rPr>
        <w:t>یک خبر محلی در ۱۴۰۴ به بیش از ۳۰ برنامه/سریال/رئالیتی‌شو شبکهٔ نمایش خانگی اشاره کرده است؛ این فقط signal عرضهٔ تولید است و برای اندازه‌گذاری بازار یا بودجه اعتبار کافی ندارد. [F02-S06] منبع شغلی داخلی نیز وظیفهٔ منشی صحنه در ثبت پیوستگی لباس/صحنه و همکاری با مسئول لباس را توضیح می‌دهد. [F02-S07]</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1984"/>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جایگزین</w:t>
            </w:r>
          </w:p>
        </w:tc>
        <w:tc>
          <w:tcPr>
            <w:tcW w:type="dxa" w:w="351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مزیت موجود</w:t>
            </w:r>
          </w:p>
        </w:tc>
        <w:tc>
          <w:tcPr>
            <w:tcW w:type="dxa" w:w="436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شکاف احتمالی که باید اثبات شود</w:t>
            </w:r>
          </w:p>
        </w:tc>
      </w:tr>
      <w:tr>
        <w:trPr>
          <w:cantSplit/>
        </w:trPr>
        <w:tc>
          <w:tcPr>
            <w:tcW w:type="dxa" w:w="198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دفتر تداوم و فرم چاپی</w:t>
            </w:r>
          </w:p>
        </w:tc>
        <w:tc>
          <w:tcPr>
            <w:tcW w:type="dxa" w:w="351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آشنا، سریع و مستقل از اینترنت.</w:t>
            </w:r>
          </w:p>
        </w:tc>
        <w:tc>
          <w:tcPr>
            <w:tcW w:type="dxa" w:w="436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search/share/history عکس و انتقال تیم ممکن است دشوار شود.</w:t>
            </w:r>
          </w:p>
        </w:tc>
      </w:tr>
      <w:tr>
        <w:trPr>
          <w:cantSplit/>
        </w:trPr>
        <w:tc>
          <w:tcPr>
            <w:tcW w:type="dxa" w:w="198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gallery + WhatsApp/Telegram</w:t>
            </w:r>
          </w:p>
        </w:tc>
        <w:tc>
          <w:tcPr>
            <w:tcW w:type="dxa" w:w="351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در لحظه، کم‌هزینه و روی موبایل.</w:t>
            </w:r>
          </w:p>
        </w:tc>
        <w:tc>
          <w:tcPr>
            <w:tcW w:type="dxa" w:w="436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tag منظم episode/scene/look، permission و audit trail ندارد.</w:t>
            </w:r>
          </w:p>
        </w:tc>
      </w:tr>
      <w:tr>
        <w:trPr>
          <w:cantSplit/>
        </w:trPr>
        <w:tc>
          <w:tcPr>
            <w:tcW w:type="dxa" w:w="198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Excel/Drive/Airtable شخصی</w:t>
            </w:r>
          </w:p>
        </w:tc>
        <w:tc>
          <w:tcPr>
            <w:tcW w:type="dxa" w:w="351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انعطاف و قابل تنظیم برای supervisor.</w:t>
            </w:r>
          </w:p>
        </w:tc>
        <w:tc>
          <w:tcPr>
            <w:tcW w:type="dxa" w:w="436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mobile/offline photo workflow و handoff ساختاریافته ممکن است ناکافی باشد.</w:t>
            </w:r>
          </w:p>
        </w:tc>
      </w:tr>
      <w:tr>
        <w:trPr>
          <w:cantSplit/>
        </w:trPr>
        <w:tc>
          <w:tcPr>
            <w:tcW w:type="dxa" w:w="198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Production management عمومی</w:t>
            </w:r>
          </w:p>
        </w:tc>
        <w:tc>
          <w:tcPr>
            <w:tcW w:type="dxa" w:w="351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schedule و call sheet را حل می‌کند.</w:t>
            </w:r>
          </w:p>
        </w:tc>
        <w:tc>
          <w:tcPr>
            <w:tcW w:type="dxa" w:w="436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costume asset، fitting، condition و wrap workflow ممکن است سطحی باشد.</w:t>
            </w:r>
          </w:p>
        </w:tc>
      </w:tr>
    </w:tbl>
    <w:p/>
    <w:p>
      <w:pPr>
        <w:spacing w:after="140" w:before="0" w:line="341" w:lineRule="auto"/>
        <w:jc w:val="right"/>
        <w:bidi w:val="1"/>
      </w:pPr>
      <w:r>
        <w:rPr>
          <w:rFonts w:ascii="B Zar" w:hAnsi="B Zar" w:cs="B Zar" w:eastAsia="B Zar"/>
          <w:b w:val="0"/>
          <w:color w:val="263238"/>
          <w:sz w:val="22"/>
        </w:rPr>
        <w:t>در desk scan فارسی، محصول بومی برجسته با تمرکز صریح costume continuity/asset workflow مشاهده نشد. این نتیجه به معنی نبود ابزار داخلی نیست و باید با نقش‌های حرفه‌ای و production companyها audit شود.</w:t>
      </w:r>
    </w:p>
    <w:p>
      <w:pPr>
        <w:pStyle w:val="Heading2"/>
        <w:spacing w:after="120" w:before="200" w:line="276" w:lineRule="auto"/>
        <w:jc w:val="right"/>
        <w:bidi w:val="1"/>
      </w:pPr>
      <w:r>
        <w:rPr>
          <w:rFonts w:ascii="B Zar" w:hAnsi="B Zar" w:cs="B Zar" w:eastAsia="B Zar"/>
          <w:b/>
          <w:color w:val="1F7A70"/>
          <w:sz w:val="27"/>
        </w:rPr>
        <w:t>۴. بازار، مدل و امکان اجرا</w:t>
      </w:r>
    </w:p>
    <w:p>
      <w:pPr>
        <w:spacing w:after="140" w:before="0" w:line="341" w:lineRule="auto"/>
        <w:jc w:val="right"/>
        <w:bidi w:val="1"/>
      </w:pPr>
      <w:r>
        <w:rPr>
          <w:rFonts w:ascii="B Zar" w:hAnsi="B Zar" w:cs="B Zar" w:eastAsia="B Zar"/>
          <w:b w:val="0"/>
          <w:color w:val="263238"/>
          <w:sz w:val="22"/>
        </w:rPr>
        <w:t>واحد بازار، «کل صنعت سینما» نیست؛ projectهای دارای costume department و complexity کافی است. فرمول مورد نیاز برای SAM: تعداد پروژهٔ واجد پیچیدگی × نرخ پذیرش × fee پروژه/annual workspace. دادهٔ عمومی معتبر برای denominators، budget و project density کافی نیست؛ این بخش نیازمند account mapping و مصاحبه است.</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323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مشتری واجد شرایط فرضی</w:t>
            </w:r>
          </w:p>
        </w:tc>
        <w:tc>
          <w:tcPr>
            <w:tcW w:type="dxa" w:w="3402"/>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نشانهٔ qualification</w:t>
            </w:r>
          </w:p>
        </w:tc>
        <w:tc>
          <w:tcPr>
            <w:tcW w:type="dxa" w:w="323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مدل درآمد قابل آزمون</w:t>
            </w:r>
          </w:p>
        </w:tc>
      </w:tr>
      <w:tr>
        <w:trPr>
          <w:cantSplit/>
        </w:trPr>
        <w:tc>
          <w:tcPr>
            <w:tcW w:type="dxa" w:w="323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سریال/فیلم با چند شخصیت/look و shoot غیرخطی</w:t>
            </w:r>
          </w:p>
        </w:tc>
        <w:tc>
          <w:tcPr>
            <w:tcW w:type="dxa" w:w="340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تعداد item/duplicate و نیاز روزانهٔ continuity بالا.</w:t>
            </w:r>
          </w:p>
        </w:tc>
        <w:tc>
          <w:tcPr>
            <w:tcW w:type="dxa" w:w="323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fee پروژه بر پایهٔ prep + shoot؛ نه license سنگین enterprise.</w:t>
            </w:r>
          </w:p>
        </w:tc>
      </w:tr>
      <w:tr>
        <w:trPr>
          <w:cantSplit/>
        </w:trPr>
        <w:tc>
          <w:tcPr>
            <w:tcW w:type="dxa" w:w="323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تولید تبلیغاتی با wardrobe پیچیده</w:t>
            </w:r>
          </w:p>
        </w:tc>
        <w:tc>
          <w:tcPr>
            <w:tcW w:type="dxa" w:w="3402"/>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تغییرات زیاد، rental، fitting و نیاز تحویل سریع.</w:t>
            </w:r>
          </w:p>
        </w:tc>
        <w:tc>
          <w:tcPr>
            <w:tcW w:type="dxa" w:w="323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project workspace کوتاه‌مدت یا package agency.</w:t>
            </w:r>
          </w:p>
        </w:tc>
      </w:tr>
      <w:tr>
        <w:trPr>
          <w:cantSplit/>
        </w:trPr>
        <w:tc>
          <w:tcPr>
            <w:tcW w:type="dxa" w:w="323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production company با پروژهٔ پیوسته</w:t>
            </w:r>
          </w:p>
        </w:tc>
        <w:tc>
          <w:tcPr>
            <w:tcW w:type="dxa" w:w="340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team تکرارشونده و archive ارزشمند دارد.</w:t>
            </w:r>
          </w:p>
        </w:tc>
        <w:tc>
          <w:tcPr>
            <w:tcW w:type="dxa" w:w="323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annual workspace با archive/role/offline tier.</w:t>
            </w:r>
          </w:p>
        </w:tc>
      </w:tr>
    </w:tbl>
    <w:p/>
    <w:p>
      <w:pPr>
        <w:pStyle w:val="Heading2"/>
        <w:spacing w:after="120" w:before="200" w:line="276" w:lineRule="auto"/>
        <w:jc w:val="right"/>
        <w:bidi w:val="1"/>
      </w:pPr>
      <w:r>
        <w:rPr>
          <w:rFonts w:ascii="B Zar" w:hAnsi="B Zar" w:cs="B Zar" w:eastAsia="B Zar"/>
          <w:b/>
          <w:color w:val="1F7A70"/>
          <w:sz w:val="27"/>
        </w:rPr>
        <w:t>۵. MVP، ریسک و اعتبارسنجی</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3572"/>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MVP آزمون</w:t>
            </w:r>
          </w:p>
        </w:tc>
        <w:tc>
          <w:tcPr>
            <w:tcW w:type="dxa" w:w="3118"/>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Non-goal</w:t>
            </w:r>
          </w:p>
        </w:tc>
        <w:tc>
          <w:tcPr>
            <w:tcW w:type="dxa" w:w="317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KPI اولیه</w:t>
            </w:r>
          </w:p>
        </w:tc>
      </w:tr>
      <w:tr>
        <w:trPr>
          <w:cantSplit/>
        </w:trPr>
        <w:tc>
          <w:tcPr>
            <w:tcW w:type="dxa" w:w="357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character/scene/look/item؛ عکس tagged؛ inventory/status/location؛ fitting؛ repair/laundry/damage/duplicate؛ wrap export؛ mobile offline queue.</w:t>
            </w:r>
          </w:p>
        </w:tc>
        <w:tc>
          <w:tcPr>
            <w:tcW w:type="dxa" w:w="311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call-sheet/crew/payroll کامل، rental marketplace، script editor، AI image generation یا ERP studio.</w:t>
            </w:r>
          </w:p>
        </w:tc>
        <w:tc>
          <w:tcPr>
            <w:tcW w:type="dxa" w:w="317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 look با عکس/notes قابل بازیابی؛ زمان یافتن item؛ adoption روزانه؛ کامل‌بودن wrap؛ پروژه/renewal.</w:t>
            </w:r>
          </w:p>
        </w:tc>
      </w:tr>
    </w:tbl>
    <w:p/>
    <w:tbl>
      <w:tblPr>
        <w:tblW w:type="auto" w:w="0"/>
        <w:jc w:val="center"/>
        <w:tblLayout w:type="fixed"/>
        <w:tblLook w:firstColumn="1" w:firstRow="1" w:lastColumn="0" w:lastRow="0" w:noHBand="0" w:noVBand="1" w:val="04A0"/>
        <w:bidiVisual w:val="1"/>
      </w:tblPr>
      <w:tblGrid>
        <w:gridCol w:w="4933"/>
        <w:gridCol w:w="4933"/>
      </w:tblGrid>
      <w:tr>
        <w:trPr>
          <w:tblHeader w:val="true"/>
        </w:trPr>
        <w:tc>
          <w:tcPr>
            <w:tcW w:type="dxa" w:w="3402"/>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ریسک</w:t>
            </w:r>
          </w:p>
        </w:tc>
        <w:tc>
          <w:tcPr>
            <w:tcW w:type="dxa" w:w="6463"/>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گیت اعتبارسنجی</w:t>
            </w:r>
          </w:p>
        </w:tc>
      </w:tr>
      <w:tr>
        <w:trPr>
          <w:cantSplit/>
        </w:trPr>
        <w:tc>
          <w:tcPr>
            <w:tcW w:type="dxa" w:w="340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بازار داخلی برای SaaS مستقل کوچک باشد</w:t>
            </w:r>
          </w:p>
        </w:tc>
        <w:tc>
          <w:tcPr>
            <w:tcW w:type="dxa" w:w="6463"/>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بررسی density پروژه و willingness per project؛ اگر لازم بود فقط بعد از evidence، توسعه منطقه‌ای بررسی شود.</w:t>
            </w:r>
          </w:p>
        </w:tc>
      </w:tr>
      <w:tr>
        <w:trPr>
          <w:cantSplit/>
        </w:trPr>
        <w:tc>
          <w:tcPr>
            <w:tcW w:type="dxa" w:w="3402"/>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کاربر set در موبایل/آفلاین tool جدید را نپذیرد</w:t>
            </w:r>
          </w:p>
        </w:tc>
        <w:tc>
          <w:tcPr>
            <w:tcW w:type="dxa" w:w="6463"/>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prototype در روز shoot با set costumer؛ اندازه‌گیری usage و سرعت retrieval.</w:t>
            </w:r>
          </w:p>
        </w:tc>
      </w:tr>
      <w:tr>
        <w:trPr>
          <w:cantSplit/>
        </w:trPr>
        <w:tc>
          <w:tcPr>
            <w:tcW w:type="dxa" w:w="340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buyer/user mismatch</w:t>
            </w:r>
          </w:p>
        </w:tc>
        <w:tc>
          <w:tcPr>
            <w:tcW w:type="dxa" w:w="6463"/>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مصاحبهٔ جداگانه با costume supervisor و line producer؛ budget/authority ثبت شود.</w:t>
            </w:r>
          </w:p>
        </w:tc>
      </w:tr>
      <w:tr>
        <w:trPr>
          <w:cantSplit/>
        </w:trPr>
        <w:tc>
          <w:tcPr>
            <w:tcW w:type="dxa" w:w="3402"/>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scope creep به full production management</w:t>
            </w:r>
          </w:p>
        </w:tc>
        <w:tc>
          <w:tcPr>
            <w:tcW w:type="dxa" w:w="6463"/>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metric محصول فقط look/asset/continuity/wrap بماند.</w:t>
            </w:r>
          </w:p>
        </w:tc>
      </w:tr>
      <w:tr>
        <w:trPr>
          <w:cantSplit/>
        </w:trPr>
        <w:tc>
          <w:tcPr>
            <w:tcW w:type="dxa" w:w="340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privacy تصاویر/اندازه بازیگر</w:t>
            </w:r>
          </w:p>
        </w:tc>
        <w:tc>
          <w:tcPr>
            <w:tcW w:type="dxa" w:w="6463"/>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role permissions، retention policy و review قراردادی پیش از pilot.</w:t>
            </w:r>
          </w:p>
        </w:tc>
      </w:tr>
    </w:tbl>
    <w:p/>
    <w:p>
      <w:pPr>
        <w:spacing w:after="140" w:before="0" w:line="341" w:lineRule="auto"/>
        <w:jc w:val="right"/>
        <w:bidi w:val="1"/>
      </w:pPr>
      <w:r>
        <w:rPr>
          <w:rFonts w:ascii="B Zar" w:hAnsi="B Zar" w:cs="B Zar" w:eastAsia="B Zar"/>
          <w:b w:val="0"/>
          <w:color w:val="263238"/>
          <w:sz w:val="22"/>
        </w:rPr>
        <w:t>طرح تحقیق: ۱۲ تا ۱۵ مصاحبه با costume designer/supervisor، set costumer، line producer، rental/tailor/laundry و منشی صحنه. دو pilot پروژه‌ای؛ در هر مورد artifact واقعی continuity book، عکس‌ها، inventory، repair/duplicate و wrap بررسی شود. hard kill اگر تیم‌ها دفتر/گالری را کافی بدانند، producer بودجه ندهد، mobile/offline adoption شکست بخورد یا project density کمتر از thesis باشد.</w:t>
      </w:r>
    </w:p>
    <w:p>
      <w:pPr>
        <w:pStyle w:val="Heading2"/>
        <w:spacing w:after="120" w:before="200" w:line="276" w:lineRule="auto"/>
        <w:jc w:val="right"/>
        <w:bidi w:val="1"/>
      </w:pPr>
      <w:r>
        <w:rPr>
          <w:rFonts w:ascii="B Zar" w:hAnsi="B Zar" w:cs="B Zar" w:eastAsia="B Zar"/>
          <w:b/>
          <w:color w:val="1F7A70"/>
          <w:sz w:val="27"/>
        </w:rPr>
        <w:t>۶. verdict desk-research</w:t>
      </w:r>
    </w:p>
    <w:tbl>
      <w:tblPr>
        <w:tblW w:type="auto" w:w="0"/>
        <w:jc w:val="center"/>
        <w:tblLook w:firstColumn="1" w:firstRow="1" w:lastColumn="0" w:lastRow="0" w:noHBand="0" w:noVBand="1" w:val="04A0"/>
        <w:bidiVisual w:val="1"/>
      </w:tblPr>
      <w:tblGrid>
        <w:gridCol w:w="9866"/>
      </w:tblGrid>
      <w:tr>
        <w:tc>
          <w:tcPr>
            <w:tcW w:type="dxa" w:w="9866"/>
            <w:vAlign w:val="center"/>
            <w:tcMar>
              <w:top w:w="75" w:type="dxa"/>
              <w:start w:w="75" w:type="dxa"/>
              <w:bottom w:w="75" w:type="dxa"/>
              <w:end w:w="75" w:type="dxa"/>
            </w:tcMar>
            <w:shd w:fill="FFF3D6"/>
            <w:tcBorders>
              <w:top w:val="single" w:sz="8" w:color="8A6100"/>
              <w:bottom w:val="single" w:sz="3" w:color="D9E0E7"/>
              <w:left w:val="single" w:sz="3" w:color="D9E0E7"/>
              <w:right w:val="single" w:sz="3" w:color="D9E0E7"/>
            </w:tcBorders>
          </w:tcPr>
          <w:p>
            <w:pPr>
              <w:spacing w:after="60" w:before="0" w:line="288" w:lineRule="auto"/>
              <w:jc w:val="right"/>
              <w:bidi w:val="1"/>
            </w:pPr>
            <w:r/>
            <w:r>
              <w:rPr>
                <w:rFonts w:ascii="B Zar" w:hAnsi="B Zar" w:cs="B Zar" w:eastAsia="B Zar"/>
                <w:b/>
                <w:color w:val="8A6100"/>
                <w:sz w:val="22"/>
              </w:rPr>
              <w:t>نتیجه: فعال برای اعتبارسنجی، نه Pass</w:t>
            </w:r>
          </w:p>
          <w:p>
            <w:pPr>
              <w:spacing w:after="40" w:before="0" w:line="324" w:lineRule="auto"/>
              <w:jc w:val="right"/>
              <w:bidi w:val="1"/>
            </w:pPr>
            <w:r>
              <w:rPr>
                <w:rFonts w:ascii="B Zar" w:hAnsi="B Zar" w:cs="B Zar" w:eastAsia="B Zar"/>
                <w:color w:val="263238"/>
                <w:sz w:val="21"/>
              </w:rPr>
              <w:t>چند ابزار جهانی costume-first و production-suite، category و data model آن را اعتبار می‌دهند. در ایران، ابزار دستی/عمومی substitute جدی هستند و اندازه/پرداخت معلوم نیست. محصول فقط با مدل پروژه‌محور، mobile/offline و تمرکز costume continuity می‌تواند آزمون شود؛ full production ERP نباید بازپیشنهاد شود.</w:t>
            </w:r>
          </w:p>
        </w:tc>
      </w:tr>
    </w:tbl>
    <w:p/>
    <w:p>
      <w:pPr>
        <w:pStyle w:val="Heading2"/>
        <w:spacing w:after="120" w:before="200" w:line="276" w:lineRule="auto"/>
        <w:jc w:val="right"/>
        <w:bidi w:val="1"/>
      </w:pPr>
      <w:r>
        <w:rPr>
          <w:rFonts w:ascii="B Zar" w:hAnsi="B Zar" w:cs="B Zar" w:eastAsia="B Zar"/>
          <w:b/>
          <w:color w:val="1F7A70"/>
          <w:sz w:val="27"/>
        </w:rPr>
        <w:t>منابع پرونده F-02</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119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کد</w:t>
            </w:r>
          </w:p>
        </w:tc>
        <w:tc>
          <w:tcPr>
            <w:tcW w:type="dxa" w:w="1304"/>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رتبه</w:t>
            </w:r>
          </w:p>
        </w:tc>
        <w:tc>
          <w:tcPr>
            <w:tcW w:type="dxa" w:w="7370"/>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منبع و پیوند</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F02-S01</w:t>
            </w:r>
          </w:p>
        </w:tc>
        <w:tc>
          <w:tcPr>
            <w:tcW w:type="dxa" w:w="130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w:t>
            </w:r>
          </w:p>
        </w:tc>
        <w:tc>
          <w:tcPr>
            <w:tcW w:type="dxa" w:w="7370"/>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SyncOnSet for Costumes — https://www.synconset.com/home/customer-resources/synconset-for-costumes/</w:t>
            </w:r>
          </w:p>
        </w:tc>
      </w:tr>
      <w:tr>
        <w:trPr>
          <w:cantSplit/>
        </w:trPr>
        <w:tc>
          <w:tcPr>
            <w:tcW w:type="dxa" w:w="11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F02-S02</w:t>
            </w:r>
          </w:p>
        </w:tc>
        <w:tc>
          <w:tcPr>
            <w:tcW w:type="dxa" w:w="130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w:t>
            </w:r>
          </w:p>
        </w:tc>
        <w:tc>
          <w:tcPr>
            <w:tcW w:type="dxa" w:w="7370"/>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Entertainment Partners / SyncOnSet — https://www.ep.com/synconset/</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F02-S03</w:t>
            </w:r>
          </w:p>
        </w:tc>
        <w:tc>
          <w:tcPr>
            <w:tcW w:type="dxa" w:w="130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B / trade press</w:t>
            </w:r>
          </w:p>
        </w:tc>
        <w:tc>
          <w:tcPr>
            <w:tcW w:type="dxa" w:w="7370"/>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Variety, SyncOnSet App — https://variety.com/2016/artisans/production/synconset-game-of-thrones-1201892783/</w:t>
            </w:r>
          </w:p>
        </w:tc>
      </w:tr>
      <w:tr>
        <w:trPr>
          <w:cantSplit/>
        </w:trPr>
        <w:tc>
          <w:tcPr>
            <w:tcW w:type="dxa" w:w="11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F02-S04</w:t>
            </w:r>
          </w:p>
        </w:tc>
        <w:tc>
          <w:tcPr>
            <w:tcW w:type="dxa" w:w="130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w:t>
            </w:r>
          </w:p>
        </w:tc>
        <w:tc>
          <w:tcPr>
            <w:tcW w:type="dxa" w:w="7370"/>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Dramatify Wardrobe — https://dramatify.com/features/wardrobe-for-tv-and-film</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F02-S05</w:t>
            </w:r>
          </w:p>
        </w:tc>
        <w:tc>
          <w:tcPr>
            <w:tcW w:type="dxa" w:w="130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vendor</w:t>
            </w:r>
          </w:p>
        </w:tc>
        <w:tc>
          <w:tcPr>
            <w:tcW w:type="dxa" w:w="7370"/>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Ready4Set FAQ — https://ready4set.com/faq/</w:t>
            </w:r>
          </w:p>
        </w:tc>
      </w:tr>
      <w:tr>
        <w:trPr>
          <w:cantSplit/>
        </w:trPr>
        <w:tc>
          <w:tcPr>
            <w:tcW w:type="dxa" w:w="11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F02-S06</w:t>
            </w:r>
          </w:p>
        </w:tc>
        <w:tc>
          <w:tcPr>
            <w:tcW w:type="dxa" w:w="130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media</w:t>
            </w:r>
          </w:p>
        </w:tc>
        <w:tc>
          <w:tcPr>
            <w:tcW w:type="dxa" w:w="7370"/>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شهرآرا، سریال‌های ۱۴۰۴ — https://shahraranews.ir/fa/news/316667/</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F02-S07</w:t>
            </w:r>
          </w:p>
        </w:tc>
        <w:tc>
          <w:tcPr>
            <w:tcW w:type="dxa" w:w="130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C / career guide</w:t>
            </w:r>
          </w:p>
        </w:tc>
        <w:tc>
          <w:tcPr>
            <w:tcW w:type="dxa" w:w="7370"/>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5"/>
              </w:rPr>
              <w:t>مسیر ایرانی، منشی صحنه — https://iranianpath.com/jobs/Secretary-scene/شغل-منشی-صحنه-درآمد-بازارکار-حقوق-استخدام2300.html</w:t>
            </w:r>
          </w:p>
        </w:tc>
      </w:tr>
    </w:tbl>
    <w:p/>
    <w:p>
      <w:r>
        <w:br w:type="page"/>
      </w:r>
    </w:p>
    <w:p>
      <w:pPr>
        <w:pStyle w:val="Heading1"/>
        <w:spacing w:after="120" w:before="300" w:line="276" w:lineRule="auto"/>
        <w:jc w:val="right"/>
        <w:bidi w:val="1"/>
      </w:pPr>
      <w:r>
        <w:rPr>
          <w:rFonts w:ascii="B Zar" w:hAnsi="B Zar" w:cs="B Zar" w:eastAsia="B Zar"/>
          <w:b/>
          <w:color w:val="1F3A5F"/>
          <w:sz w:val="32"/>
        </w:rPr>
        <w:t>F-03. Tech Pack تا تأیید نمونه و قفل انتشار تولید انبوه</w:t>
      </w:r>
    </w:p>
    <w:tbl>
      <w:tblPr>
        <w:tblW w:type="auto" w:w="0"/>
        <w:jc w:val="center"/>
        <w:tblLook w:firstColumn="1" w:firstRow="1" w:lastColumn="0" w:lastRow="0" w:noHBand="0" w:noVBand="1" w:val="04A0"/>
        <w:bidiVisual w:val="1"/>
      </w:tblPr>
      <w:tblGrid>
        <w:gridCol w:w="9866"/>
      </w:tblGrid>
      <w:tr>
        <w:tc>
          <w:tcPr>
            <w:tcW w:type="dxa" w:w="9866"/>
            <w:vAlign w:val="center"/>
            <w:tcMar>
              <w:top w:w="75" w:type="dxa"/>
              <w:start w:w="75" w:type="dxa"/>
              <w:bottom w:w="75" w:type="dxa"/>
              <w:end w:w="75" w:type="dxa"/>
            </w:tcMar>
            <w:shd w:fill="FFF3D6"/>
            <w:tcBorders>
              <w:top w:val="single" w:sz="8" w:color="8A6100"/>
              <w:bottom w:val="single" w:sz="3" w:color="D9E0E7"/>
              <w:left w:val="single" w:sz="3" w:color="D9E0E7"/>
              <w:right w:val="single" w:sz="3" w:color="D9E0E7"/>
            </w:tcBorders>
          </w:tcPr>
          <w:p>
            <w:pPr>
              <w:spacing w:after="60" w:before="0" w:line="288" w:lineRule="auto"/>
              <w:jc w:val="right"/>
              <w:bidi w:val="1"/>
            </w:pPr>
            <w:r/>
            <w:r>
              <w:rPr>
                <w:rFonts w:ascii="B Zar" w:hAnsi="B Zar" w:cs="B Zar" w:eastAsia="B Zar"/>
                <w:b/>
                <w:color w:val="8A6100"/>
                <w:sz w:val="22"/>
              </w:rPr>
              <w:t>کارت تصمیم — وضعیت: Watch / فرضیهٔ مشروط</w:t>
            </w:r>
          </w:p>
          <w:p>
            <w:pPr>
              <w:spacing w:after="40" w:before="0" w:line="324" w:lineRule="auto"/>
              <w:jc w:val="right"/>
              <w:bidi w:val="1"/>
            </w:pPr>
            <w:r>
              <w:rPr>
                <w:rFonts w:ascii="B Zar" w:hAnsi="B Zar" w:cs="B Zar" w:eastAsia="B Zar"/>
                <w:color w:val="263238"/>
                <w:sz w:val="21"/>
              </w:rPr>
              <w:t>بازار B2B | Buyer فرضی: product-development/technical manager یا founder | User: technical designer، patternmaker، sample room و factory liaison. thesis فقط record نسخه‌دار از Tech Pack → sample/fit feedback → approval → immutable bulk-release است؛ full PLM/ERP، CAD/3D، marketplace یا production execution نیست.</w:t>
            </w:r>
          </w:p>
        </w:tc>
      </w:tr>
    </w:tbl>
    <w:p/>
    <w:p>
      <w:pPr>
        <w:pStyle w:val="Heading2"/>
        <w:spacing w:after="120" w:before="200" w:line="276" w:lineRule="auto"/>
        <w:jc w:val="right"/>
        <w:bidi w:val="1"/>
      </w:pPr>
      <w:r>
        <w:rPr>
          <w:rFonts w:ascii="B Zar" w:hAnsi="B Zar" w:cs="B Zar" w:eastAsia="B Zar"/>
          <w:b/>
          <w:color w:val="1F7A70"/>
          <w:sz w:val="27"/>
        </w:rPr>
        <w:t>۱. مسئله و نقطهٔ handoff</w:t>
      </w:r>
    </w:p>
    <w:p>
      <w:pPr>
        <w:spacing w:after="140" w:before="0" w:line="341" w:lineRule="auto"/>
        <w:jc w:val="right"/>
        <w:bidi w:val="1"/>
      </w:pPr>
      <w:r>
        <w:rPr>
          <w:rFonts w:ascii="B Zar" w:hAnsi="B Zar" w:cs="B Zar" w:eastAsia="B Zar"/>
          <w:b w:val="0"/>
          <w:color w:val="263238"/>
          <w:sz w:val="22"/>
        </w:rPr>
        <w:t>Tech Pack تنها PDF طراحی نیست؛ specification/contract فنی برای ساخت لباس است و معمولاً flat، POM/اندازه، BOM، construction، material/color، size/grade، finishing، packaging و approval log را در بر می‌گیرد. [F03-S01] thesis این پرونده می‌گوید مشکل ممکن است در «انتقال تصمیم تأییدشده از نمونه به bulk» نهفته باشد: factory نسخهٔ قدیمی دارد، fit comment در thread گم می‌شود یا BOM/release همگام نیست. این فرضیه برای ایران هنوز نیازمند artifact واقعی است.</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1814"/>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مرحله</w:t>
            </w:r>
          </w:p>
        </w:tc>
        <w:tc>
          <w:tcPr>
            <w:tcW w:type="dxa" w:w="453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record نسخه‌دار مورد نیاز</w:t>
            </w:r>
          </w:p>
        </w:tc>
        <w:tc>
          <w:tcPr>
            <w:tcW w:type="dxa" w:w="351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مرز با ابزارهای دیگر</w:t>
            </w:r>
          </w:p>
        </w:tc>
      </w:tr>
      <w:tr>
        <w:trPr>
          <w:cantSplit/>
        </w:trPr>
        <w:tc>
          <w:tcPr>
            <w:tcW w:type="dxa" w:w="181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Tech Pack/BOM</w:t>
            </w:r>
          </w:p>
        </w:tc>
        <w:tc>
          <w:tcPr>
            <w:tcW w:type="dxa" w:w="453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style card، flat، POM، BOM، materials/trims و revision.</w:t>
            </w:r>
          </w:p>
        </w:tc>
        <w:tc>
          <w:tcPr>
            <w:tcW w:type="dxa" w:w="351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CAD/pattern نهایی را تولید نمی‌کند؛ فقط reference approved را نگه می‌دارد.</w:t>
            </w:r>
          </w:p>
        </w:tc>
      </w:tr>
      <w:tr>
        <w:trPr>
          <w:cantSplit/>
        </w:trPr>
        <w:tc>
          <w:tcPr>
            <w:tcW w:type="dxa" w:w="181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Sample/Fit</w:t>
            </w:r>
          </w:p>
        </w:tc>
        <w:tc>
          <w:tcPr>
            <w:tcW w:type="dxa" w:w="453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round، عکس، annotation، comment، owner، due date و decision.</w:t>
            </w:r>
          </w:p>
        </w:tc>
        <w:tc>
          <w:tcPr>
            <w:tcW w:type="dxa" w:w="351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QC خط یا production schedule نیست.</w:t>
            </w:r>
          </w:p>
        </w:tc>
      </w:tr>
      <w:tr>
        <w:trPr>
          <w:cantSplit/>
        </w:trPr>
        <w:tc>
          <w:tcPr>
            <w:tcW w:type="dxa" w:w="181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Approval</w:t>
            </w:r>
          </w:p>
        </w:tc>
        <w:tc>
          <w:tcPr>
            <w:tcW w:type="dxa" w:w="453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تصمیم، approver، timestamp و reason.</w:t>
            </w:r>
          </w:p>
        </w:tc>
        <w:tc>
          <w:tcPr>
            <w:tcW w:type="dxa" w:w="351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صرفاً chat یا file upload نیست؛ audit trail است.</w:t>
            </w:r>
          </w:p>
        </w:tc>
      </w:tr>
      <w:tr>
        <w:trPr>
          <w:cantSplit/>
        </w:trPr>
        <w:tc>
          <w:tcPr>
            <w:tcW w:type="dxa" w:w="181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Bulk release</w:t>
            </w:r>
          </w:p>
        </w:tc>
        <w:tc>
          <w:tcPr>
            <w:tcW w:type="dxa" w:w="453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snapshot immutable و acknowledgement کارگاه.</w:t>
            </w:r>
          </w:p>
        </w:tc>
        <w:tc>
          <w:tcPr>
            <w:tcW w:type="dxa" w:w="351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ERP/PO/MRP یا کنترل ظرفیت کارخانه نیست.</w:t>
            </w:r>
          </w:p>
        </w:tc>
      </w:tr>
    </w:tbl>
    <w:p/>
    <w:p>
      <w:pPr>
        <w:pStyle w:val="Heading2"/>
        <w:spacing w:after="120" w:before="200" w:line="276" w:lineRule="auto"/>
        <w:jc w:val="right"/>
        <w:bidi w:val="1"/>
      </w:pPr>
      <w:r>
        <w:rPr>
          <w:rFonts w:ascii="B Zar" w:hAnsi="B Zar" w:cs="B Zar" w:eastAsia="B Zar"/>
          <w:b/>
          <w:color w:val="1F7A70"/>
          <w:sz w:val="27"/>
        </w:rPr>
        <w:t>۲. شواهد جهانی و spectrum محصول</w:t>
      </w:r>
    </w:p>
    <w:p>
      <w:pPr>
        <w:spacing w:after="140" w:before="0" w:line="341" w:lineRule="auto"/>
        <w:jc w:val="right"/>
        <w:bidi w:val="1"/>
      </w:pPr>
      <w:r>
        <w:rPr>
          <w:rFonts w:ascii="B Zar" w:hAnsi="B Zar" w:cs="B Zar" w:eastAsia="B Zar"/>
          <w:b w:val="0"/>
          <w:color w:val="263238"/>
          <w:sz w:val="22"/>
        </w:rPr>
        <w:t>Techpacker version control، share/export، factory portal، comments و stages را عرضه می‌کند. [F03-S02] Delogue product data، BOM، sample status، comment/files/approvals و supplier communication را حول style record نگه می‌دارد و از ۳۰۰+ brand در ۷۴ کشور نام می‌برد؛ این scale، vendor claim است. [F03-S04][F03-S05] Uphance نیز tech pack/BOM/sample/approval/version history را با لایهٔ operational متصل می‌کند. [F03-S06]</w:t>
      </w:r>
    </w:p>
    <w:tbl>
      <w:tblPr>
        <w:tblW w:type="auto" w:w="0"/>
        <w:jc w:val="center"/>
        <w:tblLayout w:type="fixed"/>
        <w:tblLook w:firstColumn="1" w:firstRow="1" w:lastColumn="0" w:lastRow="0" w:noHBand="0" w:noVBand="1" w:val="04A0"/>
        <w:bidiVisual w:val="1"/>
      </w:tblPr>
      <w:tblGrid>
        <w:gridCol w:w="2466"/>
        <w:gridCol w:w="2466"/>
        <w:gridCol w:w="2466"/>
        <w:gridCol w:w="2466"/>
      </w:tblGrid>
      <w:tr>
        <w:trPr>
          <w:tblHeader w:val="true"/>
        </w:trPr>
        <w:tc>
          <w:tcPr>
            <w:tcW w:type="dxa" w:w="170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لایه</w:t>
            </w:r>
          </w:p>
        </w:tc>
        <w:tc>
          <w:tcPr>
            <w:tcW w:type="dxa" w:w="2268"/>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نمونه</w:t>
            </w:r>
          </w:p>
        </w:tc>
        <w:tc>
          <w:tcPr>
            <w:tcW w:type="dxa" w:w="317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مسئله‌ای که حل می‌کند</w:t>
            </w:r>
          </w:p>
        </w:tc>
        <w:tc>
          <w:tcPr>
            <w:tcW w:type="dxa" w:w="272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درس برای thesis</w:t>
            </w:r>
          </w:p>
        </w:tc>
      </w:tr>
      <w:tr>
        <w:trPr>
          <w:cantSplit/>
        </w:trPr>
        <w:tc>
          <w:tcPr>
            <w:tcW w:type="dxa" w:w="170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ابزار سبک</w:t>
            </w:r>
          </w:p>
        </w:tc>
        <w:tc>
          <w:tcPr>
            <w:tcW w:type="dxa" w:w="226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Techpacker</w:t>
            </w:r>
          </w:p>
        </w:tc>
        <w:tc>
          <w:tcPr>
            <w:tcW w:type="dxa" w:w="317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spec/BOM، revision، comment، share و sample stage.</w:t>
            </w:r>
          </w:p>
        </w:tc>
        <w:tc>
          <w:tcPr>
            <w:tcW w:type="dxa" w:w="272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document collaboration می‌تواند محصول مستقل باشد؛ full-suite لازم نیست.</w:t>
            </w:r>
          </w:p>
        </w:tc>
      </w:tr>
      <w:tr>
        <w:trPr>
          <w:cantSplit/>
        </w:trPr>
        <w:tc>
          <w:tcPr>
            <w:tcW w:type="dxa" w:w="170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fashion PLM</w:t>
            </w:r>
          </w:p>
        </w:tc>
        <w:tc>
          <w:tcPr>
            <w:tcW w:type="dxa" w:w="2268"/>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Delogue</w:t>
            </w:r>
          </w:p>
        </w:tc>
        <w:tc>
          <w:tcPr>
            <w:tcW w:type="dxa" w:w="317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supplier collaboration و shared current product record.</w:t>
            </w:r>
          </w:p>
        </w:tc>
        <w:tc>
          <w:tcPr>
            <w:tcW w:type="dxa" w:w="272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approval و change history باید به style وصل بماند.</w:t>
            </w:r>
          </w:p>
        </w:tc>
      </w:tr>
      <w:tr>
        <w:trPr>
          <w:cantSplit/>
        </w:trPr>
        <w:tc>
          <w:tcPr>
            <w:tcW w:type="dxa" w:w="170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PLM/ERP connected</w:t>
            </w:r>
          </w:p>
        </w:tc>
        <w:tc>
          <w:tcPr>
            <w:tcW w:type="dxa" w:w="226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Uphance / WFX / Centric</w:t>
            </w:r>
          </w:p>
        </w:tc>
        <w:tc>
          <w:tcPr>
            <w:tcW w:type="dxa" w:w="317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product development تا operations در یک data spine.</w:t>
            </w:r>
          </w:p>
        </w:tc>
        <w:tc>
          <w:tcPr>
            <w:tcW w:type="dxa" w:w="272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ورود به این scope با reject قبلی ERP/PLM و هزینه implementation ناسازگار است.</w:t>
            </w:r>
          </w:p>
        </w:tc>
      </w:tr>
    </w:tbl>
    <w:p/>
    <w:p>
      <w:pPr>
        <w:spacing w:after="140" w:before="0" w:line="341" w:lineRule="auto"/>
        <w:jc w:val="right"/>
        <w:bidi w:val="1"/>
      </w:pPr>
      <w:r>
        <w:rPr>
          <w:rFonts w:ascii="B Zar" w:hAnsi="B Zar" w:cs="B Zar" w:eastAsia="B Zar"/>
          <w:b w:val="0"/>
          <w:color w:val="263238"/>
          <w:sz w:val="22"/>
        </w:rPr>
        <w:t>نتیجهٔ جهانی: category واقعی و بالغ است. بنابراین «ساخت PLM ایرانی» فرصت تازه نیست؛ تنها سؤال مجاز، وجود یک handoff narrow با data/adoption نیازهای محلی است.</w:t>
      </w:r>
    </w:p>
    <w:p>
      <w:pPr>
        <w:pStyle w:val="Heading2"/>
        <w:spacing w:after="120" w:before="200" w:line="276" w:lineRule="auto"/>
        <w:jc w:val="right"/>
        <w:bidi w:val="1"/>
      </w:pPr>
      <w:r>
        <w:rPr>
          <w:rFonts w:ascii="B Zar" w:hAnsi="B Zar" w:cs="B Zar" w:eastAsia="B Zar"/>
          <w:b/>
          <w:color w:val="1F7A70"/>
          <w:sz w:val="27"/>
        </w:rPr>
        <w:t>۳. ایران و جایگزین واقعی</w:t>
      </w:r>
    </w:p>
    <w:p>
      <w:pPr>
        <w:spacing w:after="140" w:before="0" w:line="341" w:lineRule="auto"/>
        <w:jc w:val="right"/>
        <w:bidi w:val="1"/>
      </w:pPr>
      <w:r>
        <w:rPr>
          <w:rFonts w:ascii="B Zar" w:hAnsi="B Zar" w:cs="B Zar" w:eastAsia="B Zar"/>
          <w:b w:val="0"/>
          <w:color w:val="263238"/>
          <w:sz w:val="22"/>
        </w:rPr>
        <w:t>در ایران، Illustrator و Tech Pack به‌عنوان مهارت/فرآیند شناخته شده‌اند. [F03-S07] روچی اسمارت نمونه‌دوزی، اصلاح تا تأیید، پارچه/خرجکار و تولید را به‌صورت managed service ارائه می‌کند. [F03-S08] نرم‌افزارهای تولید پوشاک محلی نیز BOM، مواد، تولید، stock، costing یا QC را عرضه می‌کنند. [F03-S09–S12] بنابراین نبود یک SaaS مشخص در جست‌وجوی عمومی، به‌تنهایی gap نیست.</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1928"/>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substitute</w:t>
            </w:r>
          </w:p>
        </w:tc>
        <w:tc>
          <w:tcPr>
            <w:tcW w:type="dxa" w:w="3572"/>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قدرت فعلی</w:t>
            </w:r>
          </w:p>
        </w:tc>
        <w:tc>
          <w:tcPr>
            <w:tcW w:type="dxa" w:w="436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failure mode لازم برای اثبات</w:t>
            </w:r>
          </w:p>
        </w:tc>
      </w:tr>
      <w:tr>
        <w:trPr>
          <w:cantSplit/>
        </w:trPr>
        <w:tc>
          <w:tcPr>
            <w:tcW w:type="dxa" w:w="192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Excel/Illustrator/PDF</w:t>
            </w:r>
          </w:p>
        </w:tc>
        <w:tc>
          <w:tcPr>
            <w:tcW w:type="dxa" w:w="357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آشنا، منعطف، export-friendly و کم‌هزینه.</w:t>
            </w:r>
          </w:p>
        </w:tc>
        <w:tc>
          <w:tcPr>
            <w:tcW w:type="dxa" w:w="436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version drift، BOM قدیمی یا sample/approval مبهم که هزینهٔ واقعی دارد.</w:t>
            </w:r>
          </w:p>
        </w:tc>
      </w:tr>
      <w:tr>
        <w:trPr>
          <w:cantSplit/>
        </w:trPr>
        <w:tc>
          <w:tcPr>
            <w:tcW w:type="dxa" w:w="1928"/>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WhatsApp/Telegram/email/Drive</w:t>
            </w:r>
          </w:p>
        </w:tc>
        <w:tc>
          <w:tcPr>
            <w:tcW w:type="dxa" w:w="3572"/>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adoption و سرعت بالای ارتباط.</w:t>
            </w:r>
          </w:p>
        </w:tc>
        <w:tc>
          <w:tcPr>
            <w:tcW w:type="dxa" w:w="436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تصمیم/عکس به style/revision درست وصل نمی‌ماند و factory current release را نمی‌شناسد.</w:t>
            </w:r>
          </w:p>
        </w:tc>
      </w:tr>
      <w:tr>
        <w:trPr>
          <w:cantSplit/>
        </w:trPr>
        <w:tc>
          <w:tcPr>
            <w:tcW w:type="dxa" w:w="192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مدیر فنی/الگوساز</w:t>
            </w:r>
          </w:p>
        </w:tc>
        <w:tc>
          <w:tcPr>
            <w:tcW w:type="dxa" w:w="357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دانش tacit و حل‌مسئله سریع.</w:t>
            </w:r>
          </w:p>
        </w:tc>
        <w:tc>
          <w:tcPr>
            <w:tcW w:type="dxa" w:w="436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scale به فرد وابسته و audit/hand-off قابل تکرار نیست.</w:t>
            </w:r>
          </w:p>
        </w:tc>
      </w:tr>
      <w:tr>
        <w:trPr>
          <w:cantSplit/>
        </w:trPr>
        <w:tc>
          <w:tcPr>
            <w:tcW w:type="dxa" w:w="1928"/>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managed service روچی</w:t>
            </w:r>
          </w:p>
        </w:tc>
        <w:tc>
          <w:tcPr>
            <w:tcW w:type="dxa" w:w="3572"/>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بخشی از عملیات sample-to-production را از مشتری می‌گیرد.</w:t>
            </w:r>
          </w:p>
        </w:tc>
        <w:tc>
          <w:tcPr>
            <w:tcW w:type="dxa" w:w="436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software record مستقل یا multi-factory collaboration نمی‌سازد.</w:t>
            </w:r>
          </w:p>
        </w:tc>
      </w:tr>
      <w:tr>
        <w:trPr>
          <w:cantSplit/>
        </w:trPr>
        <w:tc>
          <w:tcPr>
            <w:tcW w:type="dxa" w:w="192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ERP تولید پوشاک</w:t>
            </w:r>
          </w:p>
        </w:tc>
        <w:tc>
          <w:tcPr>
            <w:tcW w:type="dxa" w:w="357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BOM، stock/cost/production/quality را پوشش می‌دهد.</w:t>
            </w:r>
          </w:p>
        </w:tc>
        <w:tc>
          <w:tcPr>
            <w:tcW w:type="dxa" w:w="436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design-to-sample approval workflow را با UX تخصصی باید در field audit سنجید.</w:t>
            </w:r>
          </w:p>
        </w:tc>
      </w:tr>
    </w:tbl>
    <w:p/>
    <w:p>
      <w:pPr>
        <w:pStyle w:val="Heading2"/>
        <w:spacing w:after="120" w:before="200" w:line="276" w:lineRule="auto"/>
        <w:jc w:val="right"/>
        <w:bidi w:val="1"/>
      </w:pPr>
      <w:r>
        <w:rPr>
          <w:rFonts w:ascii="B Zar" w:hAnsi="B Zar" w:cs="B Zar" w:eastAsia="B Zar"/>
          <w:b/>
          <w:color w:val="1F7A70"/>
          <w:sz w:val="27"/>
        </w:rPr>
        <w:t>۴. ICP، بازار و مدل</w:t>
      </w:r>
    </w:p>
    <w:p>
      <w:pPr>
        <w:spacing w:after="140" w:before="0" w:line="341" w:lineRule="auto"/>
        <w:jc w:val="right"/>
        <w:bidi w:val="1"/>
      </w:pPr>
      <w:r>
        <w:rPr>
          <w:rFonts w:ascii="B Zar" w:hAnsi="B Zar" w:cs="B Zar" w:eastAsia="B Zar"/>
          <w:b w:val="0"/>
          <w:color w:val="263238"/>
          <w:sz w:val="22"/>
        </w:rPr>
        <w:t>به‌دلیل نبود denominator عمومی قابل اعتماد، این پرونده در نسخهٔ desk-research بازار پولی را اندازه‌گذاری نمی‌کند. روش bottom-up لازم: تعداد برندهای دارای ۱۵–۲۰+ style فعال، بیش از یک round sample و بیش از یک factory × نرخ پذیرش × ARPA. این criteria، فرضیهٔ qualification است و باید در account mapping اصلاح شود.</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323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ICP فرضی</w:t>
            </w:r>
          </w:p>
        </w:tc>
        <w:tc>
          <w:tcPr>
            <w:tcW w:type="dxa" w:w="351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qualification</w:t>
            </w:r>
          </w:p>
        </w:tc>
        <w:tc>
          <w:tcPr>
            <w:tcW w:type="dxa" w:w="3005"/>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exclusion</w:t>
            </w:r>
          </w:p>
        </w:tc>
      </w:tr>
      <w:tr>
        <w:trPr>
          <w:cantSplit/>
        </w:trPr>
        <w:tc>
          <w:tcPr>
            <w:tcW w:type="dxa" w:w="323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برند چندکارگاهی با product/technical team</w:t>
            </w:r>
          </w:p>
        </w:tc>
        <w:tc>
          <w:tcPr>
            <w:tcW w:type="dxa" w:w="351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۱۵–۲۰+ style در season، بیش از یک sample round و multiple external factory.</w:t>
            </w:r>
          </w:p>
        </w:tc>
        <w:tc>
          <w:tcPr>
            <w:tcW w:type="dxa" w:w="300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مزون تک‌نفره یا کارگاه تک‌مدل که creator/factory یک نفر است.</w:t>
            </w:r>
          </w:p>
        </w:tc>
      </w:tr>
      <w:tr>
        <w:trPr>
          <w:cantSplit/>
        </w:trPr>
        <w:tc>
          <w:tcPr>
            <w:tcW w:type="dxa" w:w="323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تیم با approval رسمی</w:t>
            </w:r>
          </w:p>
        </w:tc>
        <w:tc>
          <w:tcPr>
            <w:tcW w:type="dxa" w:w="351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owner مشخص برای fit/release و incident version mismatch.</w:t>
            </w:r>
          </w:p>
        </w:tc>
        <w:tc>
          <w:tcPr>
            <w:tcW w:type="dxa" w:w="3005"/>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تیمی که هیچ تصمیم رسمی/ثبت‌شده‌ای قبل از bulk ندارد.</w:t>
            </w:r>
          </w:p>
        </w:tc>
      </w:tr>
      <w:tr>
        <w:trPr>
          <w:cantSplit/>
        </w:trPr>
        <w:tc>
          <w:tcPr>
            <w:tcW w:type="dxa" w:w="323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کارگاهی که digital acknowledgement می‌پذیرد</w:t>
            </w:r>
          </w:p>
        </w:tc>
        <w:tc>
          <w:tcPr>
            <w:tcW w:type="dxa" w:w="351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قابلیت بازکردن snapshot/link و اعلام دریافت.</w:t>
            </w:r>
          </w:p>
        </w:tc>
        <w:tc>
          <w:tcPr>
            <w:tcW w:type="dxa" w:w="3005"/>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کارگاهی که هر record مستقل را رد و فقط فایل آزاد می‌خواهد.</w:t>
            </w:r>
          </w:p>
        </w:tc>
      </w:tr>
    </w:tbl>
    <w:p/>
    <w:p>
      <w:pPr>
        <w:spacing w:after="140" w:before="0" w:line="341" w:lineRule="auto"/>
        <w:jc w:val="right"/>
        <w:bidi w:val="1"/>
      </w:pPr>
      <w:r>
        <w:rPr>
          <w:rFonts w:ascii="B Zar" w:hAnsi="B Zar" w:cs="B Zar" w:eastAsia="B Zar"/>
          <w:b w:val="0"/>
          <w:color w:val="263238"/>
          <w:sz w:val="22"/>
        </w:rPr>
        <w:t>مدل قابل آزمون: workspace subscription بر اساس brand یا active style/season، collaborator محدود برای factory و paid onboarding/import. قیمت هنوز hypothesis است و باید به هزینهٔ یک sample round/خطای release یا زمان senior staff anchor شود؛ نه به قیمت خارجی تبدیل ارز شود.</w:t>
      </w:r>
    </w:p>
    <w:p>
      <w:pPr>
        <w:pStyle w:val="Heading2"/>
        <w:spacing w:after="120" w:before="200" w:line="276" w:lineRule="auto"/>
        <w:jc w:val="right"/>
        <w:bidi w:val="1"/>
      </w:pPr>
      <w:r>
        <w:rPr>
          <w:rFonts w:ascii="B Zar" w:hAnsi="B Zar" w:cs="B Zar" w:eastAsia="B Zar"/>
          <w:b/>
          <w:color w:val="1F7A70"/>
          <w:sz w:val="27"/>
        </w:rPr>
        <w:t>۵. MVP، ریسک و validation</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3628"/>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MVP آزمون</w:t>
            </w:r>
          </w:p>
        </w:tc>
        <w:tc>
          <w:tcPr>
            <w:tcW w:type="dxa" w:w="3288"/>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Non-goal</w:t>
            </w:r>
          </w:p>
        </w:tc>
        <w:tc>
          <w:tcPr>
            <w:tcW w:type="dxa" w:w="2948"/>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KPI اولیه</w:t>
            </w:r>
          </w:p>
        </w:tc>
      </w:tr>
      <w:tr>
        <w:trPr>
          <w:cantSplit/>
        </w:trPr>
        <w:tc>
          <w:tcPr>
            <w:tcW w:type="dxa" w:w="362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style/revision؛ POM/BOM؛ عکس/annotation نمونه؛ sample status؛ approval log؛ release snapshot؛ factory acknowledgement؛ import/export Excel/PDF.</w:t>
            </w:r>
          </w:p>
        </w:tc>
        <w:tc>
          <w:tcPr>
            <w:tcW w:type="dxa" w:w="328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CAD/3D، AI generator، sourcing marketplace، PO/warehouse/accounting، capacity/WIP، AQL/QC execution.</w:t>
            </w:r>
          </w:p>
        </w:tc>
        <w:tc>
          <w:tcPr>
            <w:tcW w:type="dxa" w:w="2948"/>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7"/>
              </w:rPr>
              <w:t>تعداد ambiguity/rework؛ زمان chasing approval؛ factory acknowledgement؛ stale version incident؛ pilot renewal.</w:t>
            </w:r>
          </w:p>
        </w:tc>
      </w:tr>
    </w:tbl>
    <w:p/>
    <w:tbl>
      <w:tblPr>
        <w:tblW w:type="auto" w:w="0"/>
        <w:jc w:val="center"/>
        <w:tblLayout w:type="fixed"/>
        <w:tblLook w:firstColumn="1" w:firstRow="1" w:lastColumn="0" w:lastRow="0" w:noHBand="0" w:noVBand="1" w:val="04A0"/>
        <w:bidiVisual w:val="1"/>
      </w:tblPr>
      <w:tblGrid>
        <w:gridCol w:w="4933"/>
        <w:gridCol w:w="4933"/>
      </w:tblGrid>
      <w:tr>
        <w:trPr>
          <w:tblHeader w:val="true"/>
        </w:trPr>
        <w:tc>
          <w:tcPr>
            <w:tcW w:type="dxa" w:w="3402"/>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ریسک کلیدی</w:t>
            </w:r>
          </w:p>
        </w:tc>
        <w:tc>
          <w:tcPr>
            <w:tcW w:type="dxa" w:w="6463"/>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گیت یا kill mechanism</w:t>
            </w:r>
          </w:p>
        </w:tc>
      </w:tr>
      <w:tr>
        <w:trPr>
          <w:cantSplit/>
        </w:trPr>
        <w:tc>
          <w:tcPr>
            <w:tcW w:type="dxa" w:w="340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Excel/WhatsApp کافی باشد</w:t>
            </w:r>
          </w:p>
        </w:tc>
        <w:tc>
          <w:tcPr>
            <w:tcW w:type="dxa" w:w="6463"/>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artifact-based interview برای سه style اخیر و مقایسه با cost/frequency خطا.</w:t>
            </w:r>
          </w:p>
        </w:tc>
      </w:tr>
      <w:tr>
        <w:trPr>
          <w:cantSplit/>
        </w:trPr>
        <w:tc>
          <w:tcPr>
            <w:tcW w:type="dxa" w:w="3402"/>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factory collaborator نشود</w:t>
            </w:r>
          </w:p>
        </w:tc>
        <w:tc>
          <w:tcPr>
            <w:tcW w:type="dxa" w:w="6463"/>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view-only link و acknowledgement ساده؛ usage واقعی شرط ادامه.</w:t>
            </w:r>
          </w:p>
        </w:tc>
      </w:tr>
      <w:tr>
        <w:trPr>
          <w:cantSplit/>
        </w:trPr>
        <w:tc>
          <w:tcPr>
            <w:tcW w:type="dxa" w:w="340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scope به full PLM/ERP expand شود</w:t>
            </w:r>
          </w:p>
        </w:tc>
        <w:tc>
          <w:tcPr>
            <w:tcW w:type="dxa" w:w="6463"/>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KPI فقط handoff accuracy/time تا bulk release؛ feature requests خارج از boundary backlog جدا.</w:t>
            </w:r>
          </w:p>
        </w:tc>
      </w:tr>
      <w:tr>
        <w:trPr>
          <w:cantSplit/>
        </w:trPr>
        <w:tc>
          <w:tcPr>
            <w:tcW w:type="dxa" w:w="3402"/>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حجم style برای SaaS ناکافی باشد</w:t>
            </w:r>
          </w:p>
        </w:tc>
        <w:tc>
          <w:tcPr>
            <w:tcW w:type="dxa" w:w="6463"/>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ICP filter و pilot پولی؛ نه broad SMB positioning.</w:t>
            </w:r>
          </w:p>
        </w:tc>
      </w:tr>
      <w:tr>
        <w:trPr>
          <w:cantSplit/>
        </w:trPr>
        <w:tc>
          <w:tcPr>
            <w:tcW w:type="dxa" w:w="3402"/>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data entry بار اضافه ایجاد کند</w:t>
            </w:r>
          </w:p>
        </w:tc>
        <w:tc>
          <w:tcPr>
            <w:tcW w:type="dxa" w:w="6463"/>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8"/>
              </w:rPr>
              <w:t>import از فایل فعلی و annotation سریع؛ ثبت دوگانه اندازه‌گیری شود.</w:t>
            </w:r>
          </w:p>
        </w:tc>
      </w:tr>
    </w:tbl>
    <w:p/>
    <w:p>
      <w:pPr>
        <w:spacing w:after="140" w:before="0" w:line="341" w:lineRule="auto"/>
        <w:jc w:val="right"/>
        <w:bidi w:val="1"/>
      </w:pPr>
      <w:r>
        <w:rPr>
          <w:rFonts w:ascii="B Zar" w:hAnsi="B Zar" w:cs="B Zar" w:eastAsia="B Zar"/>
          <w:b w:val="0"/>
          <w:color w:val="263238"/>
          <w:sz w:val="22"/>
        </w:rPr>
        <w:t>برنامهٔ تحقیق: ۱۵ مصاحبه artifact-based با product manager/founder، technical designer، pattern/sample-room، factory manager و production/sourcing coordinator. شرط pilot: دو برند، ۱۵–۲۰ style یا collection فعال، دو کارگاه external و ۶–۸ هفته pilot پولی. hard kill اگر دو pilot فروخته نشود، stale-version/sample mismatch هزینه‌دار نباشد، کارگاه acknowledgement ندهد یا اکثریت ICP از stack موجود رضایت کافی داشته باشند.</w:t>
      </w:r>
    </w:p>
    <w:p>
      <w:pPr>
        <w:pStyle w:val="Heading2"/>
        <w:spacing w:after="120" w:before="200" w:line="276" w:lineRule="auto"/>
        <w:jc w:val="right"/>
        <w:bidi w:val="1"/>
      </w:pPr>
      <w:r>
        <w:rPr>
          <w:rFonts w:ascii="B Zar" w:hAnsi="B Zar" w:cs="B Zar" w:eastAsia="B Zar"/>
          <w:b/>
          <w:color w:val="1F7A70"/>
          <w:sz w:val="27"/>
        </w:rPr>
        <w:t>۶. verdict desk-research</w:t>
      </w:r>
    </w:p>
    <w:tbl>
      <w:tblPr>
        <w:tblW w:type="auto" w:w="0"/>
        <w:jc w:val="center"/>
        <w:tblLook w:firstColumn="1" w:firstRow="1" w:lastColumn="0" w:lastRow="0" w:noHBand="0" w:noVBand="1" w:val="04A0"/>
        <w:bidiVisual w:val="1"/>
      </w:tblPr>
      <w:tblGrid>
        <w:gridCol w:w="9866"/>
      </w:tblGrid>
      <w:tr>
        <w:tc>
          <w:tcPr>
            <w:tcW w:type="dxa" w:w="9866"/>
            <w:vAlign w:val="center"/>
            <w:tcMar>
              <w:top w:w="75" w:type="dxa"/>
              <w:start w:w="75" w:type="dxa"/>
              <w:bottom w:w="75" w:type="dxa"/>
              <w:end w:w="75" w:type="dxa"/>
            </w:tcMar>
            <w:shd w:fill="FFF3D6"/>
            <w:tcBorders>
              <w:top w:val="single" w:sz="8" w:color="8A6100"/>
              <w:bottom w:val="single" w:sz="3" w:color="D9E0E7"/>
              <w:left w:val="single" w:sz="3" w:color="D9E0E7"/>
              <w:right w:val="single" w:sz="3" w:color="D9E0E7"/>
            </w:tcBorders>
          </w:tcPr>
          <w:p>
            <w:pPr>
              <w:spacing w:after="60" w:before="0" w:line="288" w:lineRule="auto"/>
              <w:jc w:val="right"/>
              <w:bidi w:val="1"/>
            </w:pPr>
            <w:r/>
            <w:r>
              <w:rPr>
                <w:rFonts w:ascii="B Zar" w:hAnsi="B Zar" w:cs="B Zar" w:eastAsia="B Zar"/>
                <w:b/>
                <w:color w:val="8A6100"/>
                <w:sz w:val="22"/>
              </w:rPr>
              <w:t>نتیجه: Watch، نه Pass</w:t>
            </w:r>
          </w:p>
          <w:p>
            <w:pPr>
              <w:spacing w:after="40" w:before="0" w:line="324" w:lineRule="auto"/>
              <w:jc w:val="right"/>
              <w:bidi w:val="1"/>
            </w:pPr>
            <w:r>
              <w:rPr>
                <w:rFonts w:ascii="B Zar" w:hAnsi="B Zar" w:cs="B Zar" w:eastAsia="B Zar"/>
                <w:color w:val="263238"/>
                <w:sz w:val="21"/>
              </w:rPr>
              <w:t>category جهانی بسیار بالغ است و full PLM/ERP بازنام‌گذاری‌شده را مردود می‌کند. تنها lane باز، record بسیار باریکِ Tech Pack → sample/fit → locked release است؛ آن هم تنها با evidence از issue واقعی، adoption مشترک brand/factory و paid pilot. تا قبل از آن، نبود SaaS محلی یا اعتبار benchmark خارجی، gap بازار ایران محسوب نمی‌شود.</w:t>
            </w:r>
          </w:p>
        </w:tc>
      </w:tr>
    </w:tbl>
    <w:p/>
    <w:p>
      <w:pPr>
        <w:pStyle w:val="Heading2"/>
        <w:spacing w:after="120" w:before="200" w:line="276" w:lineRule="auto"/>
        <w:jc w:val="right"/>
        <w:bidi w:val="1"/>
      </w:pPr>
      <w:r>
        <w:rPr>
          <w:rFonts w:ascii="B Zar" w:hAnsi="B Zar" w:cs="B Zar" w:eastAsia="B Zar"/>
          <w:b/>
          <w:color w:val="1F7A70"/>
          <w:sz w:val="27"/>
        </w:rPr>
        <w:t>منابع پرونده F-03</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1191"/>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کد</w:t>
            </w:r>
          </w:p>
        </w:tc>
        <w:tc>
          <w:tcPr>
            <w:tcW w:type="dxa" w:w="1304"/>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رتبه</w:t>
            </w:r>
          </w:p>
        </w:tc>
        <w:tc>
          <w:tcPr>
            <w:tcW w:type="dxa" w:w="7370"/>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منبع و پیوند</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F03-S01</w:t>
            </w:r>
          </w:p>
        </w:tc>
        <w:tc>
          <w:tcPr>
            <w:tcW w:type="dxa" w:w="130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C / vendor</w:t>
            </w:r>
          </w:p>
        </w:tc>
        <w:tc>
          <w:tcPr>
            <w:tcW w:type="dxa" w:w="7370"/>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Uphance, Mastering the Tech Pack — https://www.uphance.com/insights/mastering-tech-pack/</w:t>
            </w:r>
          </w:p>
        </w:tc>
      </w:tr>
      <w:tr>
        <w:trPr>
          <w:cantSplit/>
        </w:trPr>
        <w:tc>
          <w:tcPr>
            <w:tcW w:type="dxa" w:w="11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F03-S02</w:t>
            </w:r>
          </w:p>
        </w:tc>
        <w:tc>
          <w:tcPr>
            <w:tcW w:type="dxa" w:w="130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C / vendor</w:t>
            </w:r>
          </w:p>
        </w:tc>
        <w:tc>
          <w:tcPr>
            <w:tcW w:type="dxa" w:w="7370"/>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Techpacker Features — https://techpacker.com/features/</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F03-S03</w:t>
            </w:r>
          </w:p>
        </w:tc>
        <w:tc>
          <w:tcPr>
            <w:tcW w:type="dxa" w:w="130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C / industry comparison</w:t>
            </w:r>
          </w:p>
        </w:tc>
        <w:tc>
          <w:tcPr>
            <w:tcW w:type="dxa" w:w="7370"/>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CLO-SET, Product-development tools compared — https://style.clo-set.com/en/resources/article/do-you-need-a-fashion-plm-8-product-development-tools-compared-d3a24e2976254e4ab816812436a4e780</w:t>
            </w:r>
          </w:p>
        </w:tc>
      </w:tr>
      <w:tr>
        <w:trPr>
          <w:cantSplit/>
        </w:trPr>
        <w:tc>
          <w:tcPr>
            <w:tcW w:type="dxa" w:w="11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F03-S04</w:t>
            </w:r>
          </w:p>
        </w:tc>
        <w:tc>
          <w:tcPr>
            <w:tcW w:type="dxa" w:w="130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C / vendor</w:t>
            </w:r>
          </w:p>
        </w:tc>
        <w:tc>
          <w:tcPr>
            <w:tcW w:type="dxa" w:w="7370"/>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Delogue Fashion PLM — https://www.delogue.com/en/solutions/industries/fashion</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F03-S05</w:t>
            </w:r>
          </w:p>
        </w:tc>
        <w:tc>
          <w:tcPr>
            <w:tcW w:type="dxa" w:w="130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C / vendor</w:t>
            </w:r>
          </w:p>
        </w:tc>
        <w:tc>
          <w:tcPr>
            <w:tcW w:type="dxa" w:w="7370"/>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Delogue Core Features — https://www.delogue.com/en/platform/core-features</w:t>
            </w:r>
          </w:p>
        </w:tc>
      </w:tr>
      <w:tr>
        <w:trPr>
          <w:cantSplit/>
        </w:trPr>
        <w:tc>
          <w:tcPr>
            <w:tcW w:type="dxa" w:w="11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F03-S06</w:t>
            </w:r>
          </w:p>
        </w:tc>
        <w:tc>
          <w:tcPr>
            <w:tcW w:type="dxa" w:w="130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C / vendor</w:t>
            </w:r>
          </w:p>
        </w:tc>
        <w:tc>
          <w:tcPr>
            <w:tcW w:type="dxa" w:w="7370"/>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Uphance Apparel PLM — https://www.uphance.com/apparel-plm/</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F03-S07</w:t>
            </w:r>
          </w:p>
        </w:tc>
        <w:tc>
          <w:tcPr>
            <w:tcW w:type="dxa" w:w="130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C / training provider</w:t>
            </w:r>
          </w:p>
        </w:tc>
        <w:tc>
          <w:tcPr>
            <w:tcW w:type="dxa" w:w="7370"/>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مجتمع فنی تهران میرداماد، Illustrator طراحی لباس — https://mftmirdamad.com/product/آموزش-نرم-افزار-ایلاستریتور-طراحی-ل-2/</w:t>
            </w:r>
          </w:p>
        </w:tc>
      </w:tr>
      <w:tr>
        <w:trPr>
          <w:cantSplit/>
        </w:trPr>
        <w:tc>
          <w:tcPr>
            <w:tcW w:type="dxa" w:w="11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F03-S08</w:t>
            </w:r>
          </w:p>
        </w:tc>
        <w:tc>
          <w:tcPr>
            <w:tcW w:type="dxa" w:w="130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C / vendor</w:t>
            </w:r>
          </w:p>
        </w:tc>
        <w:tc>
          <w:tcPr>
            <w:tcW w:type="dxa" w:w="7370"/>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روچی اسمارت — https://rochismart.com/</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F03-S09</w:t>
            </w:r>
          </w:p>
        </w:tc>
        <w:tc>
          <w:tcPr>
            <w:tcW w:type="dxa" w:w="130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C / vendor</w:t>
            </w:r>
          </w:p>
        </w:tc>
        <w:tc>
          <w:tcPr>
            <w:tcW w:type="dxa" w:w="7370"/>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آرمان تدبیر پوشاک — https://gctco.ir/arman-tadbir-pooshak/</w:t>
            </w:r>
          </w:p>
        </w:tc>
      </w:tr>
      <w:tr>
        <w:trPr>
          <w:cantSplit/>
        </w:trPr>
        <w:tc>
          <w:tcPr>
            <w:tcW w:type="dxa" w:w="11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F03-S10</w:t>
            </w:r>
          </w:p>
        </w:tc>
        <w:tc>
          <w:tcPr>
            <w:tcW w:type="dxa" w:w="130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C / vendor</w:t>
            </w:r>
          </w:p>
        </w:tc>
        <w:tc>
          <w:tcPr>
            <w:tcW w:type="dxa" w:w="7370"/>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معین، تولیدی پوشاک — https://moeinsoft.com/product/garment-production-accounting-software/</w:t>
            </w:r>
          </w:p>
        </w:tc>
      </w:tr>
      <w:tr>
        <w:trPr>
          <w:cantSplit/>
        </w:trPr>
        <w:tc>
          <w:tcPr>
            <w:tcW w:type="dxa" w:w="1191"/>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F03-S11</w:t>
            </w:r>
          </w:p>
        </w:tc>
        <w:tc>
          <w:tcPr>
            <w:tcW w:type="dxa" w:w="130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C / vendor</w:t>
            </w:r>
          </w:p>
        </w:tc>
        <w:tc>
          <w:tcPr>
            <w:tcW w:type="dxa" w:w="7370"/>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هلو، پوشاک جامع — https://holooshop.com/product/نرم-افزار-حسابداری-مانتو-و-پوشاک-جامع-ه/</w:t>
            </w:r>
          </w:p>
        </w:tc>
      </w:tr>
      <w:tr>
        <w:trPr>
          <w:cantSplit/>
        </w:trPr>
        <w:tc>
          <w:tcPr>
            <w:tcW w:type="dxa" w:w="1191"/>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F03-S12</w:t>
            </w:r>
          </w:p>
        </w:tc>
        <w:tc>
          <w:tcPr>
            <w:tcW w:type="dxa" w:w="130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C / vendor</w:t>
            </w:r>
          </w:p>
        </w:tc>
        <w:tc>
          <w:tcPr>
            <w:tcW w:type="dxa" w:w="7370"/>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4"/>
              </w:rPr>
              <w:t>پارمیس، تولیدی پوشاک — https://www.parmisit.com/products/acconting-software/small-bussiness-solution/clothing/</w:t>
            </w:r>
          </w:p>
        </w:tc>
      </w:tr>
    </w:tbl>
    <w:p/>
    <w:p>
      <w:r>
        <w:br w:type="page"/>
      </w:r>
    </w:p>
    <w:p>
      <w:pPr>
        <w:pStyle w:val="Heading1"/>
        <w:spacing w:after="120" w:before="300" w:line="276" w:lineRule="auto"/>
        <w:jc w:val="right"/>
        <w:bidi w:val="1"/>
      </w:pPr>
      <w:r>
        <w:rPr>
          <w:rFonts w:ascii="B Zar" w:hAnsi="B Zar" w:cs="B Zar" w:eastAsia="B Zar"/>
          <w:b/>
          <w:color w:val="1F3A5F"/>
          <w:sz w:val="32"/>
        </w:rPr>
        <w:t>به‌روزرسانی نسخه و وضعیت ادامهٔ برنامه</w:t>
      </w:r>
    </w:p>
    <w:tbl>
      <w:tblPr>
        <w:tblW w:type="auto" w:w="0"/>
        <w:jc w:val="center"/>
        <w:tblLayout w:type="fixed"/>
        <w:tblLook w:firstColumn="1" w:firstRow="1" w:lastColumn="0" w:lastRow="0" w:noHBand="0" w:noVBand="1" w:val="04A0"/>
        <w:bidiVisual w:val="1"/>
      </w:tblPr>
      <w:tblGrid>
        <w:gridCol w:w="2466"/>
        <w:gridCol w:w="2466"/>
        <w:gridCol w:w="2466"/>
        <w:gridCol w:w="2466"/>
      </w:tblGrid>
      <w:tr>
        <w:trPr>
          <w:tblHeader w:val="true"/>
        </w:trPr>
        <w:tc>
          <w:tcPr>
            <w:tcW w:type="dxa" w:w="1304"/>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نسخه</w:t>
            </w:r>
          </w:p>
        </w:tc>
        <w:tc>
          <w:tcPr>
            <w:tcW w:type="dxa" w:w="1814"/>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تاریخ</w:t>
            </w:r>
          </w:p>
        </w:tc>
        <w:tc>
          <w:tcPr>
            <w:tcW w:type="dxa" w:w="5669"/>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افزوده‌شده</w:t>
            </w:r>
          </w:p>
        </w:tc>
        <w:tc>
          <w:tcPr>
            <w:tcW w:type="dxa" w:w="1984"/>
            <w:vAlign w:val="center"/>
            <w:tcMar>
              <w:top w:w="75" w:type="dxa"/>
              <w:start w:w="75" w:type="dxa"/>
              <w:bottom w:w="75" w:type="dxa"/>
              <w:end w:w="75" w:type="dxa"/>
            </w:tcMar>
            <w:shd w:fill="1F3A5F"/>
            <w:tcBorders>
              <w:top w:val="single" w:sz="4" w:color="FFFFFF"/>
              <w:bottom w:val="single" w:sz="4" w:color="FFFFFF"/>
              <w:left w:val="single" w:sz="4" w:color="FFFFFF"/>
              <w:right w:val="single" w:sz="4" w:color="FFFFFF"/>
            </w:tcBorders>
          </w:tcPr>
          <w:p>
            <w:pPr>
              <w:spacing w:after="0" w:before="0" w:line="269" w:lineRule="auto"/>
              <w:jc w:val="center"/>
              <w:bidi w:val="1"/>
            </w:pPr>
            <w:r/>
            <w:r>
              <w:rPr>
                <w:rFonts w:ascii="B Zar" w:hAnsi="B Zar" w:cs="B Zar" w:eastAsia="B Zar"/>
                <w:b/>
                <w:color w:val="FFFFFF"/>
                <w:sz w:val="18"/>
              </w:rPr>
              <w:t>وضعیت</w:t>
            </w:r>
          </w:p>
        </w:tc>
      </w:tr>
      <w:tr>
        <w:trPr>
          <w:cantSplit/>
        </w:trPr>
        <w:tc>
          <w:tcPr>
            <w:tcW w:type="dxa" w:w="130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9"/>
              </w:rPr>
              <w:t>۰٫۲</w:t>
            </w:r>
          </w:p>
        </w:tc>
        <w:tc>
          <w:tcPr>
            <w:tcW w:type="dxa" w:w="181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9"/>
              </w:rPr>
              <w:t>۱۲ مهر ۱۴۰۵</w:t>
            </w:r>
          </w:p>
        </w:tc>
        <w:tc>
          <w:tcPr>
            <w:tcW w:type="dxa" w:w="5669"/>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9"/>
              </w:rPr>
              <w:t>سه پروندهٔ desk-research: F-01، F-02 و F-03؛ evidence ledger و منابع هر پرونده افزوده شد.</w:t>
            </w:r>
          </w:p>
        </w:tc>
        <w:tc>
          <w:tcPr>
            <w:tcW w:type="dxa" w:w="1984"/>
            <w:shd w:fill="FFFFFF"/>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9"/>
              </w:rPr>
              <w:t>منتشرشده</w:t>
            </w:r>
          </w:p>
        </w:tc>
      </w:tr>
      <w:tr>
        <w:trPr>
          <w:cantSplit/>
        </w:trPr>
        <w:tc>
          <w:tcPr>
            <w:tcW w:type="dxa" w:w="130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9"/>
              </w:rPr>
              <w:t>۰٫۳</w:t>
            </w:r>
          </w:p>
        </w:tc>
        <w:tc>
          <w:tcPr>
            <w:tcW w:type="dxa" w:w="181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9"/>
              </w:rPr>
              <w:t>پس از پژوهش بعدی</w:t>
            </w:r>
          </w:p>
        </w:tc>
        <w:tc>
          <w:tcPr>
            <w:tcW w:type="dxa" w:w="5669"/>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9"/>
              </w:rPr>
              <w:t>افزودن پروندهٔ F-04 یا تکمیل پژوهش اولیهٔ F-01/F-02/F-03 بر مبنای دادهٔ واقعی.</w:t>
            </w:r>
          </w:p>
        </w:tc>
        <w:tc>
          <w:tcPr>
            <w:tcW w:type="dxa" w:w="1984"/>
            <w:shd w:fill="F5F7FA"/>
            <w:tcBorders>
              <w:top w:val="single" w:sz="3" w:color="D9E0E7"/>
              <w:bottom w:val="single" w:sz="3" w:color="D9E0E7"/>
              <w:left w:val="single" w:sz="3" w:color="D9E0E7"/>
              <w:right w:val="single" w:sz="3" w:color="D9E0E7"/>
            </w:tcBorders>
          </w:tcPr>
          <w:p>
            <w:pPr>
              <w:spacing w:after="0" w:before="0" w:line="269" w:lineRule="auto"/>
              <w:jc w:val="right"/>
              <w:bidi w:val="1"/>
            </w:pPr>
            <w:r/>
            <w:r>
              <w:rPr>
                <w:rFonts w:ascii="B Zar" w:hAnsi="B Zar" w:cs="B Zar" w:eastAsia="B Zar"/>
                <w:b w:val="0"/>
                <w:color w:val="263238"/>
                <w:sz w:val="19"/>
              </w:rPr>
              <w:t>برنامه‌ریزی‌شده</w:t>
            </w:r>
          </w:p>
        </w:tc>
      </w:tr>
    </w:tbl>
    <w:p/>
    <w:tbl>
      <w:tblPr>
        <w:tblW w:type="auto" w:w="0"/>
        <w:jc w:val="center"/>
        <w:tblLook w:firstColumn="1" w:firstRow="1" w:lastColumn="0" w:lastRow="0" w:noHBand="0" w:noVBand="1" w:val="04A0"/>
        <w:bidiVisual w:val="1"/>
      </w:tblPr>
      <w:tblGrid>
        <w:gridCol w:w="9866"/>
      </w:tblGrid>
      <w:tr>
        <w:tc>
          <w:tcPr>
            <w:tcW w:type="dxa" w:w="9866"/>
            <w:vAlign w:val="center"/>
            <w:tcMar>
              <w:top w:w="75" w:type="dxa"/>
              <w:start w:w="75" w:type="dxa"/>
              <w:bottom w:w="75" w:type="dxa"/>
              <w:end w:w="75" w:type="dxa"/>
            </w:tcMar>
            <w:shd w:fill="E3EEF9"/>
            <w:tcBorders>
              <w:top w:val="single" w:sz="8" w:color="4A6C8E"/>
              <w:bottom w:val="single" w:sz="3" w:color="D9E0E7"/>
              <w:left w:val="single" w:sz="3" w:color="D9E0E7"/>
              <w:right w:val="single" w:sz="3" w:color="D9E0E7"/>
            </w:tcBorders>
          </w:tcPr>
          <w:p>
            <w:pPr>
              <w:spacing w:after="60" w:before="0" w:line="288" w:lineRule="auto"/>
              <w:jc w:val="right"/>
              <w:bidi w:val="1"/>
            </w:pPr>
            <w:r/>
            <w:r>
              <w:rPr>
                <w:rFonts w:ascii="B Zar" w:hAnsi="B Zar" w:cs="B Zar" w:eastAsia="B Zar"/>
                <w:b/>
                <w:color w:val="4A6C8E"/>
                <w:sz w:val="22"/>
              </w:rPr>
              <w:t>نتیجهٔ اجرایی این نوبت</w:t>
            </w:r>
          </w:p>
          <w:p>
            <w:pPr>
              <w:spacing w:after="40" w:before="0" w:line="324" w:lineRule="auto"/>
              <w:jc w:val="right"/>
              <w:bidi w:val="1"/>
            </w:pPr>
            <w:r>
              <w:rPr>
                <w:rFonts w:ascii="B Zar" w:hAnsi="B Zar" w:cs="B Zar" w:eastAsia="B Zar"/>
                <w:color w:val="263238"/>
                <w:sz w:val="21"/>
              </w:rPr>
              <w:t>سه پرونده از صف اصلی تا سطح desk-research کامل شدند. هیچ‌کدام از حالت «فعال برای اعتبارسنجی» یا «Watch» به Pass ارتقا نیافته‌اند؛ زیرا مصاحبهٔ artifact-based، اطلاعات بودجه، willingness-to-pay و paid pilot هنوز انجام نشده است.</w:t>
            </w:r>
          </w:p>
        </w:tc>
      </w:tr>
    </w:tbl>
    <w:p/>
    <w:sectPr w:rsidR="00FC693F" w:rsidRPr="0006063C" w:rsidSect="00034616">
      <w:headerReference w:type="default" r:id="rId9"/>
      <w:footerReference w:type="default" r:id="rId10"/>
      <w:pgSz w:w="11906" w:h="16838"/>
      <w:pgMar w:top="964" w:right="1020" w:bottom="907" w:left="102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line="240" w:lineRule="auto"/>
      <w:jc w:val="center"/>
      <w:bidi w:val="1"/>
    </w:pPr>
    <w:r>
      <w:rPr>
        <w:rFonts w:ascii="B Zar" w:hAnsi="B Zar" w:cs="B Zar" w:eastAsia="B Zar"/>
        <w:color w:val="6B7280"/>
        <w:sz w:val="18"/>
      </w:rPr>
      <w:t xml:space="preserve">محرمانه | نسخهٔ صفر | صفحهٔ </w:t>
    </w:r>
    <w:fldChar w:fldCharType="begin"/>
    <w:instrText xml:space="preserve"> PAGE </w:instrText>
    <w:fldChar w:fldCharType="end"/>
    <w:r>
      <w:rPr>
        <w:rFonts w:ascii="B Zar" w:hAnsi="B Zar" w:cs="B Zar" w:eastAsia="B Zar"/>
        <w:color w:val="6B7280"/>
        <w:sz w:val="18"/>
      </w:rPr>
      <w:t xml:space="preserve"> از سند</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40" w:lineRule="auto"/>
      <w:jc w:val="right"/>
      <w:bidi w:val="1"/>
      <w:pBdr>
        <w:bottom w:val="single" w:sz="8" w:space="4" w:color="2A9D8F"/>
      </w:pBdr>
    </w:pPr>
    <w:r>
      <w:rPr>
        <w:rFonts w:ascii="B Zar" w:hAnsi="B Zar" w:cs="B Zar" w:eastAsia="B Zar"/>
        <w:b/>
        <w:color w:val="1F3A5F"/>
        <w:sz w:val="19"/>
      </w:rPr>
      <w:t>گزارش جامع تحقیقات بازار فناوری مد و پوشاک ایران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 Zar" w:hAnsi="B Zar" w:cs="B Za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B Zar" w:hAnsi="B Zar" w:cs="B Zar"/>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B Zar" w:hAnsi="B Zar" w:cs="B Zar"/>
      <w:b/>
      <w:bCs/>
      <w:color w:val="1F7A7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B Zar" w:hAnsi="B Zar" w:cs="B Zar"/>
      <w:b/>
      <w:bCs/>
      <w:color w:val="1F7A7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B Zar" w:hAnsi="B Zar" w:cs="B Zar"/>
      <w:color w:val="1F3A5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B Zar" w:hAnsi="B Zar" w:cs="B Zar"/>
      <w:i/>
      <w:iCs/>
      <w:color w:val="6B728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گزارش جامع تحقیقات بازار فناوری مد و پوشاک ایران — نسخه ۰٫۲</dc:title>
  <dc:subject>چارچوب، فهرست پرونده‌ها و برنامه پژوهش عمیق</dc:subject>
  <dc:creator>Arena Research</dc:creator>
  <cp:keywords/>
  <dc:description>نسخه ۰٫۲؛ پرونده‌های F-01 تا F-03 افزوده شد.</dc:description>
  <cp:lastModifiedBy/>
  <cp:revision>1</cp:revision>
  <dcterms:created xsi:type="dcterms:W3CDTF">2013-12-23T23:15:00Z</dcterms:created>
  <dcterms:modified xsi:type="dcterms:W3CDTF">2013-12-23T23:15:00Z</dcterms:modified>
  <cp:category/>
</cp:coreProperties>
</file>