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40"/>
        <w:jc w:val="center"/>
        <w:bidi w:val="1"/>
      </w:pPr>
      <w:r>
        <w:rPr>
          <w:rFonts w:ascii="B Zar" w:hAnsi="B Zar" w:eastAsia="B Zar"/>
          <w:b/>
          <w:sz w:val="50"/>
        </w:rPr>
        <w:t>طرح عملیاتی تولید گزارش جامع مستقل</w:t>
        <w:br/>
        <w:t>برای ۴۷ فرصت پلتفرمی مد و پوشاک ایران</w:t>
      </w:r>
    </w:p>
    <w:p>
      <w:pPr>
        <w:spacing w:after="360"/>
        <w:jc w:val="center"/>
        <w:bidi w:val="1"/>
      </w:pPr>
      <w:r>
        <w:rPr>
          <w:rFonts w:ascii="B Zar" w:hAnsi="B Zar" w:eastAsia="B Zar"/>
          <w:b w:val="0"/>
          <w:sz w:val="30"/>
        </w:rPr>
        <w:t>نقشهٔ اجرا، کنترل دامنه، پوشش چهار قالب و معیار پایان کار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0"/>
      </w:tblGrid>
      <w:tr>
        <w:tc>
          <w:tcPr>
            <w:tcW w:type="dxa" w:w="10370"/>
            <w:shd w:fill="1F4E78"/>
            <w:vAlign w:val="center"/>
          </w:tcPr>
          <w:p>
            <w:pPr>
              <w:spacing w:after="20"/>
              <w:jc w:val="center"/>
              <w:bidi w:val="1"/>
            </w:pPr>
            <w:r/>
            <w:r>
              <w:rPr>
                <w:rFonts w:ascii="B Zar" w:hAnsi="B Zar" w:eastAsia="B Zar"/>
                <w:b/>
                <w:color w:val="FFFFFF"/>
                <w:sz w:val="26"/>
              </w:rPr>
              <w:t>نسخهٔ ۱٫۰ | ۱۲ مهر ۱۴۰۵ / ۴ اکتبر ۲۰۲۶</w:t>
              <w:br/>
              <w:t>این سند برنامهٔ کار است، نه گزارش بازار یا توصیهٔ سرمایه‌گذاری.</w:t>
            </w:r>
          </w:p>
        </w:tc>
      </w:tr>
    </w:tbl>
    <w:p/>
    <w:p/>
    <w:p/>
    <w:p/>
    <w:p>
      <w:pPr>
        <w:spacing w:after="100"/>
        <w:jc w:val="center"/>
        <w:bidi w:val="1"/>
      </w:pPr>
      <w:r>
        <w:rPr>
          <w:rFonts w:ascii="B Zar" w:hAnsi="B Zar" w:eastAsia="B Zar"/>
          <w:b/>
          <w:sz w:val="28"/>
        </w:rPr>
        <w:t>اصل کلیدی</w:t>
      </w:r>
    </w:p>
    <w:p>
      <w:pPr>
        <w:spacing w:after="100"/>
        <w:jc w:val="center"/>
        <w:bidi w:val="1"/>
      </w:pPr>
      <w:r>
        <w:rPr>
          <w:rFonts w:ascii="B Zar" w:hAnsi="B Zar" w:eastAsia="B Zar"/>
          <w:b w:val="0"/>
          <w:sz w:val="24"/>
        </w:rPr>
        <w:t>۴۷ پروندهٔ مستقل در یک فایل Word؛ همهٔ بخش‌های چهار قالب برای هر محصول؛ بدون حذف مسیرهای ردشده و بدون ساختن داده یا محصول خیالی.</w:t>
      </w:r>
    </w:p>
    <w:p>
      <w:r>
        <w:br w:type="page"/>
      </w:r>
    </w:p>
    <w:p>
      <w:pPr>
        <w:pStyle w:val="Heading1"/>
        <w:spacing w:after="100"/>
        <w:jc w:val="right"/>
        <w:bidi w:val="1"/>
      </w:pPr>
      <w:r>
        <w:rPr>
          <w:rFonts w:ascii="B Zar" w:hAnsi="B Zar" w:eastAsia="B Zar"/>
          <w:b/>
          <w:sz w:val="32"/>
        </w:rPr>
        <w:t>۱. تصمیم اجرایی و خروجی نهایی</w:t>
      </w:r>
    </w:p>
    <w:p>
      <w:pPr>
        <w:spacing w:after="100"/>
        <w:jc w:val="right"/>
        <w:bidi w:val="1"/>
      </w:pPr>
      <w:r>
        <w:rPr>
          <w:rFonts w:ascii="B Zar" w:hAnsi="B Zar" w:eastAsia="B Zar"/>
          <w:b w:val="0"/>
          <w:sz w:val="22"/>
        </w:rPr>
        <w:t>برای تمام ۴۷ فرصت پلتفرمی مد و پوشاک، یک گزارش بازار مستقل درون یک فایل Word واحد ساخته می‌شود. پرونده‌ها پشت سر هم می‌آیند اما هر پرونده خودکفا است: خواننده بدون مراجعه به پرونده یا فایل دیگر، مسئله، بازار، رقبا، مشتری، ورود، قیمت، اندازه بازار، امکان اجرا و verdict همان محصول را می‌فهمد.</w:t>
      </w:r>
    </w:p>
    <w:p>
      <w:pPr>
        <w:spacing w:after="100"/>
        <w:jc w:val="right"/>
        <w:bidi w:val="1"/>
      </w:pPr>
      <w:r>
        <w:rPr>
          <w:rFonts w:ascii="B Zar" w:hAnsi="B Zar" w:eastAsia="B Zar"/>
          <w:b w:val="0"/>
          <w:sz w:val="22"/>
        </w:rPr>
        <w:t>فایل نهایی برنامه‌ریزی‌شده: گزارش_جامع_۴۷_فرصت_پلتفرمی_مد_و_پوشاک_ایران.docx. زبان گزارش فارسی حرفه‌ای و فونت اصلی B Zar است.</w:t>
      </w:r>
    </w:p>
    <w:p>
      <w:pPr>
        <w:pStyle w:val="Heading1"/>
        <w:spacing w:after="100"/>
        <w:jc w:val="right"/>
        <w:bidi w:val="1"/>
      </w:pPr>
      <w:r>
        <w:rPr>
          <w:rFonts w:ascii="B Zar" w:hAnsi="B Zar" w:eastAsia="B Zar"/>
          <w:b/>
          <w:sz w:val="32"/>
        </w:rPr>
        <w:t>۲. گیت صفر: تطبیق فهرست ۴۷ مورد</w:t>
      </w:r>
    </w:p>
    <w:p>
      <w:pPr>
        <w:spacing w:after="100"/>
        <w:jc w:val="right"/>
        <w:bidi w:val="1"/>
      </w:pPr>
      <w:r>
        <w:rPr>
          <w:rFonts w:ascii="B Zar" w:hAnsi="B Zar" w:eastAsia="B Zar"/>
          <w:b w:val="0"/>
          <w:sz w:val="22"/>
        </w:rPr>
        <w:t>register فعلی repository، ۴۱ فرصت نام‌گذاری‌شده دارد، در حالی که محدودهٔ مورد درخواست ۴۷ فرصت است. بنابراین پ-۴۲ تا پ-۴۷ فقط شناسهٔ کنترلی برای بازیابی منبع هستند، نه محصول جدید. پیش از پژوهش عمیق، عنوان، تعریف و status این شش فرصت از منبع اولیه و history بازیابی می‌شود؛ هیچ عنوان یا فرضیه‌ای برای پر کردن عدد ۴۷ ساخته نمی‌شود.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shd w:fill="1F4E7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/>
                <w:color w:val="FFFFFF"/>
                <w:sz w:val="18"/>
              </w:rPr>
              <w:t>گروه در register موجود</w:t>
            </w:r>
          </w:p>
        </w:tc>
        <w:tc>
          <w:tcPr>
            <w:tcW w:type="dxa" w:w="3457"/>
            <w:shd w:fill="1F4E7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/>
                <w:color w:val="FFFFFF"/>
                <w:sz w:val="18"/>
              </w:rPr>
              <w:t>تعداد</w:t>
            </w:r>
          </w:p>
        </w:tc>
        <w:tc>
          <w:tcPr>
            <w:tcW w:type="dxa" w:w="3457"/>
            <w:shd w:fill="1F4E7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/>
                <w:color w:val="FFFFFF"/>
                <w:sz w:val="18"/>
              </w:rPr>
              <w:t>رفتار در گزارش نهایی</w:t>
            </w:r>
          </w:p>
        </w:tc>
      </w:tr>
      <w:tr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فعال برای اعتبارسنجی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۲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پروندهٔ کامل و گیت پژوهش اولیه</w:t>
            </w:r>
          </w:p>
        </w:tc>
      </w:tr>
      <w:tr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نیازمند اثبات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۲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پروندهٔ کامل و verdict مشروط</w:t>
            </w:r>
          </w:p>
        </w:tc>
      </w:tr>
      <w:tr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رد/آرشیوی در میان ۴۱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۳۲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پروندهٔ کامل، evidence منفی و منع بازپیشنهاد</w:t>
            </w:r>
          </w:p>
        </w:tc>
      </w:tr>
      <w:tr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توقف موقت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۳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پروندهٔ کامل، اما بدون اجرای جدید تا reversal</w:t>
            </w:r>
          </w:p>
        </w:tc>
      </w:tr>
      <w:tr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خارج از دامنهٔ پلتفرم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۲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پروندهٔ کامل و علت خروج</w:t>
            </w:r>
          </w:p>
        </w:tc>
      </w:tr>
      <w:tr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بازیابی‌نشده از ۴۷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۶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گیت صفر؛ بدون اختراع نام/داده</w:t>
            </w:r>
          </w:p>
        </w:tc>
      </w:tr>
    </w:tbl>
    <w:p/>
    <w:p>
      <w:pPr>
        <w:pStyle w:val="Heading1"/>
        <w:spacing w:after="100"/>
        <w:jc w:val="right"/>
        <w:bidi w:val="1"/>
      </w:pPr>
      <w:r>
        <w:rPr>
          <w:rFonts w:ascii="B Zar" w:hAnsi="B Zar" w:eastAsia="B Zar"/>
          <w:b/>
          <w:sz w:val="32"/>
        </w:rPr>
        <w:t>۳. معماری فایل Word نهایی</w:t>
      </w:r>
    </w:p>
    <w:p>
      <w:pPr>
        <w:spacing w:after="100"/>
        <w:jc w:val="right"/>
        <w:bidi w:val="1"/>
      </w:pPr>
      <w:r>
        <w:rPr>
          <w:rFonts w:ascii="B Zar" w:hAnsi="B Zar" w:eastAsia="B Zar"/>
          <w:b w:val="0"/>
          <w:sz w:val="22"/>
        </w:rPr>
        <w:t>فایل واحد، ابتدا بخش آغازین پرتفوی و روش را دارد؛ سپس ۴۷ پروندهٔ مستقل به‌ترتیب می‌آیند؛ در پایان جدول مستند پرتفوی، رتبه‌بندی مستقل B2B و B2C و پیوست‌های منابع قرار می‌گیرند. ساختار سطح اول حرفه‌ای ثابت است: خلاصهٔ مدیریتی، مقدمه، روش‌شناسی پژوهش، یافته‌ها، تحلیل، نتیجه‌گیری و توصیه‌ها، پیوست‌ها. هر محصول داخل این فایل با همین ساختار تکراری و مستقل نوشته می‌شود.</w:t>
      </w:r>
    </w:p>
    <w:p>
      <w:pPr>
        <w:pStyle w:val="Heading1"/>
        <w:spacing w:after="100"/>
        <w:jc w:val="right"/>
        <w:bidi w:val="1"/>
      </w:pPr>
      <w:r>
        <w:rPr>
          <w:rFonts w:ascii="B Zar" w:hAnsi="B Zar" w:eastAsia="B Zar"/>
          <w:b/>
          <w:sz w:val="32"/>
        </w:rPr>
        <w:t>۴. پوشش اجباری چهار قالب در هر محصول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shd w:fill="1F4E7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/>
                <w:color w:val="FFFFFF"/>
                <w:sz w:val="18"/>
              </w:rPr>
              <w:t>قالب</w:t>
            </w:r>
          </w:p>
        </w:tc>
        <w:tc>
          <w:tcPr>
            <w:tcW w:type="dxa" w:w="3457"/>
            <w:shd w:fill="1F4E7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/>
                <w:color w:val="FFFFFF"/>
                <w:sz w:val="18"/>
              </w:rPr>
              <w:t>اجزای اجباری داخل هر پرونده</w:t>
            </w:r>
          </w:p>
        </w:tc>
        <w:tc>
          <w:tcPr>
            <w:tcW w:type="dxa" w:w="3457"/>
            <w:shd w:fill="1F4E7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/>
                <w:color w:val="FFFFFF"/>
                <w:sz w:val="18"/>
              </w:rPr>
              <w:t>قانون نبود داده</w:t>
            </w:r>
          </w:p>
        </w:tc>
      </w:tr>
      <w:tr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گزارش جامع تحقیقات بازار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مسئله، بازار، بخش‌بندی، مشتری، رقابت، SWOT، مدل کسب‌وکار، برنامه اقدام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شکاف داده و گیت آن نوشته می‌شود؛ بخش حذف نمی‌شود</w:t>
            </w:r>
          </w:p>
        </w:tc>
      </w:tr>
      <w:tr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تحلیل رقبا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رقیب خارجی/ایران، جایگزین دستی، قابلیت، قیمت، کانال، موضع‌یابی، امتیاز و شکاف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نبود رقیب، فضای خالی تلقی نمی‌شود</w:t>
            </w:r>
          </w:p>
        </w:tc>
      </w:tr>
      <w:tr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پیمایش و رضایت مشتری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هدف، نمونه، غربال‌گر، پرسش، جذب، اخلاق، تحلیل، رضایت، خروجی و گیت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اگر اجرا نشده: «اجرا نشده — دادهٔ اولیه لازم است»</w:t>
            </w:r>
          </w:p>
        </w:tc>
      </w:tr>
      <w:tr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امکان‌سنجی و اندازه بازار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واحد درآمد، TAM/SAM/SOM، مالی، حساسیت، سربه‌سر، ریسک و نقشه راه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بدون denominator و قیمت محلی: «محاسبه‌نشده»</w:t>
            </w:r>
          </w:p>
        </w:tc>
      </w:tr>
    </w:tbl>
    <w:p/>
    <w:p>
      <w:pPr>
        <w:spacing w:after="100"/>
        <w:jc w:val="right"/>
        <w:bidi w:val="1"/>
      </w:pPr>
      <w:r>
        <w:rPr>
          <w:rFonts w:ascii="B Zar" w:hAnsi="B Zar" w:eastAsia="B Zar"/>
          <w:b w:val="0"/>
          <w:sz w:val="22"/>
        </w:rPr>
        <w:t>برای هر محصول حداقل ۴۳ چارچوب جدول/تحلیل قالب‌ها (۱۰+۹+۱۳+۱۱) پوشش داده می‌شود. «غیرقابل کاربرد» فقط با دلیل، تاریخ، owner و شرط فعال‌شدن پذیرفته است؛ هیچ قسمت خاموش یا پنهان نمی‌ماند.</w:t>
      </w:r>
    </w:p>
    <w:p>
      <w:pPr>
        <w:pStyle w:val="Heading1"/>
        <w:spacing w:after="100"/>
        <w:jc w:val="right"/>
        <w:bidi w:val="1"/>
      </w:pPr>
      <w:r>
        <w:rPr>
          <w:rFonts w:ascii="B Zar" w:hAnsi="B Zar" w:eastAsia="B Zar"/>
          <w:b/>
          <w:sz w:val="32"/>
        </w:rPr>
        <w:t>۵. نقطه ورود و نتیجهٔ مورد انتظار هر محصول</w:t>
      </w:r>
    </w:p>
    <w:p>
      <w:pPr>
        <w:spacing w:after="100"/>
        <w:jc w:val="right"/>
        <w:bidi w:val="1"/>
      </w:pPr>
      <w:r>
        <w:rPr>
          <w:rFonts w:ascii="B Zar" w:hAnsi="B Zar" w:eastAsia="B Zar"/>
          <w:b w:val="0"/>
          <w:sz w:val="22"/>
        </w:rPr>
        <w:t>در ابتدای همهٔ پرونده‌ها یک کارت تصمیم اجباری قرار می‌گیرد: مشتری اول، جریان کار اول، کوچک‌ترین قابلیت قابل آزمون، آنچه محصول نیست، outcome قابل مشاهده برای مشتری، شاهد موردنیاز، معیار ادامه و معیار توقف قطعی. این کارت از تبدیل یک category بزرگ به محصول مبهم جلوگیری می‌کند.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5"/>
        <w:gridCol w:w="5185"/>
      </w:tblGrid>
      <w:tr>
        <w:tc>
          <w:tcPr>
            <w:tcW w:type="dxa" w:w="5185"/>
            <w:shd w:fill="1F4E7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/>
                <w:color w:val="FFFFFF"/>
                <w:sz w:val="18"/>
              </w:rPr>
              <w:t>جزء کارت تصمیم</w:t>
            </w:r>
          </w:p>
        </w:tc>
        <w:tc>
          <w:tcPr>
            <w:tcW w:type="dxa" w:w="5185"/>
            <w:shd w:fill="1F4E7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/>
                <w:color w:val="FFFFFF"/>
                <w:sz w:val="18"/>
              </w:rPr>
              <w:t>الزام</w:t>
            </w:r>
          </w:p>
        </w:tc>
      </w:tr>
      <w:tr>
        <w:tc>
          <w:tcPr>
            <w:tcW w:type="dxa" w:w="5185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نقطه ورود</w:t>
            </w:r>
          </w:p>
        </w:tc>
        <w:tc>
          <w:tcPr>
            <w:tcW w:type="dxa" w:w="5185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مشتری اول، کانال و جریان کار بسیار مشخص؛ نه ورود کلی به «بازار مد»</w:t>
            </w:r>
          </w:p>
        </w:tc>
      </w:tr>
      <w:tr>
        <w:tc>
          <w:tcPr>
            <w:tcW w:type="dxa" w:w="5185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مرز محصول</w:t>
            </w:r>
          </w:p>
        </w:tc>
        <w:tc>
          <w:tcPr>
            <w:tcW w:type="dxa" w:w="5185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بازارگاه عمومی، برند فیزیکی، لجستیک، عملیات میدانی یا سامانه عمومی در صورت خارج بودن از scope صریحاً حذف شود</w:t>
            </w:r>
          </w:p>
        </w:tc>
      </w:tr>
      <w:tr>
        <w:tc>
          <w:tcPr>
            <w:tcW w:type="dxa" w:w="5185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نتیجه مشتری</w:t>
            </w:r>
          </w:p>
        </w:tc>
        <w:tc>
          <w:tcPr>
            <w:tcW w:type="dxa" w:w="5185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کاهش خطا/زمان/rework، افزایش اعتماد، visibility، استفاده تکرارشونده یا outcome روشن دیگر</w:t>
            </w:r>
          </w:p>
        </w:tc>
      </w:tr>
      <w:tr>
        <w:tc>
          <w:tcPr>
            <w:tcW w:type="dxa" w:w="5185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شاهد عبور</w:t>
            </w:r>
          </w:p>
        </w:tc>
        <w:tc>
          <w:tcPr>
            <w:tcW w:type="dxa" w:w="5185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artifact، مشاهده جریان کار، پرداخت، استفاده، retention یا مدرک مستقل</w:t>
            </w:r>
          </w:p>
        </w:tc>
      </w:tr>
      <w:tr>
        <w:tc>
          <w:tcPr>
            <w:tcW w:type="dxa" w:w="5185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معیار توقف</w:t>
            </w:r>
          </w:p>
        </w:tc>
        <w:tc>
          <w:tcPr>
            <w:tcW w:type="dxa" w:w="5185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8"/>
              </w:rPr>
              <w:t>نبود buyer، WTP، تمایز platform، امکان اجرای نرم‌افزاری یا مانع حقوقی/عملیاتی</w:t>
            </w:r>
          </w:p>
        </w:tc>
      </w:tr>
    </w:tbl>
    <w:p/>
    <w:p>
      <w:pPr>
        <w:pStyle w:val="Heading1"/>
        <w:spacing w:after="100"/>
        <w:jc w:val="right"/>
        <w:bidi w:val="1"/>
      </w:pPr>
      <w:r>
        <w:rPr>
          <w:rFonts w:ascii="B Zar" w:hAnsi="B Zar" w:eastAsia="B Zar"/>
          <w:b/>
          <w:sz w:val="32"/>
        </w:rPr>
        <w:t>۶. زبان، منبع و قواعد صداقت پژوهشی</w:t>
      </w:r>
    </w:p>
    <w:p>
      <w:pPr>
        <w:spacing w:after="100"/>
        <w:jc w:val="right"/>
        <w:bidi w:val="1"/>
      </w:pPr>
      <w:r>
        <w:rPr>
          <w:rFonts w:ascii="B Zar" w:hAnsi="B Zar" w:eastAsia="B Zar"/>
          <w:b w:val="0"/>
          <w:sz w:val="22"/>
        </w:rPr>
        <w:t>توضیح‌ها و تحلیل‌ها فارسی حرفه‌ای خواهند بود. از «جریان کار»، «تمایل به پرداخت»، «الگوی مقایسه»، «معیار توقف قطعی»، «نقطه ورود» و «آزمون آزمایشی» استفاده می‌شود. نام برندها/محصول‌ها و اصطلاح‌های فاقد معادل دقیق حفظ و در صورت نیاز یک‌بار توضیح فارسی داده می‌شوند. هر claim باید URL، تاریخ بازیابی، نوع و درجه منبع، limitation و confidence داشته باشد. قیمت خارجی به ریال یا WTP ایران تبدیل نمی‌شود و پژوهش اولیهٔ اجرا نشده هرگز اجراشده جلوه داده نمی‌شود.</w:t>
      </w:r>
    </w:p>
    <w:p>
      <w:pPr>
        <w:pStyle w:val="Heading1"/>
        <w:spacing w:after="100"/>
        <w:jc w:val="right"/>
        <w:bidi w:val="1"/>
      </w:pPr>
      <w:r>
        <w:rPr>
          <w:rFonts w:ascii="B Zar" w:hAnsi="B Zar" w:eastAsia="B Zar"/>
          <w:b/>
          <w:sz w:val="32"/>
        </w:rPr>
        <w:t>۷. مراحل عملیاتی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shd w:fill="1F4E7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/>
                <w:color w:val="FFFFFF"/>
                <w:sz w:val="17"/>
              </w:rPr>
              <w:t>مرحله</w:t>
            </w:r>
          </w:p>
        </w:tc>
        <w:tc>
          <w:tcPr>
            <w:tcW w:type="dxa" w:w="3457"/>
            <w:shd w:fill="1F4E7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/>
                <w:color w:val="FFFFFF"/>
                <w:sz w:val="17"/>
              </w:rPr>
              <w:t>خروجی</w:t>
            </w:r>
          </w:p>
        </w:tc>
        <w:tc>
          <w:tcPr>
            <w:tcW w:type="dxa" w:w="3457"/>
            <w:shd w:fill="1F4E7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/>
                <w:color w:val="FFFFFF"/>
                <w:sz w:val="17"/>
              </w:rPr>
              <w:t>معیار خروج</w:t>
            </w:r>
          </w:p>
        </w:tc>
      </w:tr>
      <w:tr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7"/>
              </w:rPr>
              <w:t>صفر: تطبیق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7"/>
              </w:rPr>
              <w:t>بازیابی و تثبیت ۴۷ عنوان و منبع اولیه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7"/>
              </w:rPr>
              <w:t>هیچ پروندهٔ بی‌نام یا خیالی نماند</w:t>
            </w:r>
          </w:p>
        </w:tc>
      </w:tr>
      <w:tr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7"/>
              </w:rPr>
              <w:t>یک: کنترل دامنه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7"/>
              </w:rPr>
              <w:t>فرهنگ فارسی و ماتریس ۴۷ × چهار قالب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7"/>
              </w:rPr>
              <w:t>هر خانه owner/status/محل دارد</w:t>
            </w:r>
          </w:p>
        </w:tc>
      </w:tr>
      <w:tr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7"/>
              </w:rPr>
              <w:t>دو: پژوهش پایه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7"/>
              </w:rPr>
              <w:t>ledger، بازار خارجی، ایران، مشتری، ورود و outcome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7"/>
              </w:rPr>
              <w:t>claim بدون منبع وارد نشود</w:t>
            </w:r>
          </w:p>
        </w:tc>
      </w:tr>
      <w:tr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7"/>
              </w:rPr>
              <w:t>سه: تکمیل چهار قالب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7"/>
              </w:rPr>
              <w:t>۴۷ dossier مستقل در یک Word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7"/>
              </w:rPr>
              <w:t>هر بخش evidence یا «دادهٔ اولیه لازم است» دارد</w:t>
            </w:r>
          </w:p>
        </w:tc>
      </w:tr>
      <w:tr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7"/>
              </w:rPr>
              <w:t>چهار: تحلیل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7"/>
              </w:rPr>
              <w:t>TAM/SAM/SOM، قیمت، امکان‌سنجی، risk و verdict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7"/>
              </w:rPr>
              <w:t>عدد فاقد ورودی معتبر ساخته نشود</w:t>
            </w:r>
          </w:p>
        </w:tc>
      </w:tr>
      <w:tr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7"/>
              </w:rPr>
              <w:t>پنج: تصمیم پرتفوی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7"/>
              </w:rPr>
              <w:t>جدول نهایی و دو رتبه‌بندی B2B/B2C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7"/>
              </w:rPr>
              <w:t>تصمیم با evidence و status تاریخی سازگار است</w:t>
            </w:r>
          </w:p>
        </w:tc>
      </w:tr>
      <w:tr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7"/>
              </w:rPr>
              <w:t>شش: QA و انتشار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7"/>
              </w:rPr>
              <w:t>فایل Word، register، changelog و QA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7"/>
              </w:rPr>
              <w:t>هیچ بخش/پرونده‌ای جا نمانده باشد</w:t>
            </w:r>
          </w:p>
        </w:tc>
      </w:tr>
    </w:tbl>
    <w:p/>
    <w:p>
      <w:pPr>
        <w:pStyle w:val="Heading1"/>
        <w:spacing w:after="100"/>
        <w:jc w:val="right"/>
        <w:bidi w:val="1"/>
      </w:pPr>
      <w:r>
        <w:rPr>
          <w:rFonts w:ascii="B Zar" w:hAnsi="B Zar" w:eastAsia="B Zar"/>
          <w:b/>
          <w:sz w:val="32"/>
        </w:rPr>
        <w:t>۸. فهرست کنترل ۴۷ پرونده</w:t>
      </w:r>
    </w:p>
    <w:p>
      <w:pPr>
        <w:spacing w:after="100"/>
        <w:jc w:val="right"/>
        <w:bidi w:val="1"/>
      </w:pPr>
      <w:r>
        <w:rPr>
          <w:rFonts w:ascii="B Zar" w:hAnsi="B Zar" w:eastAsia="B Zar"/>
          <w:b w:val="0"/>
          <w:sz w:val="22"/>
        </w:rPr>
        <w:t>کدهای «F» صرفاً برای تطبیق داخلی با repository فعلی هستند؛ در گزارش نهایی از شناسهٔ فارسی «پ» استفاده می‌شود.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F4E7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/>
                <w:color w:val="FFFFFF"/>
                <w:sz w:val="15"/>
              </w:rPr>
              <w:t>شناسه</w:t>
            </w:r>
          </w:p>
        </w:tc>
        <w:tc>
          <w:tcPr>
            <w:tcW w:type="dxa" w:w="2074"/>
            <w:shd w:fill="1F4E7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/>
                <w:color w:val="FFFFFF"/>
                <w:sz w:val="15"/>
              </w:rPr>
              <w:t>عنوان فارسی</w:t>
            </w:r>
          </w:p>
        </w:tc>
        <w:tc>
          <w:tcPr>
            <w:tcW w:type="dxa" w:w="2074"/>
            <w:shd w:fill="1F4E7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/>
                <w:color w:val="FFFFFF"/>
                <w:sz w:val="15"/>
              </w:rPr>
              <w:t>جریان</w:t>
            </w:r>
          </w:p>
        </w:tc>
        <w:tc>
          <w:tcPr>
            <w:tcW w:type="dxa" w:w="2074"/>
            <w:shd w:fill="1F4E7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/>
                <w:color w:val="FFFFFF"/>
                <w:sz w:val="15"/>
              </w:rPr>
              <w:t>وضعیت اولیه</w:t>
            </w:r>
          </w:p>
        </w:tc>
        <w:tc>
          <w:tcPr>
            <w:tcW w:type="dxa" w:w="2074"/>
            <w:shd w:fill="1F4E7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/>
                <w:color w:val="FFFFFF"/>
                <w:sz w:val="15"/>
              </w:rPr>
              <w:t>تطبیق داخلی</w:t>
            </w:r>
          </w:p>
        </w:tc>
      </w:tr>
      <w:tr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پ-۰۱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مدیریت گردش نمونه لباس و همکاری با تولیدکنندگان محتوا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B2B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فعال برای اعتبارسنجی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F-01</w:t>
            </w:r>
          </w:p>
        </w:tc>
      </w:tr>
      <w:tr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پ-۰۲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تداوم لباس و مدیریت دارایی برای فیلم، سریال و تبلیغات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B2B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فعال برای اعتبارسنجی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F-02</w:t>
            </w:r>
          </w:p>
        </w:tc>
      </w:tr>
      <w:tr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پ-۰۳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پرونده فنی محصول تا تأیید نمونه و قفل تولید انبوه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B2B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نیازمند اثبات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F-03</w:t>
            </w:r>
          </w:p>
        </w:tc>
      </w:tr>
      <w:tr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پ-۰۴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اصالت‌سنجی مستقل پوشاک و کفش ورزشی برند پیش از معامله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B2C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نیازمند اثبات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F-04</w:t>
            </w:r>
          </w:p>
        </w:tc>
      </w:tr>
      <w:tr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پ-۰۵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اجرای چیدمان و نمایش بصری در شعب پوشاک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B2B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رد / آرشیوی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F-05</w:t>
            </w:r>
          </w:p>
        </w:tc>
      </w:tr>
      <w:tr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پ-۰۶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آرشیو، امانت و گزارش وضعیت لباس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B2B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رد / آرشیوی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F-06</w:t>
            </w:r>
          </w:p>
        </w:tc>
      </w:tr>
      <w:tr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پ-۰۷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بازی اجتماعی مد بومی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B2C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توقف موقت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F-07</w:t>
            </w:r>
          </w:p>
        </w:tc>
      </w:tr>
      <w:tr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پ-۰۸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همیاری پروژه‌محور خیاطی خانگی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B2C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توقف موقت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F-08</w:t>
            </w:r>
          </w:p>
        </w:tc>
      </w:tr>
      <w:tr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پ-۰۹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مسیر سفارش طراحی تا نقد و بازبینی برای طراحان نوپا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ترکیبی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توقف موقت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F-09</w:t>
            </w:r>
          </w:p>
        </w:tc>
      </w:tr>
      <w:tr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پ-۱۰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طراحی سه‌بعدی و الگوسازی دیجیتال عمومی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B2B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رد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F-10</w:t>
            </w:r>
          </w:p>
        </w:tc>
      </w:tr>
      <w:tr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پ-۱۱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سامانه جامع چرخه عمر محصول و برنامه‌ریزی منابع سازمانی پوشاک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B2B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رد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F-11</w:t>
            </w:r>
          </w:p>
        </w:tc>
      </w:tr>
      <w:tr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پ-۱۲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اندازه‌گیری و پرو مجازی عمومی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ترکیبی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رد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F-12</w:t>
            </w:r>
          </w:p>
        </w:tc>
      </w:tr>
      <w:tr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پ-۱۳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مدیریت رنگ، نمونه رنگ و تأیید رنگ پارچه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B2B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رد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F-13</w:t>
            </w:r>
          </w:p>
        </w:tc>
      </w:tr>
      <w:tr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پ-۱۴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اجرای خط دوخت، ردیابی کار در جریان و متعادل‌سازی خط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B2B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رد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F-14</w:t>
            </w:r>
          </w:p>
        </w:tc>
      </w:tr>
      <w:tr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پ-۱۵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کنترل کیفیت، نمونه‌برداری پذیرش و اقدام اصلاحی عمومی پوشاک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B2B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رد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F-15</w:t>
            </w:r>
          </w:p>
        </w:tc>
      </w:tr>
      <w:tr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پ-۱۶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فروش الگوی دیجیتال و الگوسازی عمومی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B2C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رد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F-16</w:t>
            </w:r>
          </w:p>
        </w:tc>
      </w:tr>
      <w:tr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پ-۱۷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سامانه مدیریت مزون و خیاطی سفارشی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B2B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رد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F-17</w:t>
            </w:r>
          </w:p>
        </w:tc>
      </w:tr>
      <w:tr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پ-۱۸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استودیوی مدیریت‌شده از ایده تا تولید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B2B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خارج از دامنهٔ پلتفرم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F-18</w:t>
            </w:r>
          </w:p>
        </w:tc>
      </w:tr>
      <w:tr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پ-۱۹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هزینه‌یابی و توسعه محصول عمومی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B2B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رد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F-19</w:t>
            </w:r>
          </w:p>
        </w:tc>
      </w:tr>
      <w:tr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پ-۲۰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مدیریت تأیید طرح تا تولید برای چاپ و گلدوزی پوشاک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B2B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رد به درخواست کاربر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F-20</w:t>
            </w:r>
          </w:p>
        </w:tc>
      </w:tr>
      <w:tr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پ-۲۱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گذرنامه مهارت و آموزش اپراتور دوخت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B2B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رد به درخواست کاربر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F-21</w:t>
            </w:r>
          </w:p>
        </w:tc>
      </w:tr>
      <w:tr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پ-۲۲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هوشمندی تقاضا و برنامه‌ریزی مجموعه پوشاک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B2B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رد به درخواست کاربر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F-22</w:t>
            </w:r>
          </w:p>
        </w:tc>
      </w:tr>
      <w:tr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پ-۲۳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تخصیص کالا و توازن درون‌فصلی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B2B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بازپیشنهاد نشود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F-23</w:t>
            </w:r>
          </w:p>
        </w:tc>
      </w:tr>
      <w:tr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پ-۲۴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هوشمندی خرده‌فروشی مد: قیمت، ترکیب کالا و رقبا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B2B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بازپیشنهاد نشود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F-24</w:t>
            </w:r>
          </w:p>
        </w:tc>
      </w:tr>
      <w:tr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پ-۲۵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مدیریت رابطه با مشتری، سبک‌یابی نوبتی و خرید ویژه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B2B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رد به درخواست کاربر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F-25</w:t>
            </w:r>
          </w:p>
        </w:tc>
      </w:tr>
      <w:tr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پ-۲۶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سامانه مرجوعی و تعویض چندکاناله پوشاک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B2B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کنار گذاشته‌شده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F-26</w:t>
            </w:r>
          </w:p>
        </w:tc>
      </w:tr>
      <w:tr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پ-۲۷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سامانه فروش اجتماعی و پخش زنده برای بوتیک مد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B2B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رد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F-27</w:t>
            </w:r>
          </w:p>
        </w:tc>
      </w:tr>
      <w:tr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پ-۲۸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شوروم عمده‌فروشی خصوصی و پیش‌سفارش مجموعه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B2B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رد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F-28</w:t>
            </w:r>
          </w:p>
        </w:tc>
      </w:tr>
      <w:tr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پ-۲۹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سامانه تولید محتوای تجارت الکترونیکی مد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B2B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رد به درخواست کاربر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F-29</w:t>
            </w:r>
          </w:p>
        </w:tc>
      </w:tr>
      <w:tr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پ-۳۰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مرکز حفاظت از برند پوشاک در برابر فروشنده و طرح جعلی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B2B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رد به درخواست کاربر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F-30</w:t>
            </w:r>
          </w:p>
        </w:tc>
      </w:tr>
      <w:tr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پ-۳۱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گذرنامهٔ دیجیتال محصول و شناسهٔ اصالت پوشاک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B2B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رد اولیه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F-31</w:t>
            </w:r>
          </w:p>
        </w:tc>
      </w:tr>
      <w:tr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پ-۳۲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مدیریت چرخهٔ لباس فرم به‌عنوان خدمت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B2B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کنار گذاشته‌شده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F-32</w:t>
            </w:r>
          </w:p>
        </w:tc>
      </w:tr>
      <w:tr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پ-۳۳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بازارگاه حرفه‌ای خیاطی، پارچه و تولید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B2B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رد به درخواست کاربر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F-33</w:t>
            </w:r>
          </w:p>
        </w:tc>
      </w:tr>
      <w:tr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پ-۳۴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کمد دیجیتال و پیشنهاد سبک پوشش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B2C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رد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F-34</w:t>
            </w:r>
          </w:p>
        </w:tc>
      </w:tr>
      <w:tr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پ-۳۵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عکاسی مد و مدل‌سازی مجازی مبتنی بر هوش مصنوعی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B2B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رد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F-35</w:t>
            </w:r>
          </w:p>
        </w:tc>
      </w:tr>
      <w:tr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پ-۳۶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نقشه‌خوان تعاملی رودوزی ایرانی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B2C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رد به درخواست کاربر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F-36</w:t>
            </w:r>
          </w:p>
        </w:tc>
      </w:tr>
      <w:tr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پ-۳۷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لایهٔ حقیقت محصول مد برای مصرف‌کننده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ترکیبی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رد به درخواست کاربر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F-37</w:t>
            </w:r>
          </w:p>
        </w:tc>
      </w:tr>
      <w:tr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پ-۳۸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تعمیر، تغییر سایز و خدمات پس از فروش پوشاک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ترکیبی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رد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F-38</w:t>
            </w:r>
          </w:p>
        </w:tc>
      </w:tr>
      <w:tr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پ-۳۹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پوشاک دسترس‌پذیر برای مسیر درمانی مشخص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ترکیبی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خارج از دامنهٔ پلتفرم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F-39</w:t>
            </w:r>
          </w:p>
        </w:tc>
      </w:tr>
      <w:tr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پ-۴۰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پوشاک تطبیقی عمومی برای معلولیت و سالمندی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B2C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رد اولیه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F-40</w:t>
            </w:r>
          </w:p>
        </w:tc>
      </w:tr>
      <w:tr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پ-۴۱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مدیریت آژانس مدل و انتخاب مدل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ترکیبی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رد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F-41</w:t>
            </w:r>
          </w:p>
        </w:tc>
      </w:tr>
      <w:tr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پ-۴۲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عنوان و تعریف محصول در منبع اولیه هنوز بازیابی نشده است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نامشخص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نیازمند تطبیق منبع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—</w:t>
            </w:r>
          </w:p>
        </w:tc>
      </w:tr>
      <w:tr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پ-۴۳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عنوان و تعریف محصول در منبع اولیه هنوز بازیابی نشده است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نامشخص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نیازمند تطبیق منبع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—</w:t>
            </w:r>
          </w:p>
        </w:tc>
      </w:tr>
      <w:tr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پ-۴۴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عنوان و تعریف محصول در منبع اولیه هنوز بازیابی نشده است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نامشخص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نیازمند تطبیق منبع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—</w:t>
            </w:r>
          </w:p>
        </w:tc>
      </w:tr>
      <w:tr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پ-۴۵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عنوان و تعریف محصول در منبع اولیه هنوز بازیابی نشده است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نامشخص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نیازمند تطبیق منبع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—</w:t>
            </w:r>
          </w:p>
        </w:tc>
      </w:tr>
      <w:tr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پ-۴۶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عنوان و تعریف محصول در منبع اولیه هنوز بازیابی نشده است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نامشخص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نیازمند تطبیق منبع</w:t>
            </w:r>
          </w:p>
        </w:tc>
        <w:tc>
          <w:tcPr>
            <w:tcW w:type="dxa" w:w="2074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—</w:t>
            </w:r>
          </w:p>
        </w:tc>
      </w:tr>
      <w:tr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پ-۴۷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عنوان و تعریف محصول در منبع اولیه هنوز بازیابی نشده است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نامشخص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نیازمند تطبیق منبع</w:t>
            </w:r>
          </w:p>
        </w:tc>
        <w:tc>
          <w:tcPr>
            <w:tcW w:type="dxa" w:w="2074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5"/>
              </w:rPr>
              <w:t>—</w:t>
            </w:r>
          </w:p>
        </w:tc>
      </w:tr>
    </w:tbl>
    <w:p/>
    <w:p>
      <w:pPr>
        <w:pStyle w:val="Heading2"/>
        <w:spacing w:after="100"/>
        <w:jc w:val="right"/>
        <w:bidi w:val="1"/>
      </w:pPr>
      <w:r>
        <w:rPr>
          <w:rFonts w:ascii="B Zar" w:hAnsi="B Zar" w:eastAsia="B Zar"/>
          <w:b/>
          <w:sz w:val="26"/>
        </w:rPr>
        <w:t>۸-۱. تمرکز ورود و نتیجهٔ پژوهشی مورد انتظار برای تک‌تک پرونده‌ها</w:t>
      </w:r>
    </w:p>
    <w:p>
      <w:pPr>
        <w:spacing w:after="100"/>
        <w:jc w:val="right"/>
        <w:bidi w:val="1"/>
      </w:pPr>
      <w:r>
        <w:rPr>
          <w:rFonts w:ascii="B Zar" w:hAnsi="B Zar" w:eastAsia="B Zar"/>
          <w:b w:val="0"/>
          <w:sz w:val="22"/>
        </w:rPr>
        <w:t>این جدول، پیشنهاد ساخت فوری نیست؛ برای پرونده‌های ردشده، تمرکز آن اثبات یا اصلاح حکم رد است.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57"/>
        <w:gridCol w:w="3457"/>
        <w:gridCol w:w="3457"/>
      </w:tblGrid>
      <w:tr>
        <w:tc>
          <w:tcPr>
            <w:tcW w:type="dxa" w:w="3457"/>
            <w:shd w:fill="1F4E7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/>
                <w:color w:val="FFFFFF"/>
                <w:sz w:val="14"/>
              </w:rPr>
              <w:t>شناسه</w:t>
            </w:r>
          </w:p>
        </w:tc>
        <w:tc>
          <w:tcPr>
            <w:tcW w:type="dxa" w:w="3457"/>
            <w:shd w:fill="1F4E7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/>
                <w:color w:val="FFFFFF"/>
                <w:sz w:val="14"/>
              </w:rPr>
              <w:t>نقطهٔ ورود / تمرکز بررسی</w:t>
            </w:r>
          </w:p>
        </w:tc>
        <w:tc>
          <w:tcPr>
            <w:tcW w:type="dxa" w:w="3457"/>
            <w:shd w:fill="1F4E7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/>
                <w:color w:val="FFFFFF"/>
                <w:sz w:val="14"/>
              </w:rPr>
              <w:t>نتیجهٔ پژوهشی مورد انتظار</w:t>
            </w:r>
          </w:p>
        </w:tc>
      </w:tr>
      <w:tr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پ-۰۱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ثبت و رهگیری امانت/بازگشت نمونه میان برند، آژانس و تولیدکننده محتوا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اثبات حجم جریان کار، خریدار بودجه‌دار و پرداخت برای کاهش گم‌شدن/تاخیر</w:t>
            </w:r>
          </w:p>
        </w:tc>
      </w:tr>
      <w:tr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پ-۰۲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ثبت موبایلی تداوم لباس در یک تولید چند-look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اثبات استفاده و پرداخت پروژه‌ای برای کاهش خطای تداوم و handover</w:t>
            </w:r>
          </w:p>
        </w:tc>
      </w:tr>
      <w:tr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پ-۰۳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قفل نسخهٔ تأییدشدهٔ نمونه پیش از تحویل به کارگاه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اثبات درد نسخهٔ کهنه، استفاده برند/کارگاه و پرداخت برای کاهش rework</w:t>
            </w:r>
          </w:p>
        </w:tc>
      </w:tr>
      <w:tr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پ-۰۴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رأی تخصصی عکس‌محور برای یک دسته کالای ارزشمند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اثبات تمایل به پرداخت، کیفیت expert review و امکان سیاست مسئولیت</w:t>
            </w:r>
          </w:p>
        </w:tc>
      </w:tr>
      <w:tr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پ-۰۵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لایهٔ اثبات عکس و انطباق بصری روی سامانهٔ موجود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یا شکاف مستقل و buyer را اثبات کند یا آرشیوی‌بودن را مستندتر کند</w:t>
            </w:r>
          </w:p>
        </w:tc>
      </w:tr>
      <w:tr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پ-۰۶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ثبت امانت و وضعیت لباس برای مجموعهٔ واجد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یا buyer/procurement مستقل را اثبات کند یا آرشیوی‌بودن را مستندتر کند</w:t>
            </w:r>
          </w:p>
        </w:tc>
      </w:tr>
      <w:tr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پ-۰۷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فقط پس از رفع توقف: آزمون مفهوم بازی اجتماعی مد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اثبات تناسب ژانر، پرداخت، retention و ایمنی؛ در غیر این صورت توقف پابرجاست</w:t>
            </w:r>
          </w:p>
        </w:tc>
      </w:tr>
      <w:tr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پ-۰۸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گروه کوچک زمان‌دار برای اجرای یک پروژه خیاطی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اثبات استفاده تکرارشونده/پرداخت بدون تبدیل به آموزش یا بازارگاه</w:t>
            </w:r>
          </w:p>
        </w:tc>
      </w:tr>
      <w:tr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پ-۰۹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چرخهٔ brief، نقد ساختاریافته و بازبینی طرح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اثبات outcome برای طراح/نهاد شریک و تمایز از دوره یا مسابقه</w:t>
            </w:r>
          </w:p>
        </w:tc>
      </w:tr>
      <w:tr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پ-۱۰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هیچ ورود عمومی؛ فقط جست‌وجوی wedge غیرعمومی در صورت trigger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مستندسازی اشباع ابزار و تعیین شرط بسیار محدود بازگشایی</w:t>
            </w:r>
          </w:p>
        </w:tc>
      </w:tr>
      <w:tr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پ-۱۱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هیچ ورود عمومی؛ بررسی مرزهای باریک خارج از PLM/ERP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تأیید رد یا کشف workflow مستقل و غیرهم‌پوشان</w:t>
            </w:r>
          </w:p>
        </w:tc>
      </w:tr>
      <w:tr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پ-۱۲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هیچ ورود عمومی؛ فقط use case با داده و اعتماد ویژه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تأیید رد یا شرط بازگشایی مبتنی بر مزیت غیرقابل‌کپی</w:t>
            </w:r>
          </w:p>
        </w:tc>
      </w:tr>
      <w:tr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پ-۱۳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هیچ ورود عمومی؛ بررسی overlap با ابزار رنگ موجود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تأیید رد یا کشف نیاز مستقل خارج از سخت‌افزار/سامانه موجود</w:t>
            </w:r>
          </w:p>
        </w:tc>
      </w:tr>
      <w:tr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پ-۱۴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هیچ ورود عمومی؛ بررسی overlap با ERP/MES تولید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تأیید رد و منع بازنام‌گذاری کنترل خط</w:t>
            </w:r>
          </w:p>
        </w:tc>
      </w:tr>
      <w:tr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پ-۱۵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هیچ ورود عمومی؛ بررسی overlap با QC و AQL موجود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تأیید رد و تعیین شرط بازگشایی بسیار محدود</w:t>
            </w:r>
          </w:p>
        </w:tc>
      </w:tr>
      <w:tr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پ-۱۶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هیچ ورود عمومی؛ بررسی تمایز از آموزش/فروش فایل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تأیید رد یا عدم امکان کسب‌وکار پلتفرمی مستقل</w:t>
            </w:r>
          </w:p>
        </w:tc>
      </w:tr>
      <w:tr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پ-۱۷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هیچ ورود عمومی؛ مقایسه با نرم‌افزار مزون موجود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تأیید رد و جلوگیری از بازنام‌گذاری ابزار موجود</w:t>
            </w:r>
          </w:p>
        </w:tc>
      </w:tr>
      <w:tr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پ-۱۸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ورود پلتفرمی ندارد؛ مرز با خدمت مدیریت‌شده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ثبت خروج از دامنه و منع تبدیل به واسطه/عملیات</w:t>
            </w:r>
          </w:p>
        </w:tc>
      </w:tr>
      <w:tr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پ-۱۹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هیچ ورود عمومی؛ مرز با ERP/حسابداری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تأیید رد یا کشف job مستقل و غیرعمومی</w:t>
            </w:r>
          </w:p>
        </w:tc>
      </w:tr>
      <w:tr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پ-۲۰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ورود ممنوع مگر درخواست صریح کاربر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ثبت دلیل رد و منع بازپیشنهاد</w:t>
            </w:r>
          </w:p>
        </w:tc>
      </w:tr>
      <w:tr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پ-۲۱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ورود ممنوع مگر درخواست صریح کاربر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ثبت دلیل رد و منع بازپیشنهاد</w:t>
            </w:r>
          </w:p>
        </w:tc>
      </w:tr>
      <w:tr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پ-۲۲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ورود ممنوع مگر درخواست صریح کاربر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ثبت دلیل رد و منع بازپیشنهاد</w:t>
            </w:r>
          </w:p>
        </w:tc>
      </w:tr>
      <w:tr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پ-۲۳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هیچ ورود؛ مرز با تصمیم‌یار موجودی/تقاضا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تأیید منع بازپیشنهاد به دلیل هم‌پوشانی</w:t>
            </w:r>
          </w:p>
        </w:tc>
      </w:tr>
      <w:tr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پ-۲۴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هیچ ورود؛ مرز با پایش قیمت/رقیب موجود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تأیید منع بازپیشنهاد به دلیل هم‌پوشانی</w:t>
            </w:r>
          </w:p>
        </w:tc>
      </w:tr>
      <w:tr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پ-۲۵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ورود ممنوع مگر درخواست صریح کاربر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ثبت دلیل رد و منع بازپیشنهاد</w:t>
            </w:r>
          </w:p>
        </w:tc>
      </w:tr>
      <w:tr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پ-۲۶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هیچ ورود؛ مرز با عملیات حمل معکوس و سامانه‌های موجود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تأیید کنارگذاری یا شرط بازگشایی مستند</w:t>
            </w:r>
          </w:p>
        </w:tc>
      </w:tr>
      <w:tr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پ-۲۷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هیچ ورود؛ مرز با فروشگاه‌ساز و فروش اجتماعی موجود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تأیید رد و جلوگیری از clone شدن</w:t>
            </w:r>
          </w:p>
        </w:tc>
      </w:tr>
      <w:tr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پ-۲۸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هیچ ورود؛ مرز با بازارگاه و سفارش‌گیری عمده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تأیید رد و جلوگیری از ورود به marketplace</w:t>
            </w:r>
          </w:p>
        </w:tc>
      </w:tr>
      <w:tr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پ-۲۹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ورود ممنوع مگر درخواست صریح کاربر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ثبت دلیل رد و منع بازپیشنهاد</w:t>
            </w:r>
          </w:p>
        </w:tc>
      </w:tr>
      <w:tr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پ-۳۰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ورود ممنوع مگر درخواست صریح کاربر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ثبت دلیل رد و منع بازپیشنهاد</w:t>
            </w:r>
          </w:p>
        </w:tc>
      </w:tr>
      <w:tr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پ-۳۱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هیچ ورود عمومی؛ فقط compliance/export با مالکیت روشن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تأیید رد اولیه یا شرط بسیار محدود بازگشایی</w:t>
            </w:r>
          </w:p>
        </w:tc>
      </w:tr>
      <w:tr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پ-۳۲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هیچ ورود؛ مرز با عملیات لباس فرم و لجستیک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تأیید کنارگذاری و حفظ منع عملیات فیزیکی</w:t>
            </w:r>
          </w:p>
        </w:tc>
      </w:tr>
      <w:tr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پ-۳۳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ورود ممنوع؛ بازارگاه به‌صراحت رد شده است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ثبت دلیل رد و جلوگیری از بازنام‌گذاری</w:t>
            </w:r>
          </w:p>
        </w:tc>
      </w:tr>
      <w:tr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پ-۳۴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هیچ ورود؛ مرز با کمد دیجیتال/استایل‌یار موجود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تأیید رد و بررسی عدم تمایل به پرداخت</w:t>
            </w:r>
          </w:p>
        </w:tc>
      </w:tr>
      <w:tr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پ-۳۵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هیچ ورود؛ مرز با ابزار تصویرسازی عمومی و رقابت کالایی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تأیید رد و عدم بازنام‌گذاری AI-first</w:t>
            </w:r>
          </w:p>
        </w:tc>
      </w:tr>
      <w:tr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پ-۳۶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ورود ممنوع مگر درخواست صریح کاربر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ثبت دلیل رد و منع بازپیشنهاد</w:t>
            </w:r>
          </w:p>
        </w:tc>
      </w:tr>
      <w:tr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پ-۳۷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ورود ممنوع مگر درخواست صریح کاربر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ثبت دلیل رد و منع بازپیشنهاد</w:t>
            </w:r>
          </w:p>
        </w:tc>
      </w:tr>
      <w:tr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پ-۳۸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هیچ ورود؛ مرز با بازارگاه خدمات و عملیات میدانی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تأیید رد و حفظ منع وابستگی عملیاتی</w:t>
            </w:r>
          </w:p>
        </w:tc>
      </w:tr>
      <w:tr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پ-۳۹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ورود پلتفرمی ندارد؛ محصول فیزیکی/مسیر درمانی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ثبت خروج از دامنه و مرز ایمنی/درمان</w:t>
            </w:r>
          </w:p>
        </w:tc>
      </w:tr>
      <w:tr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پ-۴۰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هیچ ورود عمومی؛ نیاز به بازار و طراحی فیزیکی تخصصی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تأیید رد اولیه و تعیین شرط بازگشایی</w:t>
            </w:r>
          </w:p>
        </w:tc>
      </w:tr>
      <w:tr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پ-۴۱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هیچ ورود؛ مرز با بازارگاه/آژانس عملیاتی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تأیید رد به دلیل بازار و ریسک عملیاتی/حقوقی</w:t>
            </w:r>
          </w:p>
        </w:tc>
      </w:tr>
      <w:tr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پ-۴۲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بازیابی تعریف از منبع اولیه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پس از بازیابی: تعریف نقطه ورود و outcome؛ تا آن زمان هیچ ادعا</w:t>
            </w:r>
          </w:p>
        </w:tc>
      </w:tr>
      <w:tr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پ-۴۳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بازیابی تعریف از منبع اولیه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پس از بازیابی: تعریف نقطه ورود و outcome؛ تا آن زمان هیچ ادعا</w:t>
            </w:r>
          </w:p>
        </w:tc>
      </w:tr>
      <w:tr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پ-۴۴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بازیابی تعریف از منبع اولیه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پس از بازیابی: تعریف نقطه ورود و outcome؛ تا آن زمان هیچ ادعا</w:t>
            </w:r>
          </w:p>
        </w:tc>
      </w:tr>
      <w:tr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پ-۴۵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بازیابی تعریف از منبع اولیه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پس از بازیابی: تعریف نقطه ورود و outcome؛ تا آن زمان هیچ ادعا</w:t>
            </w:r>
          </w:p>
        </w:tc>
      </w:tr>
      <w:tr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پ-۴۶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بازیابی تعریف از منبع اولیه</w:t>
            </w:r>
          </w:p>
        </w:tc>
        <w:tc>
          <w:tcPr>
            <w:tcW w:type="dxa" w:w="3457"/>
            <w:shd w:fill="FFFFFF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پس از بازیابی: تعریف نقطه ورود و outcome؛ تا آن زمان هیچ ادعا</w:t>
            </w:r>
          </w:p>
        </w:tc>
      </w:tr>
      <w:tr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پ-۴۷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بازیابی تعریف از منبع اولیه</w:t>
            </w:r>
          </w:p>
        </w:tc>
        <w:tc>
          <w:tcPr>
            <w:tcW w:type="dxa" w:w="3457"/>
            <w:shd w:fill="EAF2F8"/>
            <w:vAlign w:val="center"/>
          </w:tcPr>
          <w:p>
            <w:pPr>
              <w:spacing w:after="20"/>
              <w:jc w:val="right"/>
              <w:bidi w:val="1"/>
            </w:pPr>
            <w:r/>
            <w:r>
              <w:rPr>
                <w:rFonts w:ascii="B Zar" w:hAnsi="B Zar" w:eastAsia="B Zar"/>
                <w:b w:val="0"/>
                <w:sz w:val="14"/>
              </w:rPr>
              <w:t>پس از بازیابی: تعریف نقطه ورود و outcome؛ تا آن زمان هیچ ادعا</w:t>
            </w:r>
          </w:p>
        </w:tc>
      </w:tr>
    </w:tbl>
    <w:p/>
    <w:p>
      <w:pPr>
        <w:pStyle w:val="Heading1"/>
        <w:spacing w:after="100"/>
        <w:jc w:val="right"/>
        <w:bidi w:val="1"/>
      </w:pPr>
      <w:r>
        <w:rPr>
          <w:rFonts w:ascii="B Zar" w:hAnsi="B Zar" w:eastAsia="B Zar"/>
          <w:b/>
          <w:sz w:val="32"/>
        </w:rPr>
        <w:t>۹. جدول مستند نهایی در انتهای گزارش</w:t>
      </w:r>
    </w:p>
    <w:p>
      <w:pPr>
        <w:spacing w:after="100"/>
        <w:jc w:val="right"/>
        <w:bidi w:val="1"/>
      </w:pPr>
      <w:r>
        <w:rPr>
          <w:rFonts w:ascii="B Zar" w:hAnsi="B Zar" w:eastAsia="B Zar"/>
          <w:b w:val="0"/>
          <w:sz w:val="22"/>
        </w:rPr>
        <w:t>در آخر فایل Word، یک جدول ۴۷ ردیفی با ستون‌های زیر می‌آید و هر خانه به dossier و ledger همان پرونده وصل است: شناسه، محصول، B2B/B2C، وضعیت اولیه، نقطه ورود، مشتری/خریدار اقتصادی، مسئله و outcome، نمونه خارجی، جایگزین ایران، مدل درآمد، شاهد قیمت و تمایل به پرداخت، وضعیت TAM/SAM/SOM، امکان اجرا/ریسک، verdict، گیت بعدی و درجه شواهد.</w:t>
      </w:r>
    </w:p>
    <w:p>
      <w:pPr>
        <w:pStyle w:val="Heading1"/>
        <w:spacing w:after="100"/>
        <w:jc w:val="right"/>
        <w:bidi w:val="1"/>
      </w:pPr>
      <w:r>
        <w:rPr>
          <w:rFonts w:ascii="B Zar" w:hAnsi="B Zar" w:eastAsia="B Zar"/>
          <w:b/>
          <w:sz w:val="32"/>
        </w:rPr>
        <w:t>۱۰. کنترل کیفیت و تعریف پایان کار</w:t>
      </w:r>
    </w:p>
    <w:p>
      <w:pPr>
        <w:spacing w:after="100"/>
        <w:jc w:val="right"/>
        <w:bidi w:val="1"/>
      </w:pPr>
      <w:r>
        <w:rPr>
          <w:rFonts w:ascii="B Zar" w:hAnsi="B Zar" w:eastAsia="B Zar"/>
          <w:b w:val="0"/>
          <w:sz w:val="20"/>
        </w:rPr>
        <w:t>□ هر چهار قالب و همهٔ اجزای آن‌ها برای همان محصول پوشش دارد.</w:t>
      </w:r>
    </w:p>
    <w:p>
      <w:pPr>
        <w:spacing w:after="100"/>
        <w:jc w:val="right"/>
        <w:bidi w:val="1"/>
      </w:pPr>
      <w:r>
        <w:rPr>
          <w:rFonts w:ascii="B Zar" w:hAnsi="B Zar" w:eastAsia="B Zar"/>
          <w:b w:val="0"/>
          <w:sz w:val="20"/>
        </w:rPr>
        <w:t>□ نقطه ورود، مشتری اول، مرز محصول، outcome و معیار توقف روشن است.</w:t>
      </w:r>
    </w:p>
    <w:p>
      <w:pPr>
        <w:spacing w:after="100"/>
        <w:jc w:val="right"/>
        <w:bidi w:val="1"/>
      </w:pPr>
      <w:r>
        <w:rPr>
          <w:rFonts w:ascii="B Zar" w:hAnsi="B Zar" w:eastAsia="B Zar"/>
          <w:b w:val="0"/>
          <w:sz w:val="20"/>
        </w:rPr>
        <w:t>□ رقیب خارجی، جایگزین ایران و روش دستی/خدمتی جداگانه بررسی شده‌اند.</w:t>
      </w:r>
    </w:p>
    <w:p>
      <w:pPr>
        <w:spacing w:after="100"/>
        <w:jc w:val="right"/>
        <w:bidi w:val="1"/>
      </w:pPr>
      <w:r>
        <w:rPr>
          <w:rFonts w:ascii="B Zar" w:hAnsi="B Zar" w:eastAsia="B Zar"/>
          <w:b w:val="0"/>
          <w:sz w:val="20"/>
        </w:rPr>
        <w:t>□ هر عدد منبع، تاریخ، تعریف، limitation و confidence دارد.</w:t>
      </w:r>
    </w:p>
    <w:p>
      <w:pPr>
        <w:spacing w:after="100"/>
        <w:jc w:val="right"/>
        <w:bidi w:val="1"/>
      </w:pPr>
      <w:r>
        <w:rPr>
          <w:rFonts w:ascii="B Zar" w:hAnsi="B Zar" w:eastAsia="B Zar"/>
          <w:b w:val="0"/>
          <w:sz w:val="20"/>
        </w:rPr>
        <w:t>□ بدون denominator واجد و قیمت/ARPA محلی، TAM/SAM/SOM پولی محاسبه نشده است.</w:t>
      </w:r>
    </w:p>
    <w:p>
      <w:pPr>
        <w:spacing w:after="100"/>
        <w:jc w:val="right"/>
        <w:bidi w:val="1"/>
      </w:pPr>
      <w:r>
        <w:rPr>
          <w:rFonts w:ascii="B Zar" w:hAnsi="B Zar" w:eastAsia="B Zar"/>
          <w:b w:val="0"/>
          <w:sz w:val="20"/>
        </w:rPr>
        <w:t>□ پژوهش اولیهٔ اجرا نشده، اجراشده جلوه داده نشده است.</w:t>
      </w:r>
    </w:p>
    <w:p>
      <w:pPr>
        <w:spacing w:after="100"/>
        <w:jc w:val="right"/>
        <w:bidi w:val="1"/>
      </w:pPr>
      <w:r>
        <w:rPr>
          <w:rFonts w:ascii="B Zar" w:hAnsi="B Zar" w:eastAsia="B Zar"/>
          <w:b w:val="0"/>
          <w:sz w:val="20"/>
        </w:rPr>
        <w:t>□ واژه‌گزینی فارسی حرفه‌ای بازبینی شده و statusهای رد/Pause حذف نشده‌اند.</w:t>
      </w:r>
    </w:p>
    <w:p>
      <w:pPr>
        <w:spacing w:after="100"/>
        <w:jc w:val="right"/>
        <w:bidi w:val="1"/>
      </w:pPr>
      <w:r>
        <w:rPr>
          <w:rFonts w:ascii="B Zar" w:hAnsi="B Zar" w:eastAsia="B Zar"/>
          <w:b w:val="0"/>
          <w:sz w:val="20"/>
        </w:rPr>
        <w:t>□ هر پرونده در جدول پایانی، register و تغییرنگار همگام است.</w:t>
      </w:r>
    </w:p>
    <w:p>
      <w:pPr>
        <w:spacing w:after="100"/>
        <w:jc w:val="right"/>
        <w:bidi w:val="1"/>
      </w:pPr>
      <w:r>
        <w:rPr>
          <w:rFonts w:ascii="B Zar" w:hAnsi="B Zar" w:eastAsia="B Zar"/>
          <w:b/>
          <w:sz w:val="22"/>
        </w:rPr>
        <w:t>تعریف پایان کار: یک فایل Word واحد با ۴۷ پروندهٔ خودکفا، همهٔ اجزای چهار قالب، منابع قابل‌ردیابی، نقطه ورود و outcome هر محصول، وضعیت صادقانهٔ داده‌های مفقود، و جدول مستند نهایی پرتفوی.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935" w:bottom="964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 w:val="1"/>
    </w:pPr>
    <w:r>
      <w:rPr>
        <w:rFonts w:ascii="B Zar" w:hAnsi="B Zar" w:eastAsia="B Zar"/>
        <w:b w:val="0"/>
        <w:color w:val="666666"/>
        <w:sz w:val="18"/>
      </w:rPr>
      <w:t>سند کنترل اجرایی — فاقد یافته یا ادعای پژوهش میدانی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B Zar" w:hAnsi="B Zar" w:eastAsia="B Zar"/>
        <w:b w:val="0"/>
        <w:color w:val="666666"/>
        <w:sz w:val="18"/>
      </w:rPr>
      <w:t>طرح عملیاتی گزارش جامع ۴۷ فرصت مد و پوشاک | نسخهٔ ۱٫۰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طرح عملیاتی گزارش جامع ۴۷ فرصت مد و پوشاک</dc:title>
  <dc:subject>Operational plan; not market research results</dc:subject>
  <dc:creator>Arena.ai research workflow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