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Cybersecurity Incident Analysis</w:t>
      </w:r>
    </w:p>
    <w:p>
      <w:pPr>
        <w:spacing w:after="60"/>
        <w:jc w:val="center"/>
      </w:pPr>
      <w:r>
        <w:rPr>
          <w:b/>
          <w:bCs/>
          <w:color w:val="444444"/>
          <w:sz w:val="26"/>
          <w:szCs w:val="26"/>
        </w:rPr>
        <w:t xml:space="preserve">Case Study: Trezor Customer Data Breach via Third-Party Vendor (ShipMonk)</w:t>
      </w:r>
    </w:p>
    <w:p>
      <w:pPr>
        <w:spacing w:after="300"/>
        <w:jc w:val="center"/>
      </w:pPr>
      <w:r>
        <w:rPr>
          <w:i/>
          <w:iCs/>
          <w:color w:val="666666"/>
          <w:sz w:val="22"/>
          <w:szCs w:val="22"/>
        </w:rPr>
        <w:t xml:space="preserve">A CIA Triad-Based Security Assessment</w:t>
      </w:r>
    </w:p>
    <w:p>
      <w:pPr>
        <w:pBdr>
          <w:bottom w:val="single" w:color="999999" w:sz="6" w:space="1"/>
        </w:pBdr>
        <w:spacing w:after="200"/>
      </w:pPr>
    </w:p>
    <w:p>
      <w:pPr>
        <w:pStyle w:val="Heading1"/>
        <w:spacing w:after="150" w:before="300"/>
      </w:pPr>
      <w:r>
        <w:rPr>
          <w:b/>
          <w:bCs/>
        </w:rPr>
        <w:t xml:space="preserve">1. Introduction</w:t>
      </w:r>
    </w:p>
    <w:p>
      <w:pPr>
        <w:spacing w:after="160" w:line="300"/>
      </w:pPr>
      <w:r>
        <w:t xml:space="preserve">This project examines a recent, real-world cybersecurity incident to illustrate how breaches occur in practice, which core information security principles are compromised, and what preventive controls could reduce future risk. The incident selected is the August 2026 data breach affecting hardware wallet manufacturer Trezor, which occurred through a compromise of its third-party shipping and logistics provider, ShipMonk.</w:t>
      </w:r>
    </w:p>
    <w:p>
      <w:pPr>
        <w:pStyle w:val="Heading1"/>
        <w:spacing w:after="150" w:before="300"/>
      </w:pPr>
      <w:r>
        <w:rPr>
          <w:b/>
          <w:bCs/>
        </w:rPr>
        <w:t xml:space="preserve">2. Incident Overview</w:t>
      </w:r>
    </w:p>
    <w:p>
      <w:pPr>
        <w:spacing w:after="140" w:line="300"/>
      </w:pPr>
      <w:r>
        <w:rPr>
          <w:b/>
          <w:bCs/>
        </w:rPr>
        <w:t xml:space="preserve">Organization Affected: </w:t>
      </w:r>
      <w:r>
        <w:t xml:space="preserve">Trezor (hardware cryptocurrency wallet manufacturer) and its shipping partner, ShipMonk</w:t>
      </w:r>
    </w:p>
    <w:p>
      <w:pPr>
        <w:spacing w:after="140" w:line="300"/>
      </w:pPr>
      <w:r>
        <w:rPr>
          <w:b/>
          <w:bCs/>
        </w:rPr>
        <w:t xml:space="preserve">Date Disclosed: </w:t>
      </w:r>
      <w:r>
        <w:t xml:space="preserve">August 2026</w:t>
      </w:r>
    </w:p>
    <w:p>
      <w:pPr>
        <w:spacing w:after="140" w:line="300"/>
      </w:pPr>
      <w:r>
        <w:rPr>
          <w:b/>
          <w:bCs/>
        </w:rPr>
        <w:t xml:space="preserve">Type of Incident: </w:t>
      </w:r>
      <w:r>
        <w:t xml:space="preserve">Third-party / supply-chain data breach</w:t>
      </w:r>
    </w:p>
    <w:p>
      <w:pPr>
        <w:spacing w:after="160" w:line="300"/>
      </w:pPr>
      <w:r>
        <w:t xml:space="preserve">In August 2026, Trezor disclosed that attackers had gained unauthorized access to customer data by compromising ShipMonk, the third-party company responsible for shipping and order fulfillment. The attackers accessed customer names, shipping addresses, email addresses, and phone numbers. The breach affected customers across seven countries — the United States, United Kingdom, Sweden, Colombia, Brazil, Italy, and Portugal — who had placed orders between May 10 and August 8, 2026. Approximately 14,000 customers were impacted. Notably, Trezor's own core systems and wallet security infrastructure were not directly breached; the exposure occurred entirely through the vendor's systems, making this a classic supply-chain security failure.</w:t>
      </w:r>
    </w:p>
    <w:p>
      <w:pPr>
        <w:pStyle w:val="Heading1"/>
        <w:spacing w:after="150" w:before="300"/>
      </w:pPr>
      <w:r>
        <w:rPr>
          <w:b/>
          <w:bCs/>
        </w:rPr>
        <w:t xml:space="preserve">3. CIA Triad Analysis</w:t>
      </w:r>
    </w:p>
    <w:p>
      <w:pPr>
        <w:spacing w:after="160" w:line="300"/>
      </w:pPr>
      <w:r>
        <w:t xml:space="preserve">The CIA Triad — Confidentiality, Integrity, and Availability — provides a standard framework for evaluating the security impact of an incident.</w:t>
      </w:r>
    </w:p>
    <w:p>
      <w:pPr>
        <w:spacing w:after="80" w:before="100"/>
      </w:pPr>
      <w:r>
        <w:rPr>
          <w:b/>
          <w:bCs/>
          <w:u w:val="single"/>
        </w:rPr>
        <w:t xml:space="preserve">Confidentiality — Primary Violation</w:t>
      </w:r>
    </w:p>
    <w:p>
      <w:pPr>
        <w:spacing w:after="160" w:line="300"/>
      </w:pPr>
      <w:r>
        <w:t xml:space="preserve">Confidentiality was the principal principle violated. Personally identifiable information (PII) — names, addresses, emails, and phone numbers — was disclosed to unauthorized attackers without consent, breaching the expectation that customer data would be accessible only to authorized parties.</w:t>
      </w:r>
    </w:p>
    <w:p>
      <w:pPr>
        <w:spacing w:after="80" w:before="100"/>
      </w:pPr>
      <w:r>
        <w:rPr>
          <w:b/>
          <w:bCs/>
          <w:u w:val="single"/>
        </w:rPr>
        <w:t xml:space="preserve">Integrity — Indirect Concern</w:t>
      </w:r>
    </w:p>
    <w:p>
      <w:pPr>
        <w:spacing w:after="160" w:line="300"/>
      </w:pPr>
      <w:r>
        <w:t xml:space="preserve">There is no indication that data was altered or that Trezor's systems (e.g., firmware or wallet software) were tampered with. However, the leaked contact information creates a secondary integrity risk: attackers can use it to craft convincing phishing messages, potentially tricking victims into taking actions that compromise their own wallet integrity (e.g., installing fake firmware or revealing recovery seeds).</w:t>
      </w:r>
    </w:p>
    <w:p>
      <w:pPr>
        <w:spacing w:after="80" w:before="100"/>
      </w:pPr>
      <w:r>
        <w:rPr>
          <w:b/>
          <w:bCs/>
          <w:u w:val="single"/>
        </w:rPr>
        <w:t xml:space="preserve">Availability — Not Directly Affected</w:t>
      </w:r>
    </w:p>
    <w:p>
      <w:pPr>
        <w:spacing w:after="160" w:line="300"/>
      </w:pPr>
      <w:r>
        <w:t xml:space="preserve">The breach did not disrupt Trezor's services, ShipMonk's operations, or customer access to their devices or accounts. Availability was not materially impacted in this incident.</w:t>
      </w:r>
    </w:p>
    <w:p>
      <w:pPr>
        <w:pStyle w:val="Heading1"/>
        <w:spacing w:after="150" w:before="300"/>
      </w:pPr>
      <w:r>
        <w:rPr>
          <w:b/>
          <w:bCs/>
        </w:rPr>
        <w:t xml:space="preserve">4. Who Was Affected</w:t>
      </w:r>
    </w:p>
    <w:p>
      <w:pPr>
        <w:pStyle w:val="ListParagraph"/>
        <w:numPr>
          <w:ilvl w:val="0"/>
          <w:numId w:val="2"/>
        </w:numPr>
        <w:spacing w:after="100" w:line="300"/>
      </w:pPr>
      <w:r>
        <w:t xml:space="preserve">Approximately 14,000 Trezor customers across the US, UK, Sweden, Colombia, Brazil, Italy, and Portugal.</w:t>
      </w:r>
    </w:p>
    <w:p>
      <w:pPr>
        <w:pStyle w:val="ListParagraph"/>
        <w:numPr>
          <w:ilvl w:val="0"/>
          <w:numId w:val="2"/>
        </w:numPr>
        <w:spacing w:after="100" w:line="300"/>
      </w:pPr>
      <w:r>
        <w:t xml:space="preserve">Trezor — reputational risk and loss of customer trust, despite the breach originating outside its own infrastructure.</w:t>
      </w:r>
    </w:p>
    <w:p>
      <w:pPr>
        <w:pStyle w:val="ListParagraph"/>
        <w:numPr>
          <w:ilvl w:val="0"/>
          <w:numId w:val="2"/>
        </w:numPr>
        <w:spacing w:after="100" w:line="300"/>
      </w:pPr>
      <w:r>
        <w:t xml:space="preserve">ShipMonk — direct liability as the breached party and vendor accountability exposure.</w:t>
      </w:r>
    </w:p>
    <w:p>
      <w:pPr>
        <w:pStyle w:val="ListParagraph"/>
        <w:numPr>
          <w:ilvl w:val="0"/>
          <w:numId w:val="2"/>
        </w:numPr>
        <w:spacing w:after="100" w:line="300"/>
      </w:pPr>
      <w:r>
        <w:t xml:space="preserve">Elevated real-world risk for affected customers: because Trezor customers are known holders of cryptocurrency hardware wallets, leaked names and physical addresses raise the risk of targeted phishing, social engineering, and even physical targeting (e.g., “$5 wrench attacks”).</w:t>
      </w:r>
    </w:p>
    <w:p>
      <w:pPr>
        <w:pStyle w:val="Heading1"/>
        <w:spacing w:after="150" w:before="300"/>
      </w:pPr>
      <w:r>
        <w:rPr>
          <w:b/>
          <w:bCs/>
        </w:rPr>
        <w:t xml:space="preserve">5. Recommended Control</w:t>
      </w:r>
    </w:p>
    <w:p>
      <w:pPr>
        <w:spacing w:after="160" w:line="300"/>
      </w:pPr>
      <w:r>
        <w:t xml:space="preserve">The most impactful control that could have reduced the impact of this breach is data minimization and limited retention at the third-party vendor level, combined with encryption of PII at rest.</w:t>
      </w:r>
    </w:p>
    <w:p>
      <w:pPr>
        <w:spacing w:after="160" w:line="300"/>
      </w:pPr>
      <w:r>
        <w:t xml:space="preserve">ShipMonk, as a logistics vendor, did not need to retain full customer PII (email, phone, home address) indefinitely after order fulfillment was complete. If Trezor's vendor contract had enforced strict data-retention limits — requiring ShipMonk to purge or anonymize customer data once shipping was confirmed — the amount of exposed data at the time of the breach would have been drastically reduced. Additionally, encrypting or tokenizing PII at rest within the vendor's systems would mean that even if attackers gained access, the stolen data would be unusable without the decryption keys, neutralizing much of the breach's impact.</w:t>
      </w:r>
    </w:p>
    <w:p>
      <w:pPr>
        <w:spacing w:after="160" w:line="300"/>
      </w:pPr>
      <w:r>
        <w:t xml:space="preserve">This case also illustrates a broader lesson in third-party risk management: an organization's security posture is only as strong as its weakest vendor, making vendor security audits and contractual data-handling requirements essential complements to an organization's own internal controls.</w:t>
      </w:r>
    </w:p>
    <w:p>
      <w:pPr>
        <w:pStyle w:val="Heading1"/>
        <w:spacing w:after="150" w:before="300"/>
      </w:pPr>
      <w:r>
        <w:rPr>
          <w:b/>
          <w:bCs/>
        </w:rPr>
        <w:t xml:space="preserve">6. Conclusion</w:t>
      </w:r>
    </w:p>
    <w:p>
      <w:pPr>
        <w:spacing w:after="160" w:line="300"/>
      </w:pPr>
      <w:r>
        <w:t xml:space="preserve">The Trezor / ShipMonk incident demonstrates that even security-focused companies can be exposed through weaknesses in their supply chain. It underscores the importance of extending confidentiality controls — such as data minimization, encryption, and retention limits — beyond an organization's own perimeter to every third party that touches customer data.</w:t>
      </w:r>
    </w:p>
    <w:p>
      <w:pPr>
        <w:pStyle w:val="Heading1"/>
        <w:spacing w:after="150" w:before="300"/>
      </w:pPr>
      <w:r>
        <w:rPr>
          <w:b/>
          <w:bCs/>
        </w:rPr>
        <w:t xml:space="preserve">7. Source</w:t>
      </w:r>
    </w:p>
    <w:p>
      <w:pPr>
        <w:spacing w:after="160"/>
      </w:pPr>
      <w:r>
        <w:t xml:space="preserve">Privacy Guides, “Data Breach Roundup (August 7 – 13, 2026),” </w:t>
      </w:r>
      <w:hyperlink w:history="1" r:id="rIdabimxtpyz03c2wablfgop">
        <w:r>
          <w:rPr>
            <w:rStyle w:val="Hyperlink"/>
          </w:rPr>
          <w:t xml:space="preserve">https://www.privacyguides.org/news/2026/08/14/data-breach-roundup-august-7-13-2026/</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bimxtpyz03c2wablfgop" Type="http://schemas.openxmlformats.org/officeDocument/2006/relationships/hyperlink" Target="https://www.privacyguides.org/news/2026/08/14/data-breach-roundup-august-7-13-2026/"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2026-09-07T06:11:43.539Z</dcterms:created>
  <dcterms:modified xsi:type="dcterms:W3CDTF">2026-09-07T06:11:43.550Z</dcterms:modified>
</cp:coreProperties>
</file>

<file path=docProps/custom.xml><?xml version="1.0" encoding="utf-8"?>
<Properties xmlns="http://schemas.openxmlformats.org/officeDocument/2006/custom-properties" xmlns:vt="http://schemas.openxmlformats.org/officeDocument/2006/docPropsVTypes"/>
</file>