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3C80B034"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w:t>
      </w:r>
      <w:r w:rsidR="00DB3BDC" w:rsidRPr="00DB3BDC">
        <w:t xml:space="preserve">This is a potential </w:t>
      </w:r>
      <w:r w:rsidR="00DB3BDC" w:rsidRPr="00DB3BDC">
        <w:t>approach</w:t>
      </w:r>
      <w:r w:rsidR="00DB3BDC" w:rsidRPr="00DB3BDC">
        <w:t xml:space="preserve"> which can be used for anomaly detection and prediction in numerous sectors such as healthcare, finance, geological disasters, cyber-intrusion detection, military surveillance, system fault detection.</w:t>
      </w:r>
    </w:p>
    <w:p w14:paraId="14C5358D" w14:textId="30778AD5"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DB3BD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389C74D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 xml:space="preserve">with a ratio of quantities and units. </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1"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1F0FE7AD" w:rsidR="00834FEB" w:rsidRPr="00DF33FC" w:rsidRDefault="00DB3BDC" w:rsidP="006000D1">
      <w:r>
        <w:pict w14:anchorId="43633294">
          <v:shape id="_x0000_s2050"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12772007" w14:textId="77777777" w:rsidR="00341687" w:rsidRPr="00F452BD" w:rsidRDefault="00341687" w:rsidP="00836367">
      <w:pPr>
        <w:pStyle w:val="references"/>
        <w:numPr>
          <w:ilvl w:val="0"/>
          <w:numId w:val="0"/>
        </w:numPr>
        <w:ind w:left="360" w:hanging="360"/>
        <w:jc w:val="center"/>
        <w:rPr>
          <w:rFonts w:eastAsia="SimSun"/>
          <w:b/>
          <w:noProof w:val="0"/>
          <w:color w:val="FF0000"/>
          <w:spacing w:val="-1"/>
          <w:sz w:val="20"/>
          <w:szCs w:val="20"/>
          <w:lang w:eastAsia="x-none"/>
        </w:rPr>
        <w:sectPr w:rsidR="00341687" w:rsidRPr="00F452BD" w:rsidSect="00AC597F">
          <w:type w:val="continuous"/>
          <w:pgSz w:w="11906" w:h="16838" w:code="9"/>
          <w:pgMar w:top="1080" w:right="907" w:bottom="1440" w:left="907" w:header="720" w:footer="720" w:gutter="0"/>
          <w:cols w:num="2" w:space="360"/>
          <w:docGrid w:linePitch="360"/>
        </w:sectPr>
      </w:pPr>
    </w:p>
    <w:p w14:paraId="7F145753" w14:textId="76EE010A"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7989C" w14:textId="77777777" w:rsidR="0095430B" w:rsidRDefault="0095430B" w:rsidP="001A3B3D">
      <w:r>
        <w:separator/>
      </w:r>
    </w:p>
  </w:endnote>
  <w:endnote w:type="continuationSeparator" w:id="0">
    <w:p w14:paraId="2E755CF4" w14:textId="77777777" w:rsidR="0095430B" w:rsidRDefault="009543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BB1BC" w14:textId="77777777" w:rsidR="0095430B" w:rsidRDefault="0095430B" w:rsidP="001A3B3D">
      <w:r>
        <w:separator/>
      </w:r>
    </w:p>
  </w:footnote>
  <w:footnote w:type="continuationSeparator" w:id="0">
    <w:p w14:paraId="597C355F" w14:textId="77777777" w:rsidR="0095430B" w:rsidRDefault="0095430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B3BD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oNotTrackMoves/>
  <w:defaultTabStop w:val="720"/>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629B7"/>
    <w:rsid w:val="001A2EFD"/>
    <w:rsid w:val="001A3B3D"/>
    <w:rsid w:val="001B67DC"/>
    <w:rsid w:val="001D7A7F"/>
    <w:rsid w:val="001E00F2"/>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07592"/>
    <w:rsid w:val="00420716"/>
    <w:rsid w:val="004325FB"/>
    <w:rsid w:val="00435ED0"/>
    <w:rsid w:val="004432BA"/>
    <w:rsid w:val="0044407E"/>
    <w:rsid w:val="004465FB"/>
    <w:rsid w:val="00447BB9"/>
    <w:rsid w:val="00455F62"/>
    <w:rsid w:val="0046031D"/>
    <w:rsid w:val="004658E9"/>
    <w:rsid w:val="00494E9C"/>
    <w:rsid w:val="00495F06"/>
    <w:rsid w:val="004A31F0"/>
    <w:rsid w:val="004D72B5"/>
    <w:rsid w:val="004F37C2"/>
    <w:rsid w:val="004F66B4"/>
    <w:rsid w:val="005300ED"/>
    <w:rsid w:val="00551B7F"/>
    <w:rsid w:val="00562171"/>
    <w:rsid w:val="0056610F"/>
    <w:rsid w:val="0057117D"/>
    <w:rsid w:val="00575BCA"/>
    <w:rsid w:val="005A69AA"/>
    <w:rsid w:val="005B0344"/>
    <w:rsid w:val="005B520E"/>
    <w:rsid w:val="005E2800"/>
    <w:rsid w:val="006000D1"/>
    <w:rsid w:val="00605825"/>
    <w:rsid w:val="0064564D"/>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5430B"/>
    <w:rsid w:val="00972203"/>
    <w:rsid w:val="009E2D7D"/>
    <w:rsid w:val="009F1D79"/>
    <w:rsid w:val="00A059B3"/>
    <w:rsid w:val="00A432C9"/>
    <w:rsid w:val="00A528C0"/>
    <w:rsid w:val="00A767CF"/>
    <w:rsid w:val="00AB6B38"/>
    <w:rsid w:val="00AC597F"/>
    <w:rsid w:val="00AD2F3E"/>
    <w:rsid w:val="00AE3409"/>
    <w:rsid w:val="00B11A60"/>
    <w:rsid w:val="00B22613"/>
    <w:rsid w:val="00B23668"/>
    <w:rsid w:val="00B768D1"/>
    <w:rsid w:val="00BA1025"/>
    <w:rsid w:val="00BC3420"/>
    <w:rsid w:val="00BC49FD"/>
    <w:rsid w:val="00BD670B"/>
    <w:rsid w:val="00BE7D3C"/>
    <w:rsid w:val="00BF5FF6"/>
    <w:rsid w:val="00C0207F"/>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2D06"/>
    <w:rsid w:val="00D7522C"/>
    <w:rsid w:val="00D7536F"/>
    <w:rsid w:val="00D76668"/>
    <w:rsid w:val="00D96230"/>
    <w:rsid w:val="00DA3BE7"/>
    <w:rsid w:val="00DB09DA"/>
    <w:rsid w:val="00DB3BDC"/>
    <w:rsid w:val="00DF33FC"/>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2125</Words>
  <Characters>12116</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39</cp:revision>
  <cp:lastPrinted>2022-03-15T00:46:00Z</cp:lastPrinted>
  <dcterms:created xsi:type="dcterms:W3CDTF">2019-02-11T20:33:00Z</dcterms:created>
  <dcterms:modified xsi:type="dcterms:W3CDTF">2025-03-09T10:23:00Z</dcterms:modified>
</cp:coreProperties>
</file>