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8789E" w14:textId="77777777" w:rsidR="0075404F" w:rsidRPr="0075404F" w:rsidRDefault="0075404F" w:rsidP="0075404F">
      <w:r w:rsidRPr="0075404F">
        <w:t xml:space="preserve">I found </w:t>
      </w:r>
      <w:r w:rsidRPr="0075404F">
        <w:rPr>
          <w:b/>
          <w:bCs/>
        </w:rPr>
        <w:t>two substantive, non-correction-notice PHIPA-related updates specifically involving The Ottawa Hospital</w:t>
      </w:r>
      <w:r w:rsidRPr="0075404F">
        <w:t xml:space="preserve"> between </w:t>
      </w:r>
      <w:r w:rsidRPr="0075404F">
        <w:rPr>
          <w:b/>
          <w:bCs/>
        </w:rPr>
        <w:t>January 16, 2026 and July 16, 2026</w:t>
      </w:r>
      <w:r w:rsidRPr="0075404F">
        <w:t xml:space="preserve">, based on cross-checking IPC decisions, The Ottawa Hospital materials, and broader indexed news coverage. I have treated “exclude corrections” as excluding </w:t>
      </w:r>
      <w:r w:rsidRPr="0075404F">
        <w:rPr>
          <w:b/>
          <w:bCs/>
        </w:rPr>
        <w:t>editorial/news correction notices</w:t>
      </w:r>
      <w:r w:rsidRPr="0075404F">
        <w:t>, not substantive PHIPA cases involving a patient’s request to correct their health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2494"/>
        <w:gridCol w:w="2149"/>
        <w:gridCol w:w="920"/>
        <w:gridCol w:w="1750"/>
        <w:gridCol w:w="1019"/>
      </w:tblGrid>
      <w:tr w:rsidR="0075404F" w:rsidRPr="0075404F" w14:paraId="22C7E57E" w14:textId="77777777">
        <w:trPr>
          <w:tblHeader/>
          <w:tblCellSpacing w:w="15" w:type="dxa"/>
        </w:trPr>
        <w:tc>
          <w:tcPr>
            <w:tcW w:w="0" w:type="auto"/>
            <w:vAlign w:val="center"/>
            <w:hideMark/>
          </w:tcPr>
          <w:p w14:paraId="4B982A1A" w14:textId="77777777" w:rsidR="0075404F" w:rsidRPr="0075404F" w:rsidRDefault="0075404F" w:rsidP="0075404F">
            <w:pPr>
              <w:rPr>
                <w:b/>
                <w:bCs/>
              </w:rPr>
            </w:pPr>
            <w:r w:rsidRPr="0075404F">
              <w:rPr>
                <w:b/>
                <w:bCs/>
              </w:rPr>
              <w:t>Hospital</w:t>
            </w:r>
          </w:p>
        </w:tc>
        <w:tc>
          <w:tcPr>
            <w:tcW w:w="0" w:type="auto"/>
            <w:vAlign w:val="center"/>
            <w:hideMark/>
          </w:tcPr>
          <w:p w14:paraId="27940615" w14:textId="77777777" w:rsidR="0075404F" w:rsidRPr="0075404F" w:rsidRDefault="0075404F" w:rsidP="0075404F">
            <w:pPr>
              <w:rPr>
                <w:b/>
                <w:bCs/>
              </w:rPr>
            </w:pPr>
            <w:r w:rsidRPr="0075404F">
              <w:rPr>
                <w:b/>
                <w:bCs/>
              </w:rPr>
              <w:t>Issue</w:t>
            </w:r>
          </w:p>
        </w:tc>
        <w:tc>
          <w:tcPr>
            <w:tcW w:w="0" w:type="auto"/>
            <w:vAlign w:val="center"/>
            <w:hideMark/>
          </w:tcPr>
          <w:p w14:paraId="74BA16E9" w14:textId="77777777" w:rsidR="0075404F" w:rsidRPr="0075404F" w:rsidRDefault="0075404F" w:rsidP="0075404F">
            <w:pPr>
              <w:rPr>
                <w:b/>
                <w:bCs/>
              </w:rPr>
            </w:pPr>
            <w:r w:rsidRPr="0075404F">
              <w:rPr>
                <w:b/>
                <w:bCs/>
              </w:rPr>
              <w:t>Paragraph blurb</w:t>
            </w:r>
          </w:p>
        </w:tc>
        <w:tc>
          <w:tcPr>
            <w:tcW w:w="0" w:type="auto"/>
            <w:vAlign w:val="center"/>
            <w:hideMark/>
          </w:tcPr>
          <w:p w14:paraId="220DED32" w14:textId="77777777" w:rsidR="0075404F" w:rsidRPr="0075404F" w:rsidRDefault="0075404F" w:rsidP="0075404F">
            <w:pPr>
              <w:rPr>
                <w:b/>
                <w:bCs/>
              </w:rPr>
            </w:pPr>
            <w:r w:rsidRPr="0075404F">
              <w:rPr>
                <w:b/>
                <w:bCs/>
              </w:rPr>
              <w:t>Date</w:t>
            </w:r>
          </w:p>
        </w:tc>
        <w:tc>
          <w:tcPr>
            <w:tcW w:w="0" w:type="auto"/>
            <w:vAlign w:val="center"/>
            <w:hideMark/>
          </w:tcPr>
          <w:p w14:paraId="0B515715" w14:textId="77777777" w:rsidR="0075404F" w:rsidRPr="0075404F" w:rsidRDefault="0075404F" w:rsidP="0075404F">
            <w:pPr>
              <w:rPr>
                <w:b/>
                <w:bCs/>
              </w:rPr>
            </w:pPr>
            <w:r w:rsidRPr="0075404F">
              <w:rPr>
                <w:b/>
                <w:bCs/>
              </w:rPr>
              <w:t>Source</w:t>
            </w:r>
          </w:p>
        </w:tc>
        <w:tc>
          <w:tcPr>
            <w:tcW w:w="0" w:type="auto"/>
            <w:vAlign w:val="center"/>
            <w:hideMark/>
          </w:tcPr>
          <w:p w14:paraId="4A8671C8" w14:textId="77777777" w:rsidR="0075404F" w:rsidRPr="0075404F" w:rsidRDefault="0075404F" w:rsidP="0075404F">
            <w:pPr>
              <w:rPr>
                <w:b/>
                <w:bCs/>
              </w:rPr>
            </w:pPr>
            <w:r w:rsidRPr="0075404F">
              <w:rPr>
                <w:b/>
                <w:bCs/>
              </w:rPr>
              <w:t>Source link</w:t>
            </w:r>
          </w:p>
        </w:tc>
      </w:tr>
      <w:tr w:rsidR="0075404F" w:rsidRPr="0075404F" w14:paraId="6DB3BDAB" w14:textId="77777777">
        <w:trPr>
          <w:tblCellSpacing w:w="15" w:type="dxa"/>
        </w:trPr>
        <w:tc>
          <w:tcPr>
            <w:tcW w:w="0" w:type="auto"/>
            <w:vAlign w:val="center"/>
            <w:hideMark/>
          </w:tcPr>
          <w:p w14:paraId="69BBD276" w14:textId="77777777" w:rsidR="0075404F" w:rsidRPr="0075404F" w:rsidRDefault="0075404F" w:rsidP="0075404F">
            <w:r w:rsidRPr="0075404F">
              <w:rPr>
                <w:b/>
                <w:bCs/>
              </w:rPr>
              <w:t>The Ottawa Hospital</w:t>
            </w:r>
          </w:p>
        </w:tc>
        <w:tc>
          <w:tcPr>
            <w:tcW w:w="0" w:type="auto"/>
            <w:vAlign w:val="center"/>
            <w:hideMark/>
          </w:tcPr>
          <w:p w14:paraId="6585E1D7" w14:textId="77777777" w:rsidR="0075404F" w:rsidRPr="0075404F" w:rsidRDefault="0075404F" w:rsidP="0075404F">
            <w:r w:rsidRPr="0075404F">
              <w:rPr>
                <w:b/>
                <w:bCs/>
              </w:rPr>
              <w:t>PHIPA Decision 326 — correction of an after-visit summary / statement of disagreement</w:t>
            </w:r>
          </w:p>
        </w:tc>
        <w:tc>
          <w:tcPr>
            <w:tcW w:w="0" w:type="auto"/>
            <w:vAlign w:val="center"/>
            <w:hideMark/>
          </w:tcPr>
          <w:p w14:paraId="5C35E14D" w14:textId="77777777" w:rsidR="0075404F" w:rsidRPr="0075404F" w:rsidRDefault="0075404F" w:rsidP="0075404F">
            <w:r w:rsidRPr="0075404F">
              <w:t xml:space="preserve">A patient asked The Ottawa Hospital to correct portions of an </w:t>
            </w:r>
            <w:r w:rsidRPr="0075404F">
              <w:rPr>
                <w:b/>
                <w:bCs/>
              </w:rPr>
              <w:t>after-visit summary</w:t>
            </w:r>
            <w:r w:rsidRPr="0075404F">
              <w:t xml:space="preserve"> under PHIPA and subsequently requested that a </w:t>
            </w:r>
            <w:r w:rsidRPr="0075404F">
              <w:rPr>
                <w:b/>
                <w:bCs/>
              </w:rPr>
              <w:t>statement of disagreement</w:t>
            </w:r>
            <w:r w:rsidRPr="0075404F">
              <w:t xml:space="preserve"> be attached to the record under s. 55(13). The hospital declined to make the requested corrections because it was not required to do so under the Act, but added the statement of disagreement to the patient’s electronic health record. On </w:t>
            </w:r>
            <w:r w:rsidRPr="0075404F">
              <w:rPr>
                <w:b/>
                <w:bCs/>
              </w:rPr>
              <w:t>January 26, 2026</w:t>
            </w:r>
            <w:r w:rsidRPr="0075404F">
              <w:t xml:space="preserve">, the Ontario IPC upheld the hospital’s position, </w:t>
            </w:r>
            <w:r w:rsidRPr="0075404F">
              <w:lastRenderedPageBreak/>
              <w:t xml:space="preserve">finding that the hospital had no duty to make the requested corrections and had satisfied its obligation by attaching the disagreement statement to the electronic record. The adjudicator also found that the hospital was </w:t>
            </w:r>
            <w:r w:rsidRPr="0075404F">
              <w:rPr>
                <w:b/>
                <w:bCs/>
              </w:rPr>
              <w:t>not required to make the statement accessible through the patient portal</w:t>
            </w:r>
            <w:r w:rsidRPr="0075404F">
              <w:t xml:space="preserve"> and dismissed the complaint. (</w:t>
            </w:r>
            <w:hyperlink r:id="rId4" w:tooltip="PHIPA DECISION 326 | Information and Privacy Commissioner of Ontario" w:history="1">
              <w:r w:rsidRPr="0075404F">
                <w:rPr>
                  <w:rStyle w:val="Hyperlink"/>
                </w:rPr>
                <w:t>IPC Ontario</w:t>
              </w:r>
            </w:hyperlink>
            <w:r w:rsidRPr="0075404F">
              <w:t>)</w:t>
            </w:r>
          </w:p>
        </w:tc>
        <w:tc>
          <w:tcPr>
            <w:tcW w:w="0" w:type="auto"/>
            <w:vAlign w:val="center"/>
            <w:hideMark/>
          </w:tcPr>
          <w:p w14:paraId="1A112BE7" w14:textId="77777777" w:rsidR="0075404F" w:rsidRPr="0075404F" w:rsidRDefault="0075404F" w:rsidP="0075404F">
            <w:r w:rsidRPr="0075404F">
              <w:rPr>
                <w:b/>
                <w:bCs/>
              </w:rPr>
              <w:lastRenderedPageBreak/>
              <w:t>January 26, 2026</w:t>
            </w:r>
          </w:p>
        </w:tc>
        <w:tc>
          <w:tcPr>
            <w:tcW w:w="0" w:type="auto"/>
            <w:vAlign w:val="center"/>
            <w:hideMark/>
          </w:tcPr>
          <w:p w14:paraId="1FCE0A19" w14:textId="77777777" w:rsidR="0075404F" w:rsidRPr="0075404F" w:rsidRDefault="0075404F" w:rsidP="0075404F">
            <w:r w:rsidRPr="0075404F">
              <w:t xml:space="preserve">Information and Privacy Commissioner of Ontario — </w:t>
            </w:r>
            <w:r w:rsidRPr="0075404F">
              <w:rPr>
                <w:b/>
                <w:bCs/>
              </w:rPr>
              <w:t>PHIPA Decision 326</w:t>
            </w:r>
            <w:r w:rsidRPr="0075404F">
              <w:t>, Complaint HA23-00094</w:t>
            </w:r>
          </w:p>
        </w:tc>
        <w:tc>
          <w:tcPr>
            <w:tcW w:w="0" w:type="auto"/>
            <w:vAlign w:val="center"/>
            <w:hideMark/>
          </w:tcPr>
          <w:p w14:paraId="3E661801" w14:textId="77777777" w:rsidR="0075404F" w:rsidRPr="0075404F" w:rsidRDefault="0075404F" w:rsidP="0075404F">
            <w:hyperlink r:id="rId5" w:history="1">
              <w:r w:rsidRPr="0075404F">
                <w:rPr>
                  <w:rStyle w:val="Hyperlink"/>
                </w:rPr>
                <w:t>IPC PHIPA Decision 326</w:t>
              </w:r>
            </w:hyperlink>
          </w:p>
        </w:tc>
      </w:tr>
      <w:tr w:rsidR="0075404F" w:rsidRPr="0075404F" w14:paraId="6D64E809" w14:textId="77777777">
        <w:trPr>
          <w:tblCellSpacing w:w="15" w:type="dxa"/>
        </w:trPr>
        <w:tc>
          <w:tcPr>
            <w:tcW w:w="0" w:type="auto"/>
            <w:vAlign w:val="center"/>
            <w:hideMark/>
          </w:tcPr>
          <w:p w14:paraId="23804B20" w14:textId="77777777" w:rsidR="0075404F" w:rsidRPr="0075404F" w:rsidRDefault="0075404F" w:rsidP="0075404F">
            <w:r w:rsidRPr="0075404F">
              <w:rPr>
                <w:b/>
                <w:bCs/>
              </w:rPr>
              <w:t>The Ottawa Hospital</w:t>
            </w:r>
          </w:p>
        </w:tc>
        <w:tc>
          <w:tcPr>
            <w:tcW w:w="0" w:type="auto"/>
            <w:vAlign w:val="center"/>
            <w:hideMark/>
          </w:tcPr>
          <w:p w14:paraId="0BCEC3CC" w14:textId="77777777" w:rsidR="0075404F" w:rsidRPr="0075404F" w:rsidRDefault="0075404F" w:rsidP="0075404F">
            <w:r w:rsidRPr="0075404F">
              <w:rPr>
                <w:b/>
                <w:bCs/>
              </w:rPr>
              <w:t>PHIPA Decision 340 — access to electronic medical-record display formats/screenshots</w:t>
            </w:r>
          </w:p>
        </w:tc>
        <w:tc>
          <w:tcPr>
            <w:tcW w:w="0" w:type="auto"/>
            <w:vAlign w:val="center"/>
            <w:hideMark/>
          </w:tcPr>
          <w:p w14:paraId="163A334B" w14:textId="77777777" w:rsidR="0075404F" w:rsidRPr="0075404F" w:rsidRDefault="0075404F" w:rsidP="0075404F">
            <w:r w:rsidRPr="0075404F">
              <w:t xml:space="preserve">A patient requested “samples” or </w:t>
            </w:r>
            <w:r w:rsidRPr="0075404F">
              <w:rPr>
                <w:b/>
                <w:bCs/>
              </w:rPr>
              <w:t>screenshots of 25 electronic medical-record displays</w:t>
            </w:r>
            <w:r w:rsidRPr="0075404F">
              <w:t xml:space="preserve">, including items such as “Storyboard” and “Snapshot,” from The Ottawa Hospital’s EMR. The hospital offered printed copies of </w:t>
            </w:r>
            <w:r w:rsidRPr="0075404F">
              <w:lastRenderedPageBreak/>
              <w:t xml:space="preserve">the personal health information that would be displayed but declined to produce screenshots. In </w:t>
            </w:r>
            <w:r w:rsidRPr="0075404F">
              <w:rPr>
                <w:b/>
                <w:bCs/>
              </w:rPr>
              <w:t>PHIPA Decision 340</w:t>
            </w:r>
            <w:r w:rsidRPr="0075404F">
              <w:t xml:space="preserve">, dated </w:t>
            </w:r>
            <w:r w:rsidRPr="0075404F">
              <w:rPr>
                <w:b/>
                <w:bCs/>
              </w:rPr>
              <w:t>June 25, 2026</w:t>
            </w:r>
            <w:r w:rsidRPr="0075404F">
              <w:t xml:space="preserve">, the IPC found that the requested screenshots could potentially qualify as “records” under PHIPA, but the hospital did </w:t>
            </w:r>
            <w:r w:rsidRPr="0075404F">
              <w:rPr>
                <w:b/>
                <w:bCs/>
              </w:rPr>
              <w:t>not create or maintain the screenshots</w:t>
            </w:r>
            <w:r w:rsidRPr="0075404F">
              <w:t xml:space="preserve"> and therefore was not required to create them in response to the access request. The adjudicator concluded that the hospital had proposed reasonable alternatives for providing access to the underlying information and dismissed the complaint, along with additional allegations </w:t>
            </w:r>
            <w:r w:rsidRPr="0075404F">
              <w:lastRenderedPageBreak/>
              <w:t>concerning PHIPA offences, the hospital’s response to an earlier access request, and procedural fairness. (</w:t>
            </w:r>
            <w:hyperlink r:id="rId6" w:tooltip="Latest IPC Decisions | Information and Privacy Commissioner of Ontario" w:history="1">
              <w:r w:rsidRPr="0075404F">
                <w:rPr>
                  <w:rStyle w:val="Hyperlink"/>
                </w:rPr>
                <w:t>IPC Ontario</w:t>
              </w:r>
            </w:hyperlink>
            <w:r w:rsidRPr="0075404F">
              <w:t>)</w:t>
            </w:r>
          </w:p>
        </w:tc>
        <w:tc>
          <w:tcPr>
            <w:tcW w:w="0" w:type="auto"/>
            <w:vAlign w:val="center"/>
            <w:hideMark/>
          </w:tcPr>
          <w:p w14:paraId="51CE70FA" w14:textId="77777777" w:rsidR="0075404F" w:rsidRPr="0075404F" w:rsidRDefault="0075404F" w:rsidP="0075404F">
            <w:r w:rsidRPr="0075404F">
              <w:rPr>
                <w:b/>
                <w:bCs/>
              </w:rPr>
              <w:lastRenderedPageBreak/>
              <w:t>June 25, 2026</w:t>
            </w:r>
          </w:p>
        </w:tc>
        <w:tc>
          <w:tcPr>
            <w:tcW w:w="0" w:type="auto"/>
            <w:vAlign w:val="center"/>
            <w:hideMark/>
          </w:tcPr>
          <w:p w14:paraId="77D11184" w14:textId="77777777" w:rsidR="0075404F" w:rsidRPr="0075404F" w:rsidRDefault="0075404F" w:rsidP="0075404F">
            <w:r w:rsidRPr="0075404F">
              <w:t xml:space="preserve">Information and Privacy Commissioner of Ontario — </w:t>
            </w:r>
            <w:r w:rsidRPr="0075404F">
              <w:rPr>
                <w:b/>
                <w:bCs/>
              </w:rPr>
              <w:t>PHIPA Decision 340</w:t>
            </w:r>
          </w:p>
        </w:tc>
        <w:tc>
          <w:tcPr>
            <w:tcW w:w="0" w:type="auto"/>
            <w:vAlign w:val="center"/>
            <w:hideMark/>
          </w:tcPr>
          <w:p w14:paraId="2A99E7F8" w14:textId="77777777" w:rsidR="0075404F" w:rsidRPr="0075404F" w:rsidRDefault="0075404F" w:rsidP="0075404F">
            <w:hyperlink r:id="rId7" w:history="1">
              <w:r w:rsidRPr="0075404F">
                <w:rPr>
                  <w:rStyle w:val="Hyperlink"/>
                </w:rPr>
                <w:t>IPC PHIPA Decision 340</w:t>
              </w:r>
            </w:hyperlink>
          </w:p>
        </w:tc>
      </w:tr>
    </w:tbl>
    <w:p w14:paraId="5326A465" w14:textId="77777777" w:rsidR="0075404F" w:rsidRPr="0075404F" w:rsidRDefault="0075404F" w:rsidP="0075404F">
      <w:pPr>
        <w:rPr>
          <w:b/>
          <w:bCs/>
        </w:rPr>
      </w:pPr>
      <w:r w:rsidRPr="0075404F">
        <w:rPr>
          <w:b/>
          <w:bCs/>
        </w:rPr>
        <w:lastRenderedPageBreak/>
        <w:t>Executive performance-management readout</w:t>
      </w:r>
    </w:p>
    <w:p w14:paraId="0C7D8BBD" w14:textId="77777777" w:rsidR="0075404F" w:rsidRPr="0075404F" w:rsidRDefault="0075404F" w:rsidP="0075404F">
      <w:r w:rsidRPr="0075404F">
        <w:t xml:space="preserve">For </w:t>
      </w:r>
      <w:r w:rsidRPr="0075404F">
        <w:rPr>
          <w:b/>
          <w:bCs/>
        </w:rPr>
        <w:t>The Ottawa Hospital</w:t>
      </w:r>
      <w:r w:rsidRPr="0075404F">
        <w:t xml:space="preserve">, the period is notable less for privacy-breach publicity than for </w:t>
      </w:r>
      <w:r w:rsidRPr="0075404F">
        <w:rPr>
          <w:b/>
          <w:bCs/>
        </w:rPr>
        <w:t>patient-access and electronic-record governance issues</w:t>
      </w:r>
      <w:r w:rsidRPr="0075404F">
        <w:t xml:space="preserve">. The two identified IPC matters both relate to how TOH administers rights over information held in its Epic/electronic record environment: </w:t>
      </w:r>
      <w:r w:rsidRPr="0075404F">
        <w:rPr>
          <w:b/>
          <w:bCs/>
        </w:rPr>
        <w:t>record correction and statements of disagreement</w:t>
      </w:r>
      <w:r w:rsidRPr="0075404F">
        <w:t xml:space="preserve"> in Decision 326, and </w:t>
      </w:r>
      <w:r w:rsidRPr="0075404F">
        <w:rPr>
          <w:b/>
          <w:bCs/>
        </w:rPr>
        <w:t>the form in which electronic records must be provided</w:t>
      </w:r>
      <w:r w:rsidRPr="0075404F">
        <w:t xml:space="preserve"> in Decision 340. The IPC did </w:t>
      </w:r>
      <w:r w:rsidRPr="0075404F">
        <w:rPr>
          <w:b/>
          <w:bCs/>
        </w:rPr>
        <w:t>not</w:t>
      </w:r>
      <w:r w:rsidRPr="0075404F">
        <w:t xml:space="preserve"> find a substantive PHIPA breach in either matter. Decision 340 is particularly relevant to digital-health governance because it confirms that a custodian's access obligation does not necessarily require it to generate a new technical representation of information—such as a screenshot—that it does not create or maintain. (</w:t>
      </w:r>
      <w:hyperlink r:id="rId8" w:tooltip="PHIPA DECISION 326 | Information and Privacy Commissioner of Ontario" w:history="1">
        <w:r w:rsidRPr="0075404F">
          <w:rPr>
            <w:rStyle w:val="Hyperlink"/>
          </w:rPr>
          <w:t>IPC Ontario</w:t>
        </w:r>
      </w:hyperlink>
      <w:r w:rsidRPr="0075404F">
        <w:t>)</w:t>
      </w:r>
    </w:p>
    <w:p w14:paraId="47668B5B" w14:textId="77777777" w:rsidR="0075404F" w:rsidRPr="0075404F" w:rsidRDefault="0075404F" w:rsidP="0075404F">
      <w:pPr>
        <w:rPr>
          <w:b/>
          <w:bCs/>
        </w:rPr>
      </w:pPr>
      <w:r w:rsidRPr="0075404F">
        <w:rPr>
          <w:b/>
          <w:bCs/>
        </w:rPr>
        <w:t>Completeness note</w:t>
      </w:r>
    </w:p>
    <w:p w14:paraId="43FCF6A7" w14:textId="77777777" w:rsidR="0075404F" w:rsidRPr="0075404F" w:rsidRDefault="0075404F" w:rsidP="0075404F">
      <w:r w:rsidRPr="0075404F">
        <w:t xml:space="preserve">I found </w:t>
      </w:r>
      <w:r w:rsidRPr="0075404F">
        <w:rPr>
          <w:b/>
          <w:bCs/>
        </w:rPr>
        <w:t>no additional indexed PHIPA decision, privacy-breach announcement, or major-news report specifically naming The Ottawa Hospital within January 16–July 16, 2026</w:t>
      </w:r>
      <w:r w:rsidRPr="0075404F">
        <w:t xml:space="preserve"> that met the requested criteria. The IPC's published decision listings show the other PHIPA decisions issued around these dates involved different custodians/hospitals; for example, the July 13, 2026 PHIPA decision concerned </w:t>
      </w:r>
      <w:r w:rsidRPr="0075404F">
        <w:rPr>
          <w:b/>
          <w:bCs/>
        </w:rPr>
        <w:t>Trillium Health Partners</w:t>
      </w:r>
      <w:r w:rsidRPr="0075404F">
        <w:t>, not TOH. (</w:t>
      </w:r>
      <w:hyperlink r:id="rId9" w:tooltip="Latest IPC Decisions | Information and Privacy Commissioner of Ontario" w:history="1">
        <w:r w:rsidRPr="0075404F">
          <w:rPr>
            <w:rStyle w:val="Hyperlink"/>
          </w:rPr>
          <w:t>IPC Ontario</w:t>
        </w:r>
      </w:hyperlink>
      <w:r w:rsidRPr="0075404F">
        <w:t>)</w:t>
      </w:r>
    </w:p>
    <w:p w14:paraId="5A8F4147" w14:textId="77777777" w:rsidR="0075404F" w:rsidRPr="0075404F" w:rsidRDefault="0075404F" w:rsidP="0075404F">
      <w:r w:rsidRPr="0075404F">
        <w:t xml:space="preserve">The Ottawa Hospital's own current privacy materials also continue to describe its PHIPA framework, Epic access controls, auditing, consent directives, and privacy-breach procedures, but those are </w:t>
      </w:r>
      <w:r w:rsidRPr="0075404F">
        <w:rPr>
          <w:b/>
          <w:bCs/>
        </w:rPr>
        <w:t>standing policy/information pages rather than discrete news updates in the requested date window</w:t>
      </w:r>
      <w:r w:rsidRPr="0075404F">
        <w:t>, so I have not counted them as separate updates. (</w:t>
      </w:r>
      <w:hyperlink r:id="rId10" w:tooltip="The Ottawa Hospital commitment | The Ottawa Hospital" w:history="1">
        <w:r w:rsidRPr="0075404F">
          <w:rPr>
            <w:rStyle w:val="Hyperlink"/>
          </w:rPr>
          <w:t>ottawahospital.on.ca</w:t>
        </w:r>
      </w:hyperlink>
      <w:r w:rsidRPr="0075404F">
        <w:t>)</w:t>
      </w:r>
    </w:p>
    <w:p w14:paraId="56A0CCED"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DC"/>
    <w:rsid w:val="0067003E"/>
    <w:rsid w:val="0075404F"/>
    <w:rsid w:val="009347F2"/>
    <w:rsid w:val="009F2B23"/>
    <w:rsid w:val="00E118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0A4EA"/>
  <w15:chartTrackingRefBased/>
  <w15:docId w15:val="{AFAAFB56-C3B0-4C00-995F-B1AA49554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8DC"/>
    <w:rPr>
      <w:rFonts w:eastAsiaTheme="majorEastAsia" w:cstheme="majorBidi"/>
      <w:color w:val="272727" w:themeColor="text1" w:themeTint="D8"/>
    </w:rPr>
  </w:style>
  <w:style w:type="paragraph" w:styleId="Title">
    <w:name w:val="Title"/>
    <w:basedOn w:val="Normal"/>
    <w:next w:val="Normal"/>
    <w:link w:val="TitleChar"/>
    <w:uiPriority w:val="10"/>
    <w:qFormat/>
    <w:rsid w:val="00E11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8DC"/>
    <w:pPr>
      <w:spacing w:before="160"/>
      <w:jc w:val="center"/>
    </w:pPr>
    <w:rPr>
      <w:i/>
      <w:iCs/>
      <w:color w:val="404040" w:themeColor="text1" w:themeTint="BF"/>
    </w:rPr>
  </w:style>
  <w:style w:type="character" w:customStyle="1" w:styleId="QuoteChar">
    <w:name w:val="Quote Char"/>
    <w:basedOn w:val="DefaultParagraphFont"/>
    <w:link w:val="Quote"/>
    <w:uiPriority w:val="29"/>
    <w:rsid w:val="00E118DC"/>
    <w:rPr>
      <w:i/>
      <w:iCs/>
      <w:color w:val="404040" w:themeColor="text1" w:themeTint="BF"/>
    </w:rPr>
  </w:style>
  <w:style w:type="paragraph" w:styleId="ListParagraph">
    <w:name w:val="List Paragraph"/>
    <w:basedOn w:val="Normal"/>
    <w:uiPriority w:val="34"/>
    <w:qFormat/>
    <w:rsid w:val="00E118DC"/>
    <w:pPr>
      <w:ind w:left="720"/>
      <w:contextualSpacing/>
    </w:pPr>
  </w:style>
  <w:style w:type="character" w:styleId="IntenseEmphasis">
    <w:name w:val="Intense Emphasis"/>
    <w:basedOn w:val="DefaultParagraphFont"/>
    <w:uiPriority w:val="21"/>
    <w:qFormat/>
    <w:rsid w:val="00E118DC"/>
    <w:rPr>
      <w:i/>
      <w:iCs/>
      <w:color w:val="0F4761" w:themeColor="accent1" w:themeShade="BF"/>
    </w:rPr>
  </w:style>
  <w:style w:type="paragraph" w:styleId="IntenseQuote">
    <w:name w:val="Intense Quote"/>
    <w:basedOn w:val="Normal"/>
    <w:next w:val="Normal"/>
    <w:link w:val="IntenseQuoteChar"/>
    <w:uiPriority w:val="30"/>
    <w:qFormat/>
    <w:rsid w:val="00E11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8DC"/>
    <w:rPr>
      <w:i/>
      <w:iCs/>
      <w:color w:val="0F4761" w:themeColor="accent1" w:themeShade="BF"/>
    </w:rPr>
  </w:style>
  <w:style w:type="character" w:styleId="IntenseReference">
    <w:name w:val="Intense Reference"/>
    <w:basedOn w:val="DefaultParagraphFont"/>
    <w:uiPriority w:val="32"/>
    <w:qFormat/>
    <w:rsid w:val="00E118DC"/>
    <w:rPr>
      <w:b/>
      <w:bCs/>
      <w:smallCaps/>
      <w:color w:val="0F4761" w:themeColor="accent1" w:themeShade="BF"/>
      <w:spacing w:val="5"/>
    </w:rPr>
  </w:style>
  <w:style w:type="character" w:styleId="Hyperlink">
    <w:name w:val="Hyperlink"/>
    <w:basedOn w:val="DefaultParagraphFont"/>
    <w:uiPriority w:val="99"/>
    <w:unhideWhenUsed/>
    <w:rsid w:val="0075404F"/>
    <w:rPr>
      <w:color w:val="467886" w:themeColor="hyperlink"/>
      <w:u w:val="single"/>
    </w:rPr>
  </w:style>
  <w:style w:type="character" w:styleId="UnresolvedMention">
    <w:name w:val="Unresolved Mention"/>
    <w:basedOn w:val="DefaultParagraphFont"/>
    <w:uiPriority w:val="99"/>
    <w:semiHidden/>
    <w:unhideWhenUsed/>
    <w:rsid w:val="00754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c.on.ca/fr/node/5529?utm_source=chatgpt.com" TargetMode="External"/><Relationship Id="rId3" Type="http://schemas.openxmlformats.org/officeDocument/2006/relationships/webSettings" Target="webSettings.xml"/><Relationship Id="rId7" Type="http://schemas.openxmlformats.org/officeDocument/2006/relationships/hyperlink" Target="https://www.ipc.on.ca/en/decisions/latest-decisions?page=3&amp;utm_source=chatgpt.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pc.on.ca/en/decisions/latest-decisions?page=3" TargetMode="External"/><Relationship Id="rId11" Type="http://schemas.openxmlformats.org/officeDocument/2006/relationships/fontTable" Target="fontTable.xml"/><Relationship Id="rId5" Type="http://schemas.openxmlformats.org/officeDocument/2006/relationships/hyperlink" Target="https://www.ipc.on.ca/fr/node/5529?utm_source=chatgpt.com" TargetMode="External"/><Relationship Id="rId10" Type="http://schemas.openxmlformats.org/officeDocument/2006/relationships/hyperlink" Target="https://www.ottawahospital.on.ca/en/patients-and-visitors/your-privacy-and-data/ottawa-hospital-commitment?utm_source=chatgpt.com" TargetMode="External"/><Relationship Id="rId4" Type="http://schemas.openxmlformats.org/officeDocument/2006/relationships/hyperlink" Target="https://www.ipc.on.ca/fr/node/5529?utm_source=chatgpt.com" TargetMode="External"/><Relationship Id="rId9" Type="http://schemas.openxmlformats.org/officeDocument/2006/relationships/hyperlink" Target="https://www.ipc.on.ca/en/decisions/latest-decisions?page=2&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786</Words>
  <Characters>4484</Characters>
  <Application>Microsoft Office Word</Application>
  <DocSecurity>0</DocSecurity>
  <Lines>37</Lines>
  <Paragraphs>10</Paragraphs>
  <ScaleCrop>false</ScaleCrop>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2026-08-26T08:06:00Z</dcterms:created>
  <dcterms:modified xsi:type="dcterms:W3CDTF">2026-08-26T08:06:00Z</dcterms:modified>
</cp:coreProperties>
</file>