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1020" w14:textId="77777777" w:rsidR="00D06FC1" w:rsidRPr="00D06FC1" w:rsidRDefault="00D06FC1" w:rsidP="00D06FC1">
      <w:r w:rsidRPr="00D06FC1">
        <w:t xml:space="preserve">I found </w:t>
      </w:r>
      <w:r w:rsidRPr="00D06FC1">
        <w:rPr>
          <w:b/>
          <w:bCs/>
        </w:rPr>
        <w:t>two qualifying PHIPA-related public updates involving The Ottawa Hospital</w:t>
      </w:r>
      <w:r w:rsidRPr="00D06FC1">
        <w:t xml:space="preserve"> between </w:t>
      </w:r>
      <w:r w:rsidRPr="00D06FC1">
        <w:rPr>
          <w:b/>
          <w:bCs/>
        </w:rPr>
        <w:t>January 16, 2026 and July 16, 2026</w:t>
      </w:r>
      <w:r w:rsidRPr="00D06FC1">
        <w:t>. I searched the Ontario IPC decision record, Ottawa Hospital materials, and broader web/news coverage and did not find a separately reported PHIPA breach, enforcement action, ransomware/privacy incident, or other Ottawa Hospital PHIPA matter in the period. The two items below are IPC adjudicative decisions rather than conventional news articles.</w:t>
      </w:r>
    </w:p>
    <w:p w14:paraId="2D6B7FCE" w14:textId="77777777" w:rsidR="00D06FC1" w:rsidRPr="00D06FC1" w:rsidRDefault="00D06FC1" w:rsidP="00D06FC1">
      <w:r w:rsidRPr="00D06FC1">
        <w:rPr>
          <w:b/>
          <w:bCs/>
        </w:rPr>
        <w:t>Scope note:</w:t>
      </w:r>
      <w:r w:rsidRPr="00D06FC1">
        <w:t xml:space="preserve"> I treated “exclude corrections” as excluding </w:t>
      </w:r>
      <w:r w:rsidRPr="00D06FC1">
        <w:rPr>
          <w:i/>
          <w:iCs/>
        </w:rPr>
        <w:t>correction notices/errata to published news</w:t>
      </w:r>
      <w:r w:rsidRPr="00D06FC1">
        <w:t>, rather than excluding PHIPA cases that themselves concern a patient’s request to correct a record.</w:t>
      </w:r>
    </w:p>
    <w:p w14:paraId="1012D60F" w14:textId="77777777" w:rsidR="00D06FC1" w:rsidRPr="00D06FC1" w:rsidRDefault="00D06FC1" w:rsidP="00D06FC1">
      <w:pPr>
        <w:rPr>
          <w:b/>
          <w:bCs/>
        </w:rPr>
      </w:pPr>
      <w:r w:rsidRPr="00D06FC1">
        <w:rPr>
          <w:b/>
          <w:bCs/>
        </w:rPr>
        <w:t>1</w:t>
      </w:r>
    </w:p>
    <w:p w14:paraId="3DAAB738" w14:textId="77777777" w:rsidR="00D06FC1" w:rsidRPr="00D06FC1" w:rsidRDefault="00D06FC1" w:rsidP="00D06FC1">
      <w:r w:rsidRPr="00D06FC1">
        <w:rPr>
          <w:b/>
          <w:bCs/>
        </w:rPr>
        <w:t>The Ottawa Hospital → Access/correction of an after-visit summary and statement of disagreement →</w:t>
      </w:r>
      <w:r w:rsidRPr="00D06FC1">
        <w:t xml:space="preserve"> A patient asked The Ottawa Hospital to correct portions of an after-visit summary and subsequently requested that a statement of disagreement be attached to the hospital’s records under PHIPA s.55(13). The hospital declined to make the requested substantive corrections because it found that the statutory duty to correct did not apply, but it did attach the statement of disagreement to the patient’s electronic health record. The IPC upheld the hospital’s position, finding that the hospital had satisfied its obligation to attach the statement and was </w:t>
      </w:r>
      <w:r w:rsidRPr="00D06FC1">
        <w:rPr>
          <w:b/>
          <w:bCs/>
        </w:rPr>
        <w:t>not required to make the statement accessible through the patient portal</w:t>
      </w:r>
      <w:r w:rsidRPr="00D06FC1">
        <w:t>. For performance-management purposes, the decision is relevant to TOH’s handling of correction requests, EHR governance, documentation of patient disagreement, and alignment between the underlying record and patient-facing portal functionality. (</w:t>
      </w:r>
      <w:hyperlink r:id="rId4" w:tooltip="PHIPA DECISION 326 | Information and Privacy Commissioner of Ontario" w:history="1">
        <w:r w:rsidRPr="00D06FC1">
          <w:rPr>
            <w:rStyle w:val="Hyperlink"/>
          </w:rPr>
          <w:t>IPC Ontario</w:t>
        </w:r>
      </w:hyperlink>
      <w:r w:rsidRPr="00D06FC1">
        <w:t>)</w:t>
      </w:r>
      <w:r w:rsidRPr="00D06FC1">
        <w:br/>
      </w:r>
      <w:r w:rsidRPr="00D06FC1">
        <w:rPr>
          <w:b/>
          <w:bCs/>
        </w:rPr>
        <w:t>Date →</w:t>
      </w:r>
      <w:r w:rsidRPr="00D06FC1">
        <w:t xml:space="preserve"> January 26, 2026</w:t>
      </w:r>
      <w:r w:rsidRPr="00D06FC1">
        <w:br/>
      </w:r>
      <w:r w:rsidRPr="00D06FC1">
        <w:rPr>
          <w:b/>
          <w:bCs/>
        </w:rPr>
        <w:t>Source →</w:t>
      </w:r>
      <w:r w:rsidRPr="00D06FC1">
        <w:t xml:space="preserve"> Information and Privacy Commissioner of Ontario, </w:t>
      </w:r>
      <w:r w:rsidRPr="00D06FC1">
        <w:rPr>
          <w:b/>
          <w:bCs/>
        </w:rPr>
        <w:t>PHIPA Decision 326</w:t>
      </w:r>
      <w:r w:rsidRPr="00D06FC1">
        <w:t xml:space="preserve">, Complaint HA23-00094, </w:t>
      </w:r>
      <w:r w:rsidRPr="00D06FC1">
        <w:rPr>
          <w:i/>
          <w:iCs/>
        </w:rPr>
        <w:t>The Ottawa Hospital</w:t>
      </w:r>
      <w:r w:rsidRPr="00D06FC1">
        <w:br/>
      </w:r>
      <w:r w:rsidRPr="00D06FC1">
        <w:rPr>
          <w:b/>
          <w:bCs/>
        </w:rPr>
        <w:t>Source link →</w:t>
      </w:r>
      <w:r w:rsidRPr="00D06FC1">
        <w:t xml:space="preserve"> </w:t>
      </w:r>
      <w:hyperlink r:id="rId5" w:history="1">
        <w:r w:rsidRPr="00D06FC1">
          <w:rPr>
            <w:rStyle w:val="Hyperlink"/>
          </w:rPr>
          <w:t>IPC PHIPA Decision 326</w:t>
        </w:r>
      </w:hyperlink>
    </w:p>
    <w:p w14:paraId="5943BAE8" w14:textId="77777777" w:rsidR="00D06FC1" w:rsidRPr="00D06FC1" w:rsidRDefault="00D06FC1" w:rsidP="00D06FC1">
      <w:pPr>
        <w:rPr>
          <w:b/>
          <w:bCs/>
        </w:rPr>
      </w:pPr>
      <w:r w:rsidRPr="00D06FC1">
        <w:rPr>
          <w:b/>
          <w:bCs/>
        </w:rPr>
        <w:t>2</w:t>
      </w:r>
    </w:p>
    <w:p w14:paraId="16662EC6" w14:textId="77777777" w:rsidR="00D06FC1" w:rsidRPr="00D06FC1" w:rsidRDefault="00D06FC1" w:rsidP="00D06FC1">
      <w:r w:rsidRPr="00D06FC1">
        <w:rPr>
          <w:b/>
          <w:bCs/>
        </w:rPr>
        <w:t>The Ottawa Hospital → Patient request for screenshots of EHR displays under PHIPA →</w:t>
      </w:r>
      <w:r w:rsidRPr="00D06FC1">
        <w:t xml:space="preserve"> A patient requested “samples” or screenshots of 25 programmed displays in The Ottawa Hospital’s electronic medical record system, including items described as “Storyboard” and “Snapshot.” TOH offered printed copies of the personal health information represented by the displays but declined to produce screenshots. The IPC found that screenshots </w:t>
      </w:r>
      <w:r w:rsidRPr="00D06FC1">
        <w:rPr>
          <w:b/>
          <w:bCs/>
        </w:rPr>
        <w:t>could potentially constitute “records” under PHIPA</w:t>
      </w:r>
      <w:r w:rsidRPr="00D06FC1">
        <w:t xml:space="preserve">, rejecting the hospital’s broader argument on that point, but concluded that TOH did not create or maintain the requested screenshots and therefore had no obligation to create them in the circumstances. The </w:t>
      </w:r>
      <w:r w:rsidRPr="00D06FC1">
        <w:lastRenderedPageBreak/>
        <w:t xml:space="preserve">adjudicator found that TOH’s proposed alternatives were reasonable and dismissed the complaint, including additional allegations concerning the hospital’s response to a prior access request and alleged PHIPA offences. The decision is particularly relevant to </w:t>
      </w:r>
      <w:r w:rsidRPr="00D06FC1">
        <w:rPr>
          <w:b/>
          <w:bCs/>
        </w:rPr>
        <w:t>EHR information architecture, records-access policy, patient portal expectations, and operational definitions of what constitutes a retrievable record</w:t>
      </w:r>
      <w:r w:rsidRPr="00D06FC1">
        <w:t>. (</w:t>
      </w:r>
      <w:hyperlink r:id="rId6" w:tooltip="Latest IPC Decisions | Information and Privacy Commissioner of Ontario" w:history="1">
        <w:r w:rsidRPr="00D06FC1">
          <w:rPr>
            <w:rStyle w:val="Hyperlink"/>
          </w:rPr>
          <w:t>IPC Ontario</w:t>
        </w:r>
      </w:hyperlink>
      <w:r w:rsidRPr="00D06FC1">
        <w:t>)</w:t>
      </w:r>
      <w:r w:rsidRPr="00D06FC1">
        <w:br/>
      </w:r>
      <w:r w:rsidRPr="00D06FC1">
        <w:rPr>
          <w:b/>
          <w:bCs/>
        </w:rPr>
        <w:t>Date →</w:t>
      </w:r>
      <w:r w:rsidRPr="00D06FC1">
        <w:t xml:space="preserve"> June 25, 2026</w:t>
      </w:r>
      <w:r w:rsidRPr="00D06FC1">
        <w:br/>
      </w:r>
      <w:r w:rsidRPr="00D06FC1">
        <w:rPr>
          <w:b/>
          <w:bCs/>
        </w:rPr>
        <w:t>Source →</w:t>
      </w:r>
      <w:r w:rsidRPr="00D06FC1">
        <w:t xml:space="preserve"> Information and Privacy Commissioner of Ontario, </w:t>
      </w:r>
      <w:r w:rsidRPr="00D06FC1">
        <w:rPr>
          <w:b/>
          <w:bCs/>
        </w:rPr>
        <w:t>PHIPA Decision 340</w:t>
      </w:r>
      <w:r w:rsidRPr="00D06FC1">
        <w:t xml:space="preserve">, </w:t>
      </w:r>
      <w:r w:rsidRPr="00D06FC1">
        <w:rPr>
          <w:i/>
          <w:iCs/>
        </w:rPr>
        <w:t>The Ottawa Hospital</w:t>
      </w:r>
      <w:r w:rsidRPr="00D06FC1">
        <w:br/>
      </w:r>
      <w:r w:rsidRPr="00D06FC1">
        <w:rPr>
          <w:b/>
          <w:bCs/>
        </w:rPr>
        <w:t>Source link →</w:t>
      </w:r>
      <w:r w:rsidRPr="00D06FC1">
        <w:t xml:space="preserve"> </w:t>
      </w:r>
      <w:hyperlink r:id="rId7" w:history="1">
        <w:r w:rsidRPr="00D06FC1">
          <w:rPr>
            <w:rStyle w:val="Hyperlink"/>
          </w:rPr>
          <w:t>IPC PHIPA Decision 340</w:t>
        </w:r>
      </w:hyperlink>
    </w:p>
    <w:p w14:paraId="691D2942" w14:textId="77777777" w:rsidR="00D06FC1" w:rsidRPr="00D06FC1" w:rsidRDefault="00D06FC1" w:rsidP="00D06FC1">
      <w:pPr>
        <w:rPr>
          <w:b/>
          <w:bCs/>
        </w:rPr>
      </w:pPr>
      <w:r w:rsidRPr="00D06FC1">
        <w:rPr>
          <w:b/>
          <w:bCs/>
        </w:rPr>
        <w:t>Exhaustiveness check</w:t>
      </w:r>
    </w:p>
    <w:p w14:paraId="1EC4C62F" w14:textId="77777777" w:rsidR="00D06FC1" w:rsidRPr="00D06FC1" w:rsidRDefault="00D06FC1" w:rsidP="00D06FC1">
      <w:r w:rsidRPr="00D06FC1">
        <w:t xml:space="preserve">The IPC’s published decision index shows the Ottawa Hospital-specific PHIPA decisions in this period at </w:t>
      </w:r>
      <w:r w:rsidRPr="00D06FC1">
        <w:rPr>
          <w:b/>
          <w:bCs/>
        </w:rPr>
        <w:t>January 26, 2026 (Decision 326)</w:t>
      </w:r>
      <w:r w:rsidRPr="00D06FC1">
        <w:t xml:space="preserve"> and </w:t>
      </w:r>
      <w:r w:rsidRPr="00D06FC1">
        <w:rPr>
          <w:b/>
          <w:bCs/>
        </w:rPr>
        <w:t>June 25, 2026 (Decision 340)</w:t>
      </w:r>
      <w:r w:rsidRPr="00D06FC1">
        <w:t>. Other PHIPA decisions published around those dates concern different hospitals or health organizations; for example, Decisions 327 and 330 do not identify The Ottawa Hospital as the respondent. (</w:t>
      </w:r>
      <w:hyperlink r:id="rId8" w:tooltip="Latest IPC Decisions | Information and Privacy Commissioner of Ontario" w:history="1">
        <w:r w:rsidRPr="00D06FC1">
          <w:rPr>
            <w:rStyle w:val="Hyperlink"/>
          </w:rPr>
          <w:t>IPC Ontario</w:t>
        </w:r>
      </w:hyperlink>
      <w:r w:rsidRPr="00D06FC1">
        <w:t>)</w:t>
      </w:r>
    </w:p>
    <w:p w14:paraId="7DF3C08D" w14:textId="77777777" w:rsidR="00D06FC1" w:rsidRPr="00D06FC1" w:rsidRDefault="00D06FC1" w:rsidP="00D06FC1">
      <w:r w:rsidRPr="00D06FC1">
        <w:t xml:space="preserve">I also found </w:t>
      </w:r>
      <w:r w:rsidRPr="00D06FC1">
        <w:rPr>
          <w:b/>
          <w:bCs/>
        </w:rPr>
        <w:t>no qualifying public report of a new Ottawa Hospital PHIPA privacy breach or unauthorized-access incident during the requested period</w:t>
      </w:r>
      <w:r w:rsidRPr="00D06FC1">
        <w:t xml:space="preserve"> in the searched sources. The hospital’s current privacy materials describe its breach-management, auditing and access-control processes, but those are standing policies rather than dated 2026 incident updates. (</w:t>
      </w:r>
      <w:hyperlink r:id="rId9" w:tooltip="Frequently Asked Questions | The Ottawa Hospital" w:history="1">
        <w:r w:rsidRPr="00D06FC1">
          <w:rPr>
            <w:rStyle w:val="Hyperlink"/>
          </w:rPr>
          <w:t>ottawahospital.on.ca</w:t>
        </w:r>
      </w:hyperlink>
      <w:r w:rsidRPr="00D06FC1">
        <w:t>)</w:t>
      </w:r>
    </w:p>
    <w:p w14:paraId="0B2EEC5E" w14:textId="77777777" w:rsidR="00D06FC1" w:rsidRPr="00D06FC1" w:rsidRDefault="00D06FC1" w:rsidP="00D06FC1">
      <w:r w:rsidRPr="00D06FC1">
        <w:rPr>
          <w:b/>
          <w:bCs/>
        </w:rPr>
        <w:t>Bottom line: 2 qualifying Ottawa Hospital PHIPA updates</w:t>
      </w:r>
      <w:r w:rsidRPr="00D06FC1">
        <w:t xml:space="preserve"> in the January 16–July 16, 2026 window based on the public record I could locate.</w:t>
      </w:r>
    </w:p>
    <w:p w14:paraId="07DDBB0E"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7F1"/>
    <w:rsid w:val="005D07F1"/>
    <w:rsid w:val="0067003E"/>
    <w:rsid w:val="009347F2"/>
    <w:rsid w:val="009F2B23"/>
    <w:rsid w:val="00D06F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C3F1B"/>
  <w15:chartTrackingRefBased/>
  <w15:docId w15:val="{AF2C0E6A-0555-4DDB-9691-A8A2100D2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7F1"/>
    <w:rPr>
      <w:rFonts w:eastAsiaTheme="majorEastAsia" w:cstheme="majorBidi"/>
      <w:color w:val="272727" w:themeColor="text1" w:themeTint="D8"/>
    </w:rPr>
  </w:style>
  <w:style w:type="paragraph" w:styleId="Title">
    <w:name w:val="Title"/>
    <w:basedOn w:val="Normal"/>
    <w:next w:val="Normal"/>
    <w:link w:val="TitleChar"/>
    <w:uiPriority w:val="10"/>
    <w:qFormat/>
    <w:rsid w:val="005D0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7F1"/>
    <w:pPr>
      <w:spacing w:before="160"/>
      <w:jc w:val="center"/>
    </w:pPr>
    <w:rPr>
      <w:i/>
      <w:iCs/>
      <w:color w:val="404040" w:themeColor="text1" w:themeTint="BF"/>
    </w:rPr>
  </w:style>
  <w:style w:type="character" w:customStyle="1" w:styleId="QuoteChar">
    <w:name w:val="Quote Char"/>
    <w:basedOn w:val="DefaultParagraphFont"/>
    <w:link w:val="Quote"/>
    <w:uiPriority w:val="29"/>
    <w:rsid w:val="005D07F1"/>
    <w:rPr>
      <w:i/>
      <w:iCs/>
      <w:color w:val="404040" w:themeColor="text1" w:themeTint="BF"/>
    </w:rPr>
  </w:style>
  <w:style w:type="paragraph" w:styleId="ListParagraph">
    <w:name w:val="List Paragraph"/>
    <w:basedOn w:val="Normal"/>
    <w:uiPriority w:val="34"/>
    <w:qFormat/>
    <w:rsid w:val="005D07F1"/>
    <w:pPr>
      <w:ind w:left="720"/>
      <w:contextualSpacing/>
    </w:pPr>
  </w:style>
  <w:style w:type="character" w:styleId="IntenseEmphasis">
    <w:name w:val="Intense Emphasis"/>
    <w:basedOn w:val="DefaultParagraphFont"/>
    <w:uiPriority w:val="21"/>
    <w:qFormat/>
    <w:rsid w:val="005D07F1"/>
    <w:rPr>
      <w:i/>
      <w:iCs/>
      <w:color w:val="0F4761" w:themeColor="accent1" w:themeShade="BF"/>
    </w:rPr>
  </w:style>
  <w:style w:type="paragraph" w:styleId="IntenseQuote">
    <w:name w:val="Intense Quote"/>
    <w:basedOn w:val="Normal"/>
    <w:next w:val="Normal"/>
    <w:link w:val="IntenseQuoteChar"/>
    <w:uiPriority w:val="30"/>
    <w:qFormat/>
    <w:rsid w:val="005D0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7F1"/>
    <w:rPr>
      <w:i/>
      <w:iCs/>
      <w:color w:val="0F4761" w:themeColor="accent1" w:themeShade="BF"/>
    </w:rPr>
  </w:style>
  <w:style w:type="character" w:styleId="IntenseReference">
    <w:name w:val="Intense Reference"/>
    <w:basedOn w:val="DefaultParagraphFont"/>
    <w:uiPriority w:val="32"/>
    <w:qFormat/>
    <w:rsid w:val="005D07F1"/>
    <w:rPr>
      <w:b/>
      <w:bCs/>
      <w:smallCaps/>
      <w:color w:val="0F4761" w:themeColor="accent1" w:themeShade="BF"/>
      <w:spacing w:val="5"/>
    </w:rPr>
  </w:style>
  <w:style w:type="character" w:styleId="Hyperlink">
    <w:name w:val="Hyperlink"/>
    <w:basedOn w:val="DefaultParagraphFont"/>
    <w:uiPriority w:val="99"/>
    <w:unhideWhenUsed/>
    <w:rsid w:val="00D06FC1"/>
    <w:rPr>
      <w:color w:val="467886" w:themeColor="hyperlink"/>
      <w:u w:val="single"/>
    </w:rPr>
  </w:style>
  <w:style w:type="character" w:styleId="UnresolvedMention">
    <w:name w:val="Unresolved Mention"/>
    <w:basedOn w:val="DefaultParagraphFont"/>
    <w:uiPriority w:val="99"/>
    <w:semiHidden/>
    <w:unhideWhenUsed/>
    <w:rsid w:val="00D06F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pc.on.ca/en/decisions/latest-decisions?page=13&amp;utm_source=chatgpt.com" TargetMode="External"/><Relationship Id="rId3" Type="http://schemas.openxmlformats.org/officeDocument/2006/relationships/webSettings" Target="webSettings.xml"/><Relationship Id="rId7" Type="http://schemas.openxmlformats.org/officeDocument/2006/relationships/hyperlink" Target="https://www.ipc.on.ca/en/decisions/latest-decisions?page=3&amp;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pc.on.ca/en/decisions/latest-decisions?page=3" TargetMode="External"/><Relationship Id="rId11" Type="http://schemas.openxmlformats.org/officeDocument/2006/relationships/theme" Target="theme/theme1.xml"/><Relationship Id="rId5" Type="http://schemas.openxmlformats.org/officeDocument/2006/relationships/hyperlink" Target="https://www.ipc.on.ca/fr/node/5529?utm_source=chatgpt.com" TargetMode="External"/><Relationship Id="rId10" Type="http://schemas.openxmlformats.org/officeDocument/2006/relationships/fontTable" Target="fontTable.xml"/><Relationship Id="rId4" Type="http://schemas.openxmlformats.org/officeDocument/2006/relationships/hyperlink" Target="https://www.ipc.on.ca/fr/node/5529?utm_source=chatgpt.com" TargetMode="External"/><Relationship Id="rId9" Type="http://schemas.openxmlformats.org/officeDocument/2006/relationships/hyperlink" Target="https://www.ottawahospital.on.ca/en/patients-and-visitors/your-privacy-and-data/frequently-asked-question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727</Words>
  <Characters>4144</Characters>
  <Application>Microsoft Office Word</Application>
  <DocSecurity>0</DocSecurity>
  <Lines>34</Lines>
  <Paragraphs>9</Paragraphs>
  <ScaleCrop>false</ScaleCrop>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2026-08-26T08:07:00Z</dcterms:created>
  <dcterms:modified xsi:type="dcterms:W3CDTF">2026-08-26T08:07:00Z</dcterms:modified>
</cp:coreProperties>
</file>