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38D8" w14:textId="77777777" w:rsidR="003B3FE6" w:rsidRPr="003B3FE6" w:rsidRDefault="003B3FE6" w:rsidP="003B3FE6">
      <w:r w:rsidRPr="003B3FE6">
        <w:t xml:space="preserve">Based on a comprehensive search of public records, media publications, and the Information and Privacy Commissioner of Ontario (IPC) database, </w:t>
      </w:r>
      <w:r w:rsidRPr="003B3FE6">
        <w:rPr>
          <w:b/>
          <w:bCs/>
        </w:rPr>
        <w:t>there are no PHIPA-related news updates, privacy breaches, or compliance orders</w:t>
      </w:r>
      <w:r w:rsidRPr="003B3FE6">
        <w:t xml:space="preserve"> recorded for </w:t>
      </w:r>
      <w:r w:rsidRPr="003B3FE6">
        <w:rPr>
          <w:b/>
          <w:bCs/>
        </w:rPr>
        <w:t>Anson General Hospital</w:t>
      </w:r>
      <w:r w:rsidRPr="003B3FE6">
        <w:t xml:space="preserve"> between January 16, 2026, and July 16, 2026.</w:t>
      </w:r>
    </w:p>
    <w:p w14:paraId="42A07209" w14:textId="77777777" w:rsidR="003B3FE6" w:rsidRPr="003B3FE6" w:rsidRDefault="003B3FE6" w:rsidP="003B3FE6"/>
    <w:p w14:paraId="2043AC9F" w14:textId="77777777" w:rsidR="003B3FE6" w:rsidRPr="003B3FE6" w:rsidRDefault="003B3FE6" w:rsidP="003B3FE6">
      <w:r w:rsidRPr="003B3FE6">
        <w:t xml:space="preserve">During this timeframe, Anson General Hospital (operating under the MICs Group of Health Services) had a clean public record with no reportable privacy incidents or administrative monetary penalties issued under the </w:t>
      </w:r>
      <w:r w:rsidRPr="003B3FE6">
        <w:rPr>
          <w:i/>
          <w:iCs/>
        </w:rPr>
        <w:t>Personal Health Information Protection Act, 2004</w:t>
      </w:r>
      <w:r w:rsidRPr="003B3FE6">
        <w:t xml:space="preserve"> (PHIPA). </w:t>
      </w:r>
    </w:p>
    <w:p w14:paraId="5F421212" w14:textId="77777777" w:rsidR="003B3FE6" w:rsidRPr="003B3FE6" w:rsidRDefault="003B3FE6" w:rsidP="003B3FE6"/>
    <w:p w14:paraId="04BC333B" w14:textId="77777777" w:rsidR="003B3FE6" w:rsidRPr="003B3FE6" w:rsidRDefault="003B3FE6" w:rsidP="003B3FE6">
      <w:r w:rsidRPr="003B3FE6">
        <w:rPr>
          <w:i/>
          <w:iCs/>
        </w:rPr>
        <w:t xml:space="preserve">If you require a broader review of regional health infrastructure compliance, sector-wide PHIPA updates (such as recent IPC decisions involving other Ontario healthcare facilities), or performance management metrics for the </w:t>
      </w:r>
      <w:proofErr w:type="gramStart"/>
      <w:r w:rsidRPr="003B3FE6">
        <w:rPr>
          <w:i/>
          <w:iCs/>
        </w:rPr>
        <w:t>North East</w:t>
      </w:r>
      <w:proofErr w:type="gramEnd"/>
      <w:r w:rsidRPr="003B3FE6">
        <w:rPr>
          <w:i/>
          <w:iCs/>
        </w:rPr>
        <w:t xml:space="preserve"> LHIN / Ontario Health North region, please let me know how you would like to proceed.</w:t>
      </w:r>
    </w:p>
    <w:p w14:paraId="59275E83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40"/>
    <w:rsid w:val="003B3FE6"/>
    <w:rsid w:val="00607A40"/>
    <w:rsid w:val="0067003E"/>
    <w:rsid w:val="0091314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67FF"/>
  <w15:chartTrackingRefBased/>
  <w15:docId w15:val="{F9523F8C-C273-4BE0-989B-FBBDB106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2026-08-26T09:09:00Z</dcterms:created>
  <dcterms:modified xsi:type="dcterms:W3CDTF">2026-08-26T09:09:00Z</dcterms:modified>
</cp:coreProperties>
</file>