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F560" w14:textId="77777777" w:rsidR="00CD61A5" w:rsidRPr="00CD61A5" w:rsidRDefault="00CD61A5" w:rsidP="00CD61A5">
      <w:r w:rsidRPr="00CD61A5">
        <w:t xml:space="preserve">I searched the Ontario IPC decision record for the requested period, along with The Ottawa Hospital’s public privacy/news materials and broader web coverage. For </w:t>
      </w:r>
      <w:r w:rsidRPr="00CD61A5">
        <w:rPr>
          <w:b/>
          <w:bCs/>
        </w:rPr>
        <w:t>January 16, 2026 through July 16, 2026</w:t>
      </w:r>
      <w:r w:rsidRPr="00CD61A5">
        <w:t xml:space="preserve">, I found </w:t>
      </w:r>
      <w:r w:rsidRPr="00CD61A5">
        <w:rPr>
          <w:b/>
          <w:bCs/>
        </w:rPr>
        <w:t>two Ottawa Hospital–specific PHIPA developments</w:t>
      </w:r>
      <w:r w:rsidRPr="00CD61A5">
        <w:t xml:space="preserve"> that meet the criteria. I found no additional publicly reported Ottawa Hospital PHIPA breach, enforcement, or privacy decision in the period. The two items below are regulatory decisions rather than corrections/retractions; the January item happens to involve a patient’s </w:t>
      </w:r>
      <w:r w:rsidRPr="00CD61A5">
        <w:rPr>
          <w:i/>
          <w:iCs/>
        </w:rPr>
        <w:t>request to correct</w:t>
      </w:r>
      <w:r w:rsidRPr="00CD61A5">
        <w:t xml:space="preserve"> a health record, which is a substantive PHIPA matter rather than a publication correction. (</w:t>
      </w:r>
      <w:hyperlink r:id="rId4" w:tooltip="Latest IPC Decisions | Information and Privacy Commissioner of Ontario" w:history="1">
        <w:r w:rsidRPr="00CD61A5">
          <w:rPr>
            <w:rStyle w:val="Hyperlink"/>
          </w:rPr>
          <w:t>IPC Ontario</w:t>
        </w:r>
      </w:hyperlink>
      <w:r w:rsidRPr="00CD61A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712"/>
        <w:gridCol w:w="3055"/>
        <w:gridCol w:w="916"/>
        <w:gridCol w:w="1675"/>
        <w:gridCol w:w="978"/>
      </w:tblGrid>
      <w:tr w:rsidR="00CD61A5" w:rsidRPr="00CD61A5" w14:paraId="091300A5" w14:textId="77777777">
        <w:trPr>
          <w:tblHeader/>
          <w:tblCellSpacing w:w="15" w:type="dxa"/>
        </w:trPr>
        <w:tc>
          <w:tcPr>
            <w:tcW w:w="0" w:type="auto"/>
            <w:vAlign w:val="center"/>
            <w:hideMark/>
          </w:tcPr>
          <w:p w14:paraId="3A9D492E" w14:textId="77777777" w:rsidR="00CD61A5" w:rsidRPr="00CD61A5" w:rsidRDefault="00CD61A5" w:rsidP="00CD61A5">
            <w:pPr>
              <w:rPr>
                <w:b/>
                <w:bCs/>
              </w:rPr>
            </w:pPr>
            <w:r w:rsidRPr="00CD61A5">
              <w:rPr>
                <w:b/>
                <w:bCs/>
              </w:rPr>
              <w:t>Hospital</w:t>
            </w:r>
          </w:p>
        </w:tc>
        <w:tc>
          <w:tcPr>
            <w:tcW w:w="0" w:type="auto"/>
            <w:vAlign w:val="center"/>
            <w:hideMark/>
          </w:tcPr>
          <w:p w14:paraId="3F0D335E" w14:textId="77777777" w:rsidR="00CD61A5" w:rsidRPr="00CD61A5" w:rsidRDefault="00CD61A5" w:rsidP="00CD61A5">
            <w:pPr>
              <w:rPr>
                <w:b/>
                <w:bCs/>
              </w:rPr>
            </w:pPr>
            <w:r w:rsidRPr="00CD61A5">
              <w:rPr>
                <w:b/>
                <w:bCs/>
              </w:rPr>
              <w:t>Issue</w:t>
            </w:r>
          </w:p>
        </w:tc>
        <w:tc>
          <w:tcPr>
            <w:tcW w:w="0" w:type="auto"/>
            <w:vAlign w:val="center"/>
            <w:hideMark/>
          </w:tcPr>
          <w:p w14:paraId="787865D3" w14:textId="77777777" w:rsidR="00CD61A5" w:rsidRPr="00CD61A5" w:rsidRDefault="00CD61A5" w:rsidP="00CD61A5">
            <w:pPr>
              <w:rPr>
                <w:b/>
                <w:bCs/>
              </w:rPr>
            </w:pPr>
            <w:r w:rsidRPr="00CD61A5">
              <w:rPr>
                <w:b/>
                <w:bCs/>
              </w:rPr>
              <w:t>Paragraph blurb</w:t>
            </w:r>
          </w:p>
        </w:tc>
        <w:tc>
          <w:tcPr>
            <w:tcW w:w="0" w:type="auto"/>
            <w:vAlign w:val="center"/>
            <w:hideMark/>
          </w:tcPr>
          <w:p w14:paraId="3DE75733" w14:textId="77777777" w:rsidR="00CD61A5" w:rsidRPr="00CD61A5" w:rsidRDefault="00CD61A5" w:rsidP="00CD61A5">
            <w:pPr>
              <w:rPr>
                <w:b/>
                <w:bCs/>
              </w:rPr>
            </w:pPr>
            <w:r w:rsidRPr="00CD61A5">
              <w:rPr>
                <w:b/>
                <w:bCs/>
              </w:rPr>
              <w:t>Date</w:t>
            </w:r>
          </w:p>
        </w:tc>
        <w:tc>
          <w:tcPr>
            <w:tcW w:w="0" w:type="auto"/>
            <w:vAlign w:val="center"/>
            <w:hideMark/>
          </w:tcPr>
          <w:p w14:paraId="6F0909A1" w14:textId="77777777" w:rsidR="00CD61A5" w:rsidRPr="00CD61A5" w:rsidRDefault="00CD61A5" w:rsidP="00CD61A5">
            <w:pPr>
              <w:rPr>
                <w:b/>
                <w:bCs/>
              </w:rPr>
            </w:pPr>
            <w:r w:rsidRPr="00CD61A5">
              <w:rPr>
                <w:b/>
                <w:bCs/>
              </w:rPr>
              <w:t>Source</w:t>
            </w:r>
          </w:p>
        </w:tc>
        <w:tc>
          <w:tcPr>
            <w:tcW w:w="0" w:type="auto"/>
            <w:vAlign w:val="center"/>
            <w:hideMark/>
          </w:tcPr>
          <w:p w14:paraId="48C357FA" w14:textId="77777777" w:rsidR="00CD61A5" w:rsidRPr="00CD61A5" w:rsidRDefault="00CD61A5" w:rsidP="00CD61A5">
            <w:pPr>
              <w:rPr>
                <w:b/>
                <w:bCs/>
              </w:rPr>
            </w:pPr>
            <w:r w:rsidRPr="00CD61A5">
              <w:rPr>
                <w:b/>
                <w:bCs/>
              </w:rPr>
              <w:t>Source link</w:t>
            </w:r>
          </w:p>
        </w:tc>
      </w:tr>
      <w:tr w:rsidR="00CD61A5" w:rsidRPr="00CD61A5" w14:paraId="6DDBCBCF" w14:textId="77777777">
        <w:trPr>
          <w:tblCellSpacing w:w="15" w:type="dxa"/>
        </w:trPr>
        <w:tc>
          <w:tcPr>
            <w:tcW w:w="0" w:type="auto"/>
            <w:vAlign w:val="center"/>
            <w:hideMark/>
          </w:tcPr>
          <w:p w14:paraId="390C5FDB" w14:textId="77777777" w:rsidR="00CD61A5" w:rsidRPr="00CD61A5" w:rsidRDefault="00CD61A5" w:rsidP="00CD61A5">
            <w:r w:rsidRPr="00CD61A5">
              <w:rPr>
                <w:b/>
                <w:bCs/>
              </w:rPr>
              <w:t>The Ottawa Hospital</w:t>
            </w:r>
          </w:p>
        </w:tc>
        <w:tc>
          <w:tcPr>
            <w:tcW w:w="0" w:type="auto"/>
            <w:vAlign w:val="center"/>
            <w:hideMark/>
          </w:tcPr>
          <w:p w14:paraId="2AC62AF4" w14:textId="77777777" w:rsidR="00CD61A5" w:rsidRPr="00CD61A5" w:rsidRDefault="00CD61A5" w:rsidP="00CD61A5">
            <w:r w:rsidRPr="00CD61A5">
              <w:rPr>
                <w:b/>
                <w:bCs/>
              </w:rPr>
              <w:t>PHIPA Decision 326 — Correction request and statement of disagreement in an electronic health record</w:t>
            </w:r>
          </w:p>
        </w:tc>
        <w:tc>
          <w:tcPr>
            <w:tcW w:w="0" w:type="auto"/>
            <w:vAlign w:val="center"/>
            <w:hideMark/>
          </w:tcPr>
          <w:p w14:paraId="0F6A96AE" w14:textId="77777777" w:rsidR="00CD61A5" w:rsidRPr="00CD61A5" w:rsidRDefault="00CD61A5" w:rsidP="00CD61A5">
            <w:r w:rsidRPr="00CD61A5">
              <w:t xml:space="preserve">A patient asked The Ottawa Hospital to correct portions of an “After Visit Summary” and, after the hospital declined the requested corrections, asked that a statement of disagreement be attached to the record under </w:t>
            </w:r>
            <w:r w:rsidRPr="00CD61A5">
              <w:rPr>
                <w:b/>
                <w:bCs/>
              </w:rPr>
              <w:t>PHIPA s.55(13)</w:t>
            </w:r>
            <w:r w:rsidRPr="00CD61A5">
              <w:t xml:space="preserve">. The IPC found that the hospital did </w:t>
            </w:r>
            <w:r w:rsidRPr="00CD61A5">
              <w:rPr>
                <w:b/>
                <w:bCs/>
              </w:rPr>
              <w:t>not</w:t>
            </w:r>
            <w:r w:rsidRPr="00CD61A5">
              <w:t xml:space="preserve"> have a duty under s.55(8) to make the requested corrections and had properly attached the patient’s statement of disagreement to the electronic health record. The adjudicator also found that the hospital was </w:t>
            </w:r>
            <w:r w:rsidRPr="00CD61A5">
              <w:rPr>
                <w:b/>
                <w:bCs/>
              </w:rPr>
              <w:t>not required to make that statement available through the patient portal</w:t>
            </w:r>
            <w:r w:rsidRPr="00CD61A5">
              <w:t xml:space="preserve">, and dismissed the complaint. From a performance-management perspective, the decision is </w:t>
            </w:r>
            <w:r w:rsidRPr="00CD61A5">
              <w:lastRenderedPageBreak/>
              <w:t>relevant to governance of record-integrity requests, documentation controls, and how patient correction/disagreement workflows are implemented in an EHR environment. (</w:t>
            </w:r>
            <w:hyperlink r:id="rId5" w:tooltip="PHIPA DECISION 326 | Information and Privacy Commissioner of Ontario" w:history="1">
              <w:r w:rsidRPr="00CD61A5">
                <w:rPr>
                  <w:rStyle w:val="Hyperlink"/>
                </w:rPr>
                <w:t>IPC Ontario</w:t>
              </w:r>
            </w:hyperlink>
            <w:r w:rsidRPr="00CD61A5">
              <w:t>)</w:t>
            </w:r>
          </w:p>
        </w:tc>
        <w:tc>
          <w:tcPr>
            <w:tcW w:w="0" w:type="auto"/>
            <w:vAlign w:val="center"/>
            <w:hideMark/>
          </w:tcPr>
          <w:p w14:paraId="072341FE" w14:textId="77777777" w:rsidR="00CD61A5" w:rsidRPr="00CD61A5" w:rsidRDefault="00CD61A5" w:rsidP="00CD61A5">
            <w:r w:rsidRPr="00CD61A5">
              <w:rPr>
                <w:b/>
                <w:bCs/>
              </w:rPr>
              <w:lastRenderedPageBreak/>
              <w:t>January 26, 2026</w:t>
            </w:r>
          </w:p>
        </w:tc>
        <w:tc>
          <w:tcPr>
            <w:tcW w:w="0" w:type="auto"/>
            <w:vAlign w:val="center"/>
            <w:hideMark/>
          </w:tcPr>
          <w:p w14:paraId="6EA76A43" w14:textId="77777777" w:rsidR="00CD61A5" w:rsidRPr="00CD61A5" w:rsidRDefault="00CD61A5" w:rsidP="00CD61A5">
            <w:r w:rsidRPr="00CD61A5">
              <w:t xml:space="preserve">Information and Privacy Commissioner of Ontario — </w:t>
            </w:r>
            <w:r w:rsidRPr="00CD61A5">
              <w:rPr>
                <w:b/>
                <w:bCs/>
              </w:rPr>
              <w:t>PHIPA Decision 326</w:t>
            </w:r>
          </w:p>
        </w:tc>
        <w:tc>
          <w:tcPr>
            <w:tcW w:w="0" w:type="auto"/>
            <w:vAlign w:val="center"/>
            <w:hideMark/>
          </w:tcPr>
          <w:p w14:paraId="27A48700" w14:textId="77777777" w:rsidR="00CD61A5" w:rsidRPr="00CD61A5" w:rsidRDefault="00CD61A5" w:rsidP="00CD61A5">
            <w:hyperlink r:id="rId6" w:history="1">
              <w:r w:rsidRPr="00CD61A5">
                <w:rPr>
                  <w:rStyle w:val="Hyperlink"/>
                </w:rPr>
                <w:t>IPC decision / full text</w:t>
              </w:r>
            </w:hyperlink>
          </w:p>
        </w:tc>
      </w:tr>
      <w:tr w:rsidR="00CD61A5" w:rsidRPr="00CD61A5" w14:paraId="2B3D5022" w14:textId="77777777">
        <w:trPr>
          <w:tblCellSpacing w:w="15" w:type="dxa"/>
        </w:trPr>
        <w:tc>
          <w:tcPr>
            <w:tcW w:w="0" w:type="auto"/>
            <w:vAlign w:val="center"/>
            <w:hideMark/>
          </w:tcPr>
          <w:p w14:paraId="2426C8F9" w14:textId="77777777" w:rsidR="00CD61A5" w:rsidRPr="00CD61A5" w:rsidRDefault="00CD61A5" w:rsidP="00CD61A5">
            <w:r w:rsidRPr="00CD61A5">
              <w:rPr>
                <w:b/>
                <w:bCs/>
              </w:rPr>
              <w:t>The Ottawa Hospital</w:t>
            </w:r>
          </w:p>
        </w:tc>
        <w:tc>
          <w:tcPr>
            <w:tcW w:w="0" w:type="auto"/>
            <w:vAlign w:val="center"/>
            <w:hideMark/>
          </w:tcPr>
          <w:p w14:paraId="7EF8CD33" w14:textId="77777777" w:rsidR="00CD61A5" w:rsidRPr="00CD61A5" w:rsidRDefault="00CD61A5" w:rsidP="00CD61A5">
            <w:r w:rsidRPr="00CD61A5">
              <w:rPr>
                <w:b/>
                <w:bCs/>
              </w:rPr>
              <w:t>PHIPA Decision 340 — Access to screenshots of electronic medical-record displays</w:t>
            </w:r>
          </w:p>
        </w:tc>
        <w:tc>
          <w:tcPr>
            <w:tcW w:w="0" w:type="auto"/>
            <w:vAlign w:val="center"/>
            <w:hideMark/>
          </w:tcPr>
          <w:p w14:paraId="29E50814" w14:textId="77777777" w:rsidR="00CD61A5" w:rsidRPr="00CD61A5" w:rsidRDefault="00CD61A5" w:rsidP="00CD61A5">
            <w:r w:rsidRPr="00CD61A5">
              <w:t xml:space="preserve">A patient requested “samples” or screenshots of </w:t>
            </w:r>
            <w:r w:rsidRPr="00CD61A5">
              <w:rPr>
                <w:b/>
                <w:bCs/>
              </w:rPr>
              <w:t>25 electronic medical-record displays</w:t>
            </w:r>
            <w:r w:rsidRPr="00CD61A5">
              <w:t xml:space="preserve">, including items such as “Storyboard” and “Snapshot.” The Ottawa Hospital offered printed copies of the personal health information that would appear in those displays but declined to provide screenshots. The IPC concluded that screenshots could potentially constitute “records” under PHIPA, but the hospital </w:t>
            </w:r>
            <w:r w:rsidRPr="00CD61A5">
              <w:rPr>
                <w:b/>
                <w:bCs/>
              </w:rPr>
              <w:t>did not create or maintain the requested screenshots</w:t>
            </w:r>
            <w:r w:rsidRPr="00CD61A5">
              <w:t xml:space="preserve">, and therefore was not required to create them for the requester. The adjudicator found that the hospital had proposed reasonable alternatives for providing access to the underlying information and dismissed the complaint, </w:t>
            </w:r>
            <w:r w:rsidRPr="00CD61A5">
              <w:lastRenderedPageBreak/>
              <w:t xml:space="preserve">along with additional allegations concerning an earlier access request, alleged PHIPA offences, and procedural unfairness. For hospital-performance oversight, this decision is particularly relevant to </w:t>
            </w:r>
            <w:r w:rsidRPr="00CD61A5">
              <w:rPr>
                <w:b/>
                <w:bCs/>
              </w:rPr>
              <w:t>EHR transparency, access-request operating procedures, record-production capabilities, and expectations around reproducing information from Epic/other EMR interfaces</w:t>
            </w:r>
            <w:r w:rsidRPr="00CD61A5">
              <w:t>. (</w:t>
            </w:r>
            <w:hyperlink r:id="rId7" w:tooltip="Decisions | Information and Privacy Commissioner of Ontario" w:history="1">
              <w:r w:rsidRPr="00CD61A5">
                <w:rPr>
                  <w:rStyle w:val="Hyperlink"/>
                </w:rPr>
                <w:t>IPC Ontario</w:t>
              </w:r>
            </w:hyperlink>
            <w:r w:rsidRPr="00CD61A5">
              <w:t>)</w:t>
            </w:r>
          </w:p>
        </w:tc>
        <w:tc>
          <w:tcPr>
            <w:tcW w:w="0" w:type="auto"/>
            <w:vAlign w:val="center"/>
            <w:hideMark/>
          </w:tcPr>
          <w:p w14:paraId="5273A621" w14:textId="77777777" w:rsidR="00CD61A5" w:rsidRPr="00CD61A5" w:rsidRDefault="00CD61A5" w:rsidP="00CD61A5">
            <w:r w:rsidRPr="00CD61A5">
              <w:rPr>
                <w:b/>
                <w:bCs/>
              </w:rPr>
              <w:lastRenderedPageBreak/>
              <w:t>June 25, 2026</w:t>
            </w:r>
          </w:p>
        </w:tc>
        <w:tc>
          <w:tcPr>
            <w:tcW w:w="0" w:type="auto"/>
            <w:vAlign w:val="center"/>
            <w:hideMark/>
          </w:tcPr>
          <w:p w14:paraId="39B9290A" w14:textId="77777777" w:rsidR="00CD61A5" w:rsidRPr="00CD61A5" w:rsidRDefault="00CD61A5" w:rsidP="00CD61A5">
            <w:r w:rsidRPr="00CD61A5">
              <w:t xml:space="preserve">Information and Privacy Commissioner of Ontario — </w:t>
            </w:r>
            <w:r w:rsidRPr="00CD61A5">
              <w:rPr>
                <w:b/>
                <w:bCs/>
              </w:rPr>
              <w:t>PHIPA Decision 340</w:t>
            </w:r>
          </w:p>
        </w:tc>
        <w:tc>
          <w:tcPr>
            <w:tcW w:w="0" w:type="auto"/>
            <w:vAlign w:val="center"/>
            <w:hideMark/>
          </w:tcPr>
          <w:p w14:paraId="0F683170" w14:textId="77777777" w:rsidR="00CD61A5" w:rsidRPr="00CD61A5" w:rsidRDefault="00CD61A5" w:rsidP="00CD61A5">
            <w:hyperlink r:id="rId8" w:history="1">
              <w:r w:rsidRPr="00CD61A5">
                <w:rPr>
                  <w:rStyle w:val="Hyperlink"/>
                </w:rPr>
                <w:t>IPC decision / full text</w:t>
              </w:r>
            </w:hyperlink>
          </w:p>
        </w:tc>
      </w:tr>
    </w:tbl>
    <w:p w14:paraId="6A37F5E6" w14:textId="77777777" w:rsidR="00CD61A5" w:rsidRPr="00CD61A5" w:rsidRDefault="00CD61A5" w:rsidP="00CD61A5">
      <w:pPr>
        <w:rPr>
          <w:b/>
          <w:bCs/>
        </w:rPr>
      </w:pPr>
      <w:r w:rsidRPr="00CD61A5">
        <w:rPr>
          <w:b/>
          <w:bCs/>
        </w:rPr>
        <w:t>Exhaustiveness check</w:t>
      </w:r>
    </w:p>
    <w:p w14:paraId="7FE178AE" w14:textId="77777777" w:rsidR="00CD61A5" w:rsidRPr="00CD61A5" w:rsidRDefault="00CD61A5" w:rsidP="00CD61A5">
      <w:r w:rsidRPr="00CD61A5">
        <w:t xml:space="preserve">The IPC’s published decision index for 2026 shows </w:t>
      </w:r>
      <w:r w:rsidRPr="00CD61A5">
        <w:rPr>
          <w:b/>
          <w:bCs/>
        </w:rPr>
        <w:t>PHIPA Decision 326 on January 26, 2026</w:t>
      </w:r>
      <w:r w:rsidRPr="00CD61A5">
        <w:t xml:space="preserve"> as an Ottawa Hospital matter and </w:t>
      </w:r>
      <w:r w:rsidRPr="00CD61A5">
        <w:rPr>
          <w:b/>
          <w:bCs/>
        </w:rPr>
        <w:t>PHIPA Decision 340 on June 25, 2026</w:t>
      </w:r>
      <w:r w:rsidRPr="00CD61A5">
        <w:t xml:space="preserve"> as another Ottawa Hospital matter. The other PHIPA decisions published around the January cluster concern other custodians—for example, </w:t>
      </w:r>
      <w:r w:rsidRPr="00CD61A5">
        <w:rPr>
          <w:b/>
          <w:bCs/>
        </w:rPr>
        <w:t>PHIPA Decision 327 concerns CHEO</w:t>
      </w:r>
      <w:r w:rsidRPr="00CD61A5">
        <w:t>, not The Ottawa Hospital. (</w:t>
      </w:r>
      <w:hyperlink r:id="rId9" w:tooltip="Dernières décisions | Information and Privacy Commissioner of Ontario" w:history="1">
        <w:r w:rsidRPr="00CD61A5">
          <w:rPr>
            <w:rStyle w:val="Hyperlink"/>
          </w:rPr>
          <w:t>IPC Ontario</w:t>
        </w:r>
      </w:hyperlink>
      <w:r w:rsidRPr="00CD61A5">
        <w:t>)</w:t>
      </w:r>
    </w:p>
    <w:p w14:paraId="07DF9C48" w14:textId="77777777" w:rsidR="00CD61A5" w:rsidRPr="00CD61A5" w:rsidRDefault="00CD61A5" w:rsidP="00CD61A5">
      <w:r w:rsidRPr="00CD61A5">
        <w:t xml:space="preserve">I also searched for Ottawa Hospital privacy breaches, PHIPA references, patient-information incidents, medical-record privacy issues, and privacy-related news during the specified six-month window. The Ottawa Hospital’s own current privacy materials describe its PHIPA obligations, Epic access auditing, consent directives, and privacy safeguards, but I found </w:t>
      </w:r>
      <w:r w:rsidRPr="00CD61A5">
        <w:rPr>
          <w:b/>
          <w:bCs/>
        </w:rPr>
        <w:t>no separately reported 2026 Ottawa Hospital PHIPA breach notice or enforcement story</w:t>
      </w:r>
      <w:r w:rsidRPr="00CD61A5">
        <w:t xml:space="preserve"> within the January 16–July 16 window. (</w:t>
      </w:r>
      <w:hyperlink r:id="rId10" w:tooltip="Notice to Patients | The Ottawa Hospital" w:history="1">
        <w:r w:rsidRPr="00CD61A5">
          <w:rPr>
            <w:rStyle w:val="Hyperlink"/>
          </w:rPr>
          <w:t>Home | The Ottawa Hospital</w:t>
        </w:r>
      </w:hyperlink>
      <w:r w:rsidRPr="00CD61A5">
        <w:t>)</w:t>
      </w:r>
    </w:p>
    <w:p w14:paraId="287B2D61" w14:textId="77777777" w:rsidR="00CD61A5" w:rsidRPr="00CD61A5" w:rsidRDefault="00CD61A5" w:rsidP="00CD61A5">
      <w:r w:rsidRPr="00CD61A5">
        <w:t xml:space="preserve">One potentially confusing result is an Ottawa Hospital article dated </w:t>
      </w:r>
      <w:r w:rsidRPr="00CD61A5">
        <w:rPr>
          <w:b/>
          <w:bCs/>
        </w:rPr>
        <w:t>January 26, 2026</w:t>
      </w:r>
      <w:r w:rsidRPr="00CD61A5">
        <w:t xml:space="preserve"> about patients receiving care in unconventional spaces and experiencing reduced physical privacy. It discusses the privacy afforded by the hospital environment, but it is </w:t>
      </w:r>
      <w:r w:rsidRPr="00CD61A5">
        <w:rPr>
          <w:b/>
          <w:bCs/>
        </w:rPr>
        <w:t>not a PHIPA/privacy-law development</w:t>
      </w:r>
      <w:r w:rsidRPr="00CD61A5">
        <w:t>, so I excluded it. (</w:t>
      </w:r>
      <w:hyperlink r:id="rId11" w:tooltip="From the 'Garage' to the hallway, this is the new reality of hospital stays - Yahoo News Canada" w:history="1">
        <w:r w:rsidRPr="00CD61A5">
          <w:rPr>
            <w:rStyle w:val="Hyperlink"/>
          </w:rPr>
          <w:t>Yahoo News</w:t>
        </w:r>
      </w:hyperlink>
      <w:r w:rsidRPr="00CD61A5">
        <w:t>)</w:t>
      </w:r>
    </w:p>
    <w:p w14:paraId="1888B70F" w14:textId="77777777" w:rsidR="00CD61A5" w:rsidRPr="00CD61A5" w:rsidRDefault="00CD61A5" w:rsidP="00CD61A5">
      <w:r w:rsidRPr="00CD61A5">
        <w:rPr>
          <w:b/>
          <w:bCs/>
        </w:rPr>
        <w:lastRenderedPageBreak/>
        <w:t>Bottom line:</w:t>
      </w:r>
      <w:r w:rsidRPr="00CD61A5">
        <w:t xml:space="preserve"> for the specified period and hospital, the defensible exhaustive set is </w:t>
      </w:r>
      <w:r w:rsidRPr="00CD61A5">
        <w:rPr>
          <w:b/>
          <w:bCs/>
        </w:rPr>
        <w:t>2 Ottawa Hospital–specific PHIPA updates: January 26 and June 25, 2026</w:t>
      </w:r>
      <w:r w:rsidRPr="00CD61A5">
        <w:t>.</w:t>
      </w:r>
    </w:p>
    <w:p w14:paraId="5D42FEB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CB"/>
    <w:rsid w:val="003230CB"/>
    <w:rsid w:val="0067003E"/>
    <w:rsid w:val="009347F2"/>
    <w:rsid w:val="009F2B23"/>
    <w:rsid w:val="00CD61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6A2E"/>
  <w15:chartTrackingRefBased/>
  <w15:docId w15:val="{F74370BF-0DE5-4FC6-9638-52813942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0CB"/>
    <w:rPr>
      <w:rFonts w:eastAsiaTheme="majorEastAsia" w:cstheme="majorBidi"/>
      <w:color w:val="272727" w:themeColor="text1" w:themeTint="D8"/>
    </w:rPr>
  </w:style>
  <w:style w:type="paragraph" w:styleId="Title">
    <w:name w:val="Title"/>
    <w:basedOn w:val="Normal"/>
    <w:next w:val="Normal"/>
    <w:link w:val="TitleChar"/>
    <w:uiPriority w:val="10"/>
    <w:qFormat/>
    <w:rsid w:val="00323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0CB"/>
    <w:pPr>
      <w:spacing w:before="160"/>
      <w:jc w:val="center"/>
    </w:pPr>
    <w:rPr>
      <w:i/>
      <w:iCs/>
      <w:color w:val="404040" w:themeColor="text1" w:themeTint="BF"/>
    </w:rPr>
  </w:style>
  <w:style w:type="character" w:customStyle="1" w:styleId="QuoteChar">
    <w:name w:val="Quote Char"/>
    <w:basedOn w:val="DefaultParagraphFont"/>
    <w:link w:val="Quote"/>
    <w:uiPriority w:val="29"/>
    <w:rsid w:val="003230CB"/>
    <w:rPr>
      <w:i/>
      <w:iCs/>
      <w:color w:val="404040" w:themeColor="text1" w:themeTint="BF"/>
    </w:rPr>
  </w:style>
  <w:style w:type="paragraph" w:styleId="ListParagraph">
    <w:name w:val="List Paragraph"/>
    <w:basedOn w:val="Normal"/>
    <w:uiPriority w:val="34"/>
    <w:qFormat/>
    <w:rsid w:val="003230CB"/>
    <w:pPr>
      <w:ind w:left="720"/>
      <w:contextualSpacing/>
    </w:pPr>
  </w:style>
  <w:style w:type="character" w:styleId="IntenseEmphasis">
    <w:name w:val="Intense Emphasis"/>
    <w:basedOn w:val="DefaultParagraphFont"/>
    <w:uiPriority w:val="21"/>
    <w:qFormat/>
    <w:rsid w:val="003230CB"/>
    <w:rPr>
      <w:i/>
      <w:iCs/>
      <w:color w:val="0F4761" w:themeColor="accent1" w:themeShade="BF"/>
    </w:rPr>
  </w:style>
  <w:style w:type="paragraph" w:styleId="IntenseQuote">
    <w:name w:val="Intense Quote"/>
    <w:basedOn w:val="Normal"/>
    <w:next w:val="Normal"/>
    <w:link w:val="IntenseQuoteChar"/>
    <w:uiPriority w:val="30"/>
    <w:qFormat/>
    <w:rsid w:val="00323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0CB"/>
    <w:rPr>
      <w:i/>
      <w:iCs/>
      <w:color w:val="0F4761" w:themeColor="accent1" w:themeShade="BF"/>
    </w:rPr>
  </w:style>
  <w:style w:type="character" w:styleId="IntenseReference">
    <w:name w:val="Intense Reference"/>
    <w:basedOn w:val="DefaultParagraphFont"/>
    <w:uiPriority w:val="32"/>
    <w:qFormat/>
    <w:rsid w:val="003230CB"/>
    <w:rPr>
      <w:b/>
      <w:bCs/>
      <w:smallCaps/>
      <w:color w:val="0F4761" w:themeColor="accent1" w:themeShade="BF"/>
      <w:spacing w:val="5"/>
    </w:rPr>
  </w:style>
  <w:style w:type="character" w:styleId="Hyperlink">
    <w:name w:val="Hyperlink"/>
    <w:basedOn w:val="DefaultParagraphFont"/>
    <w:uiPriority w:val="99"/>
    <w:unhideWhenUsed/>
    <w:rsid w:val="00CD61A5"/>
    <w:rPr>
      <w:color w:val="467886" w:themeColor="hyperlink"/>
      <w:u w:val="single"/>
    </w:rPr>
  </w:style>
  <w:style w:type="character" w:styleId="UnresolvedMention">
    <w:name w:val="Unresolved Mention"/>
    <w:basedOn w:val="DefaultParagraphFont"/>
    <w:uiPriority w:val="99"/>
    <w:semiHidden/>
    <w:unhideWhenUsed/>
    <w:rsid w:val="00CD6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ma.lexum.com/ipc-cipvp/phipa/en/item/522273/index.do?utm_source=chatgpt.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pc.on.ca/fr/node/1479?lang=fr&amp;page=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cisia.lexum.com/ipc-cipvp/phipa/en/522259/1/document.do?utm_source=chatgpt.com" TargetMode="External"/><Relationship Id="rId11" Type="http://schemas.openxmlformats.org/officeDocument/2006/relationships/hyperlink" Target="https://ca.news.yahoo.com/garage-hallway-reality-hospital-stays-130039726.html?utm_source=chatgpt.com" TargetMode="External"/><Relationship Id="rId5" Type="http://schemas.openxmlformats.org/officeDocument/2006/relationships/hyperlink" Target="https://www.ipc.on.ca/fr/node/5529?utm_source=chatgpt.com" TargetMode="External"/><Relationship Id="rId10" Type="http://schemas.openxmlformats.org/officeDocument/2006/relationships/hyperlink" Target="https://www.ottawahospital.on.ca/en/patients-and-visitors/your-privacy-and-data/notice-patients?utm_source=chatgpt.com" TargetMode="External"/><Relationship Id="rId4" Type="http://schemas.openxmlformats.org/officeDocument/2006/relationships/hyperlink" Target="https://www.ipc.on.ca/en/decisions/latest-decisions?utm_source=chatgpt.com" TargetMode="External"/><Relationship Id="rId9" Type="http://schemas.openxmlformats.org/officeDocument/2006/relationships/hyperlink" Target="https://www.ipc.on.ca/fr/decisions/dernieres-decisions?page=3&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2026-08-26T08:07:00Z</dcterms:created>
  <dcterms:modified xsi:type="dcterms:W3CDTF">2026-08-26T08:07:00Z</dcterms:modified>
</cp:coreProperties>
</file>