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5560" w14:textId="77777777" w:rsidR="008104F9" w:rsidRPr="008104F9" w:rsidRDefault="008104F9" w:rsidP="008104F9">
      <w:r w:rsidRPr="008104F9">
        <w:t xml:space="preserve">I treated “PHIPA-related news updates” as publicly issued items specifically concerning Hamilton Health Sciences under PHIPA, prioritizing Information and Privacy Commissioner of Ontario decisions and excluding correction-request matters. Across the requested period, I found </w:t>
      </w:r>
      <w:r w:rsidRPr="008104F9">
        <w:rPr>
          <w:b/>
          <w:bCs/>
        </w:rPr>
        <w:t>one qualifying update</w:t>
      </w:r>
      <w:r w:rsidRPr="008104F9">
        <w:t>.</w:t>
      </w:r>
    </w:p>
    <w:p w14:paraId="5E2534CA" w14:textId="77777777" w:rsidR="008104F9" w:rsidRPr="008104F9" w:rsidRDefault="008104F9" w:rsidP="008104F9">
      <w:pPr>
        <w:rPr>
          <w:b/>
          <w:bCs/>
        </w:rPr>
      </w:pPr>
      <w:r w:rsidRPr="008104F9">
        <w:rPr>
          <w:b/>
          <w:bCs/>
        </w:rPr>
        <w:t>West Region</w:t>
      </w:r>
    </w:p>
    <w:p w14:paraId="54671F65" w14:textId="77777777" w:rsidR="008104F9" w:rsidRPr="008104F9" w:rsidRDefault="008104F9" w:rsidP="008104F9">
      <w:r w:rsidRPr="008104F9">
        <w:t xml:space="preserve">The internal hospital-region reference lists Hamilton Health Sciences Corporation, rendered there as “Hamilton Health Sciences Corp,” in Ontario Health’s </w:t>
      </w:r>
      <w:r w:rsidRPr="008104F9">
        <w:rPr>
          <w:b/>
          <w:bCs/>
        </w:rPr>
        <w:t>West Region</w:t>
      </w:r>
      <w:r w:rsidRPr="008104F9">
        <w:t xml:space="preserve">. </w:t>
      </w:r>
      <w:hyperlink r:id="rId5" w:history="1">
        <w:r w:rsidRPr="008104F9">
          <w:rPr>
            <w:rStyle w:val="Hyperlink"/>
          </w:rPr>
          <w:t>[Ontario Ho...y Region 1 | Word]</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510"/>
        <w:gridCol w:w="2878"/>
        <w:gridCol w:w="625"/>
        <w:gridCol w:w="1772"/>
        <w:gridCol w:w="1156"/>
      </w:tblGrid>
      <w:tr w:rsidR="008104F9" w:rsidRPr="008104F9" w14:paraId="0CE803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2C42C1" w14:textId="77777777" w:rsidR="008104F9" w:rsidRPr="008104F9" w:rsidRDefault="008104F9" w:rsidP="008104F9">
            <w:pPr>
              <w:rPr>
                <w:b/>
                <w:bCs/>
              </w:rPr>
            </w:pPr>
            <w:r w:rsidRPr="008104F9">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9B085" w14:textId="77777777" w:rsidR="008104F9" w:rsidRPr="008104F9" w:rsidRDefault="008104F9" w:rsidP="008104F9">
            <w:pPr>
              <w:rPr>
                <w:b/>
                <w:bCs/>
              </w:rPr>
            </w:pPr>
            <w:r w:rsidRPr="008104F9">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59FF5" w14:textId="77777777" w:rsidR="008104F9" w:rsidRPr="008104F9" w:rsidRDefault="008104F9" w:rsidP="008104F9">
            <w:pPr>
              <w:rPr>
                <w:b/>
                <w:bCs/>
              </w:rPr>
            </w:pPr>
            <w:r w:rsidRPr="008104F9">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9631FA" w14:textId="77777777" w:rsidR="008104F9" w:rsidRPr="008104F9" w:rsidRDefault="008104F9" w:rsidP="008104F9">
            <w:pPr>
              <w:rPr>
                <w:b/>
                <w:bCs/>
              </w:rPr>
            </w:pPr>
            <w:r w:rsidRPr="008104F9">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081199" w14:textId="77777777" w:rsidR="008104F9" w:rsidRPr="008104F9" w:rsidRDefault="008104F9" w:rsidP="008104F9">
            <w:pPr>
              <w:rPr>
                <w:b/>
                <w:bCs/>
              </w:rPr>
            </w:pPr>
            <w:r w:rsidRPr="008104F9">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97E2E2" w14:textId="77777777" w:rsidR="008104F9" w:rsidRPr="008104F9" w:rsidRDefault="008104F9" w:rsidP="008104F9">
            <w:pPr>
              <w:rPr>
                <w:b/>
                <w:bCs/>
              </w:rPr>
            </w:pPr>
            <w:r w:rsidRPr="008104F9">
              <w:rPr>
                <w:b/>
                <w:bCs/>
              </w:rPr>
              <w:t>Source link</w:t>
            </w:r>
          </w:p>
        </w:tc>
      </w:tr>
      <w:tr w:rsidR="008104F9" w:rsidRPr="008104F9" w14:paraId="190B49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CE6742" w14:textId="77777777" w:rsidR="008104F9" w:rsidRPr="008104F9" w:rsidRDefault="008104F9" w:rsidP="008104F9">
            <w:r w:rsidRPr="008104F9">
              <w:t>Hamilton Health Sciences Corporation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C1242" w14:textId="77777777" w:rsidR="008104F9" w:rsidRPr="008104F9" w:rsidRDefault="008104F9" w:rsidP="008104F9">
            <w:r w:rsidRPr="008104F9">
              <w:rPr>
                <w:b/>
                <w:bCs/>
              </w:rPr>
              <w:t>PHIPA Decision 338: inadequate search for a child’s personal health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57285" w14:textId="77777777" w:rsidR="008104F9" w:rsidRPr="008104F9" w:rsidRDefault="008104F9" w:rsidP="008104F9">
            <w:r w:rsidRPr="008104F9">
              <w:t xml:space="preserve">The parents of a child requested the child’s medical records under PHIPA. Although Hamilton Health Sciences provided responsive records, the parents maintained that further records existed, including internal material relating to pending, indeterminate or inconclusive test results, pathology imaging, infectious-disease consultation notes and consent documentation. The Information and Privacy Commissioner of Ontario found that the hospital had </w:t>
            </w:r>
            <w:r w:rsidRPr="008104F9">
              <w:rPr>
                <w:b/>
                <w:bCs/>
              </w:rPr>
              <w:t>not conducted a reasonable search</w:t>
            </w:r>
            <w:r w:rsidRPr="008104F9">
              <w:t xml:space="preserve"> and ordered it to conduct another search for records responsive to the request. The decision </w:t>
            </w:r>
            <w:r w:rsidRPr="008104F9">
              <w:lastRenderedPageBreak/>
              <w:t xml:space="preserve">was made under sections 53 and 54 of PHIPA. This was an </w:t>
            </w:r>
            <w:r w:rsidRPr="008104F9">
              <w:rPr>
                <w:b/>
                <w:bCs/>
              </w:rPr>
              <w:t>access and reasonable-search matter</w:t>
            </w:r>
            <w:r w:rsidRPr="008104F9">
              <w:t xml:space="preserve">, not a request to correct a health record, so it remains within scope after applying the requested corrections exclusion. </w:t>
            </w:r>
            <w:hyperlink r:id="rId6" w:history="1">
              <w:r w:rsidRPr="008104F9">
                <w:rPr>
                  <w:rStyle w:val="Hyperlink"/>
                </w:rPr>
                <w:t>[ipc.on.ca]</w:t>
              </w:r>
            </w:hyperlink>
            <w:r w:rsidRPr="008104F9">
              <w:t xml:space="preserve">, </w:t>
            </w:r>
            <w:hyperlink r:id="rId7" w:history="1">
              <w:r w:rsidRPr="008104F9">
                <w:rPr>
                  <w:rStyle w:val="Hyperlink"/>
                </w:rPr>
                <w:t>[decisions.ipc.on.ca]</w:t>
              </w:r>
            </w:hyperlink>
            <w:r w:rsidRPr="008104F9">
              <w:t xml:space="preserve">, </w:t>
            </w:r>
            <w:hyperlink r:id="rId8" w:history="1">
              <w:r w:rsidRPr="008104F9">
                <w:rPr>
                  <w:rStyle w:val="Hyperlink"/>
                </w:rPr>
                <w:t>[norma.lexum.com]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764F5" w14:textId="77777777" w:rsidR="008104F9" w:rsidRPr="008104F9" w:rsidRDefault="008104F9" w:rsidP="008104F9">
            <w:r w:rsidRPr="008104F9">
              <w:rPr>
                <w:b/>
                <w:bCs/>
              </w:rPr>
              <w:lastRenderedPageBreak/>
              <w:t>May 13,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8E298" w14:textId="77777777" w:rsidR="008104F9" w:rsidRPr="008104F9" w:rsidRDefault="008104F9" w:rsidP="008104F9">
            <w:r w:rsidRPr="008104F9">
              <w:t>Information and Privacy Commissioner of Ontario, PHIPA Decision 338, Complaint HA25-00348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9C805" w14:textId="77777777" w:rsidR="008104F9" w:rsidRPr="008104F9" w:rsidRDefault="008104F9" w:rsidP="008104F9">
            <w:hyperlink r:id="rId9" w:history="1">
              <w:r w:rsidRPr="008104F9">
                <w:rPr>
                  <w:rStyle w:val="Hyperlink"/>
                </w:rPr>
                <w:t>PHIPA Decision 338: official IPC decision page</w:t>
              </w:r>
            </w:hyperlink>
            <w:r w:rsidRPr="008104F9">
              <w:t xml:space="preserve"> · </w:t>
            </w:r>
            <w:hyperlink r:id="rId10" w:history="1">
              <w:r w:rsidRPr="008104F9">
                <w:rPr>
                  <w:rStyle w:val="Hyperlink"/>
                </w:rPr>
                <w:t>Full text of PHIPA Decision 338</w:t>
              </w:r>
            </w:hyperlink>
          </w:p>
        </w:tc>
      </w:tr>
    </w:tbl>
    <w:p w14:paraId="61190DBC" w14:textId="77777777" w:rsidR="008104F9" w:rsidRPr="008104F9" w:rsidRDefault="008104F9" w:rsidP="008104F9">
      <w:pPr>
        <w:rPr>
          <w:b/>
          <w:bCs/>
        </w:rPr>
      </w:pPr>
      <w:r w:rsidRPr="008104F9">
        <w:rPr>
          <w:b/>
          <w:bCs/>
        </w:rPr>
        <w:t>Coverage and exclusions</w:t>
      </w:r>
    </w:p>
    <w:p w14:paraId="1930CDF9" w14:textId="77777777" w:rsidR="008104F9" w:rsidRPr="008104F9" w:rsidRDefault="008104F9" w:rsidP="008104F9">
      <w:pPr>
        <w:numPr>
          <w:ilvl w:val="0"/>
          <w:numId w:val="1"/>
        </w:numPr>
      </w:pPr>
      <w:r w:rsidRPr="008104F9">
        <w:rPr>
          <w:b/>
          <w:bCs/>
        </w:rPr>
        <w:t>Period searched:</w:t>
      </w:r>
      <w:r w:rsidRPr="008104F9">
        <w:t xml:space="preserve"> January 16, 2026 through July 16, 2026, inclusive.</w:t>
      </w:r>
    </w:p>
    <w:p w14:paraId="005A99C9" w14:textId="77777777" w:rsidR="008104F9" w:rsidRPr="008104F9" w:rsidRDefault="008104F9" w:rsidP="008104F9">
      <w:pPr>
        <w:numPr>
          <w:ilvl w:val="0"/>
          <w:numId w:val="1"/>
        </w:numPr>
      </w:pPr>
      <w:r w:rsidRPr="008104F9">
        <w:rPr>
          <w:b/>
          <w:bCs/>
        </w:rPr>
        <w:t>Hospital-name variants checked:</w:t>
      </w:r>
      <w:r w:rsidRPr="008104F9">
        <w:t xml:space="preserve"> “Hamilton Health Sciences,” “Hamilton Health Sciences Corporation,” “Hamilton Health Sciences Corp,” and “HHS.”</w:t>
      </w:r>
    </w:p>
    <w:p w14:paraId="2ECA5CB5" w14:textId="77777777" w:rsidR="008104F9" w:rsidRPr="008104F9" w:rsidRDefault="008104F9" w:rsidP="008104F9">
      <w:pPr>
        <w:numPr>
          <w:ilvl w:val="0"/>
          <w:numId w:val="1"/>
        </w:numPr>
      </w:pPr>
      <w:r w:rsidRPr="008104F9">
        <w:rPr>
          <w:b/>
          <w:bCs/>
        </w:rPr>
        <w:t>Sources checked:</w:t>
      </w:r>
      <w:r w:rsidRPr="008104F9">
        <w:t xml:space="preserve"> IPC decision pages and decision database, the hospital’s news and privacy pages, mainstream-news results, and available organizational files, emails, meetings and chats.</w:t>
      </w:r>
    </w:p>
    <w:p w14:paraId="2453576F" w14:textId="77777777" w:rsidR="008104F9" w:rsidRPr="008104F9" w:rsidRDefault="008104F9" w:rsidP="008104F9">
      <w:pPr>
        <w:numPr>
          <w:ilvl w:val="0"/>
          <w:numId w:val="1"/>
        </w:numPr>
      </w:pPr>
      <w:r w:rsidRPr="008104F9">
        <w:t xml:space="preserve">The IPC results consistently surfaced </w:t>
      </w:r>
      <w:r w:rsidRPr="008104F9">
        <w:rPr>
          <w:b/>
          <w:bCs/>
        </w:rPr>
        <w:t>PHIPA Decision 338</w:t>
      </w:r>
      <w:r w:rsidRPr="008104F9">
        <w:t xml:space="preserve"> as the only qualifying 2026 PHIPA decision for this hospital in the specified window. The other identifiable Hamilton Health Sciences PHIPA decisions returned by the search were dated November 25, 2024, October 5, 2020, and August 25, 2023, placing them outside the requested range. </w:t>
      </w:r>
      <w:hyperlink r:id="rId11" w:history="1">
        <w:r w:rsidRPr="008104F9">
          <w:rPr>
            <w:rStyle w:val="Hyperlink"/>
          </w:rPr>
          <w:t>[ipc.on.ca]</w:t>
        </w:r>
      </w:hyperlink>
      <w:r w:rsidRPr="008104F9">
        <w:t xml:space="preserve">, </w:t>
      </w:r>
      <w:hyperlink r:id="rId12" w:history="1">
        <w:r w:rsidRPr="008104F9">
          <w:rPr>
            <w:rStyle w:val="Hyperlink"/>
          </w:rPr>
          <w:t>[decisions.ipc.on.ca]</w:t>
        </w:r>
      </w:hyperlink>
      <w:r w:rsidRPr="008104F9">
        <w:t xml:space="preserve">, </w:t>
      </w:r>
      <w:hyperlink r:id="rId13" w:history="1">
        <w:r w:rsidRPr="008104F9">
          <w:rPr>
            <w:rStyle w:val="Hyperlink"/>
          </w:rPr>
          <w:t>[ipc.on.ca]</w:t>
        </w:r>
      </w:hyperlink>
    </w:p>
    <w:p w14:paraId="2C4E10B9" w14:textId="77777777" w:rsidR="008104F9" w:rsidRPr="008104F9" w:rsidRDefault="008104F9" w:rsidP="008104F9">
      <w:pPr>
        <w:numPr>
          <w:ilvl w:val="0"/>
          <w:numId w:val="1"/>
        </w:numPr>
      </w:pPr>
      <w:r w:rsidRPr="008104F9">
        <w:t xml:space="preserve">I excluded </w:t>
      </w:r>
      <w:r w:rsidRPr="008104F9">
        <w:rPr>
          <w:b/>
          <w:bCs/>
        </w:rPr>
        <w:t>PHIPA Decision 223</w:t>
      </w:r>
      <w:r w:rsidRPr="008104F9">
        <w:t xml:space="preserve">, which concerned a correction request and was also outside the date window. </w:t>
      </w:r>
      <w:hyperlink r:id="rId14" w:history="1">
        <w:r w:rsidRPr="008104F9">
          <w:rPr>
            <w:rStyle w:val="Hyperlink"/>
          </w:rPr>
          <w:t>[ipc.on.ca]</w:t>
        </w:r>
      </w:hyperlink>
    </w:p>
    <w:p w14:paraId="49E4430D" w14:textId="77777777" w:rsidR="008104F9" w:rsidRPr="008104F9" w:rsidRDefault="008104F9" w:rsidP="008104F9">
      <w:pPr>
        <w:numPr>
          <w:ilvl w:val="0"/>
          <w:numId w:val="1"/>
        </w:numPr>
      </w:pPr>
      <w:r w:rsidRPr="008104F9">
        <w:t xml:space="preserve">The hospital’s privacy-tag archive showed no 2026 breach announcement. Its latest indexed privacy-breach item was dated August 28, 2023, outside scope. </w:t>
      </w:r>
      <w:hyperlink r:id="rId15" w:history="1">
        <w:r w:rsidRPr="008104F9">
          <w:rPr>
            <w:rStyle w:val="Hyperlink"/>
          </w:rPr>
          <w:t>[hamiltonhe...ciences.ca]</w:t>
        </w:r>
      </w:hyperlink>
      <w:r w:rsidRPr="008104F9">
        <w:t xml:space="preserve">, </w:t>
      </w:r>
      <w:hyperlink r:id="rId16" w:history="1">
        <w:r w:rsidRPr="008104F9">
          <w:rPr>
            <w:rStyle w:val="Hyperlink"/>
          </w:rPr>
          <w:t>[hamiltonhe...ciences.ca]</w:t>
        </w:r>
      </w:hyperlink>
    </w:p>
    <w:p w14:paraId="54ED2C41" w14:textId="77777777" w:rsidR="008104F9" w:rsidRPr="008104F9" w:rsidRDefault="008104F9" w:rsidP="008104F9">
      <w:pPr>
        <w:numPr>
          <w:ilvl w:val="0"/>
          <w:numId w:val="1"/>
        </w:numPr>
      </w:pPr>
      <w:r w:rsidRPr="008104F9">
        <w:lastRenderedPageBreak/>
        <w:t xml:space="preserve">I did not include Order PO-4849, dated June 17, 2026. Although it referenced PHIPA in its statutory discussion, it was a </w:t>
      </w:r>
      <w:r w:rsidRPr="008104F9">
        <w:rPr>
          <w:b/>
          <w:bCs/>
        </w:rPr>
        <w:t>FIPPA access appeal</w:t>
      </w:r>
      <w:r w:rsidRPr="008104F9">
        <w:t xml:space="preserve"> concerning quality-of-care records, not a PHIPA decision or PHIPA privacy update. </w:t>
      </w:r>
      <w:hyperlink r:id="rId17" w:history="1">
        <w:r w:rsidRPr="008104F9">
          <w:rPr>
            <w:rStyle w:val="Hyperlink"/>
          </w:rPr>
          <w:t>[decisions.ipc.on.ca]</w:t>
        </w:r>
      </w:hyperlink>
    </w:p>
    <w:p w14:paraId="29C78DFC" w14:textId="77777777" w:rsidR="008104F9" w:rsidRPr="008104F9" w:rsidRDefault="008104F9" w:rsidP="008104F9">
      <w:pPr>
        <w:numPr>
          <w:ilvl w:val="0"/>
          <w:numId w:val="1"/>
        </w:numPr>
      </w:pPr>
      <w:r w:rsidRPr="008104F9">
        <w:t xml:space="preserve">I also did not include the hospital’s April 22, 2026 Essential Care Partner story. It discussed privacy, medical-information sharing and the “circle of care,” but the retrieved source did not expressly identify the item as a PHIPA matter. </w:t>
      </w:r>
      <w:hyperlink r:id="rId18" w:history="1">
        <w:r w:rsidRPr="008104F9">
          <w:rPr>
            <w:rStyle w:val="Hyperlink"/>
          </w:rPr>
          <w:t>[hamiltonhe...ciences.ca]</w:t>
        </w:r>
      </w:hyperlink>
    </w:p>
    <w:p w14:paraId="679EC440" w14:textId="77777777" w:rsidR="008104F9" w:rsidRPr="008104F9" w:rsidRDefault="008104F9" w:rsidP="008104F9">
      <w:r w:rsidRPr="008104F9">
        <w:rPr>
          <w:b/>
          <w:bCs/>
        </w:rPr>
        <w:t>Exhaustiveness qualification:</w:t>
      </w:r>
      <w:r w:rsidRPr="008104F9">
        <w:t xml:space="preserve"> Public search indexes can omit unpublished, withdrawn, sealed or not-yet-indexed material. Within the indexed IPC, hospital, mainstream-media and available enterprise sources searched, </w:t>
      </w:r>
      <w:r w:rsidRPr="008104F9">
        <w:rPr>
          <w:b/>
          <w:bCs/>
        </w:rPr>
        <w:t>one qualifying, non-correction update was identified</w:t>
      </w:r>
      <w:r w:rsidRPr="008104F9">
        <w:t>.</w:t>
      </w:r>
    </w:p>
    <w:p w14:paraId="1789737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55034"/>
    <w:multiLevelType w:val="multilevel"/>
    <w:tmpl w:val="5E6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96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F97"/>
    <w:rsid w:val="001F4F97"/>
    <w:rsid w:val="0067003E"/>
    <w:rsid w:val="008104F9"/>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465C"/>
  <w15:chartTrackingRefBased/>
  <w15:docId w15:val="{DBB56C75-B31B-4650-8621-33E4CEE87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F97"/>
    <w:rPr>
      <w:rFonts w:eastAsiaTheme="majorEastAsia" w:cstheme="majorBidi"/>
      <w:color w:val="272727" w:themeColor="text1" w:themeTint="D8"/>
    </w:rPr>
  </w:style>
  <w:style w:type="paragraph" w:styleId="Title">
    <w:name w:val="Title"/>
    <w:basedOn w:val="Normal"/>
    <w:next w:val="Normal"/>
    <w:link w:val="TitleChar"/>
    <w:uiPriority w:val="10"/>
    <w:qFormat/>
    <w:rsid w:val="001F4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F97"/>
    <w:pPr>
      <w:spacing w:before="160"/>
      <w:jc w:val="center"/>
    </w:pPr>
    <w:rPr>
      <w:i/>
      <w:iCs/>
      <w:color w:val="404040" w:themeColor="text1" w:themeTint="BF"/>
    </w:rPr>
  </w:style>
  <w:style w:type="character" w:customStyle="1" w:styleId="QuoteChar">
    <w:name w:val="Quote Char"/>
    <w:basedOn w:val="DefaultParagraphFont"/>
    <w:link w:val="Quote"/>
    <w:uiPriority w:val="29"/>
    <w:rsid w:val="001F4F97"/>
    <w:rPr>
      <w:i/>
      <w:iCs/>
      <w:color w:val="404040" w:themeColor="text1" w:themeTint="BF"/>
    </w:rPr>
  </w:style>
  <w:style w:type="paragraph" w:styleId="ListParagraph">
    <w:name w:val="List Paragraph"/>
    <w:basedOn w:val="Normal"/>
    <w:uiPriority w:val="34"/>
    <w:qFormat/>
    <w:rsid w:val="001F4F97"/>
    <w:pPr>
      <w:ind w:left="720"/>
      <w:contextualSpacing/>
    </w:pPr>
  </w:style>
  <w:style w:type="character" w:styleId="IntenseEmphasis">
    <w:name w:val="Intense Emphasis"/>
    <w:basedOn w:val="DefaultParagraphFont"/>
    <w:uiPriority w:val="21"/>
    <w:qFormat/>
    <w:rsid w:val="001F4F97"/>
    <w:rPr>
      <w:i/>
      <w:iCs/>
      <w:color w:val="0F4761" w:themeColor="accent1" w:themeShade="BF"/>
    </w:rPr>
  </w:style>
  <w:style w:type="paragraph" w:styleId="IntenseQuote">
    <w:name w:val="Intense Quote"/>
    <w:basedOn w:val="Normal"/>
    <w:next w:val="Normal"/>
    <w:link w:val="IntenseQuoteChar"/>
    <w:uiPriority w:val="30"/>
    <w:qFormat/>
    <w:rsid w:val="001F4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F97"/>
    <w:rPr>
      <w:i/>
      <w:iCs/>
      <w:color w:val="0F4761" w:themeColor="accent1" w:themeShade="BF"/>
    </w:rPr>
  </w:style>
  <w:style w:type="character" w:styleId="IntenseReference">
    <w:name w:val="Intense Reference"/>
    <w:basedOn w:val="DefaultParagraphFont"/>
    <w:uiPriority w:val="32"/>
    <w:qFormat/>
    <w:rsid w:val="001F4F97"/>
    <w:rPr>
      <w:b/>
      <w:bCs/>
      <w:smallCaps/>
      <w:color w:val="0F4761" w:themeColor="accent1" w:themeShade="BF"/>
      <w:spacing w:val="5"/>
    </w:rPr>
  </w:style>
  <w:style w:type="character" w:styleId="Hyperlink">
    <w:name w:val="Hyperlink"/>
    <w:basedOn w:val="DefaultParagraphFont"/>
    <w:uiPriority w:val="99"/>
    <w:unhideWhenUsed/>
    <w:rsid w:val="008104F9"/>
    <w:rPr>
      <w:color w:val="467886" w:themeColor="hyperlink"/>
      <w:u w:val="single"/>
    </w:rPr>
  </w:style>
  <w:style w:type="character" w:styleId="UnresolvedMention">
    <w:name w:val="Unresolved Mention"/>
    <w:basedOn w:val="DefaultParagraphFont"/>
    <w:uiPriority w:val="99"/>
    <w:semiHidden/>
    <w:unhideWhenUsed/>
    <w:rsid w:val="00810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lexum.com/ipc-cipvp/phipa/en/item/522365/index.do" TargetMode="External"/><Relationship Id="rId13" Type="http://schemas.openxmlformats.org/officeDocument/2006/relationships/hyperlink" Target="https://www.ipc.on.ca/en/decisions/latest-decisions/phipa-decision-223" TargetMode="External"/><Relationship Id="rId18" Type="http://schemas.openxmlformats.org/officeDocument/2006/relationships/hyperlink" Target="https://www.hamiltonhealthsciences.ca/share/essential-care-partner-program/" TargetMode="External"/><Relationship Id="rId3" Type="http://schemas.openxmlformats.org/officeDocument/2006/relationships/settings" Target="settings.xml"/><Relationship Id="rId7" Type="http://schemas.openxmlformats.org/officeDocument/2006/relationships/hyperlink" Target="https://decisions.ipc.on.ca/ipc-cipvp/phipa/en/522365/1/document.do" TargetMode="External"/><Relationship Id="rId12" Type="http://schemas.openxmlformats.org/officeDocument/2006/relationships/hyperlink" Target="https://decisions.ipc.on.ca/ipc-cipvp/phipa/en/487555/1/document.do" TargetMode="External"/><Relationship Id="rId17" Type="http://schemas.openxmlformats.org/officeDocument/2006/relationships/hyperlink" Target="https://decisions.ipc.on.ca/ipc-cipvp/orders/en/522401/1/document.do" TargetMode="External"/><Relationship Id="rId2" Type="http://schemas.openxmlformats.org/officeDocument/2006/relationships/styles" Target="styles.xml"/><Relationship Id="rId16" Type="http://schemas.openxmlformats.org/officeDocument/2006/relationships/hyperlink" Target="https://www.hamiltonhealthsciences.ca/share/tag/priva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pc.on.ca/en/decisions/latest-decisions/phipa-decision-338" TargetMode="External"/><Relationship Id="rId11" Type="http://schemas.openxmlformats.org/officeDocument/2006/relationships/hyperlink" Target="https://www.ipc.on.ca/en/decisions/latest-decisions/phipa-decision-267"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hamiltonhealthsciences.ca/share/privacy-breach/" TargetMode="External"/><Relationship Id="rId10" Type="http://schemas.openxmlformats.org/officeDocument/2006/relationships/hyperlink" Target="https://decisions.ipc.on.ca/ipc-cipvp/phipa/en/522365/1/document.d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pc.on.ca/en/decisions/latest-decisions/phipa-decision-338" TargetMode="External"/><Relationship Id="rId14" Type="http://schemas.openxmlformats.org/officeDocument/2006/relationships/hyperlink" Target="https://www.ipc.on.ca/en/decisions/latest-decisions/phipa-decision-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2026-08-24T12:04:00Z</dcterms:created>
  <dcterms:modified xsi:type="dcterms:W3CDTF">2026-08-24T12:04:00Z</dcterms:modified>
</cp:coreProperties>
</file>