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3B5A" w14:textId="77777777" w:rsidR="00292E6B" w:rsidRPr="00292E6B" w:rsidRDefault="00292E6B" w:rsidP="00292E6B">
      <w:r w:rsidRPr="00292E6B">
        <w:t xml:space="preserve">I treated “Exclude corrections” as excluding PHIPA matters whose substantive issue was correcting a health record, not merely excluding publishers’ correction notices. On that basis, I found </w:t>
      </w:r>
      <w:r w:rsidRPr="00292E6B">
        <w:rPr>
          <w:b/>
          <w:bCs/>
        </w:rPr>
        <w:t>two qualifying public updates</w:t>
      </w:r>
      <w:r w:rsidRPr="00292E6B">
        <w:t xml:space="preserve"> for </w:t>
      </w:r>
      <w:r w:rsidRPr="00292E6B">
        <w:rPr>
          <w:b/>
          <w:bCs/>
        </w:rPr>
        <w:t>January 16 through July 16, 2026</w:t>
      </w:r>
      <w:r w:rsidRPr="00292E6B">
        <w:t>, both issued by the Information and Privacy Commissioner of Ontario, the primary authoritative source for PHIPA decisions.</w:t>
      </w:r>
    </w:p>
    <w:p w14:paraId="1D74E588" w14:textId="77777777" w:rsidR="00292E6B" w:rsidRPr="00292E6B" w:rsidRDefault="00292E6B" w:rsidP="00292E6B">
      <w:pPr>
        <w:rPr>
          <w:b/>
          <w:bCs/>
        </w:rPr>
      </w:pPr>
      <w:r w:rsidRPr="00292E6B">
        <w:rPr>
          <w:b/>
          <w:bCs/>
        </w:rPr>
        <w:t>The Ottawa Hospital</w:t>
      </w:r>
    </w:p>
    <w:p w14:paraId="28965339" w14:textId="77777777" w:rsidR="00292E6B" w:rsidRPr="00292E6B" w:rsidRDefault="00292E6B" w:rsidP="00292E6B">
      <w:pPr>
        <w:rPr>
          <w:b/>
          <w:bCs/>
        </w:rPr>
      </w:pPr>
      <w:r w:rsidRPr="00292E6B">
        <w:rPr>
          <w:b/>
          <w:bCs/>
        </w:rPr>
        <w:t>1. The Ottawa Hospital → Access to EMR screenshots and non-existent records →</w:t>
      </w:r>
    </w:p>
    <w:p w14:paraId="2A0369C1" w14:textId="77777777" w:rsidR="00292E6B" w:rsidRPr="00292E6B" w:rsidRDefault="00292E6B" w:rsidP="00292E6B">
      <w:r w:rsidRPr="00292E6B">
        <w:t>A patient requested screenshots of 25 display items, including “Storyboard” and “Snapshot,” from her health record in The Ottawa Hospital’s Epic electronic medical record system. The hospital offered printed copies of the personal health information displayed through those items but declined to create screenshots. In PHIPA Decision 340, the IPC found that screenshots could, in principle, qualify as records under PHIPA, rejecting the hospital’s broader argument that they could not. However, because the hospital did not create or maintain the requested screenshots, it was not required to produce them. The IPC also found that the hospital had proposed reasonable alternatives and dismissed the complaint in its entirety, including the complainant’s additional allegations concerning a previous access request, alleged PHIPA offences, bias, and procedural unfairness.</w:t>
      </w:r>
      <w:r w:rsidRPr="00292E6B">
        <w:br/>
      </w:r>
      <w:r w:rsidRPr="00292E6B">
        <w:rPr>
          <w:b/>
          <w:bCs/>
        </w:rPr>
        <w:t>Date:</w:t>
      </w:r>
      <w:r w:rsidRPr="00292E6B">
        <w:t xml:space="preserve"> June 25, 2026</w:t>
      </w:r>
      <w:r w:rsidRPr="00292E6B">
        <w:br/>
      </w:r>
      <w:r w:rsidRPr="00292E6B">
        <w:rPr>
          <w:b/>
          <w:bCs/>
        </w:rPr>
        <w:t>Source:</w:t>
      </w:r>
      <w:r w:rsidRPr="00292E6B">
        <w:t xml:space="preserve"> Information and Privacy Commissioner of Ontario, PHIPA Decision 340</w:t>
      </w:r>
      <w:r w:rsidRPr="00292E6B">
        <w:br/>
      </w:r>
      <w:r w:rsidRPr="00292E6B">
        <w:rPr>
          <w:b/>
          <w:bCs/>
        </w:rPr>
        <w:t>Source link:</w:t>
      </w:r>
      <w:r w:rsidRPr="00292E6B">
        <w:t xml:space="preserve"> </w:t>
      </w:r>
      <w:hyperlink r:id="rId4" w:history="1">
        <w:r w:rsidRPr="00292E6B">
          <w:rPr>
            <w:rStyle w:val="Hyperlink"/>
          </w:rPr>
          <w:t>PHIPA Decision 340: Access request for Epic EMR screenshots</w:t>
        </w:r>
      </w:hyperlink>
      <w:r w:rsidRPr="00292E6B">
        <w:t xml:space="preserve"> </w:t>
      </w:r>
      <w:hyperlink r:id="rId5" w:history="1">
        <w:r w:rsidRPr="00292E6B">
          <w:rPr>
            <w:rStyle w:val="Hyperlink"/>
          </w:rPr>
          <w:t>[ipc.on.ca]</w:t>
        </w:r>
      </w:hyperlink>
      <w:r w:rsidRPr="00292E6B">
        <w:t xml:space="preserve">, </w:t>
      </w:r>
      <w:hyperlink r:id="rId6" w:history="1">
        <w:r w:rsidRPr="00292E6B">
          <w:rPr>
            <w:rStyle w:val="Hyperlink"/>
          </w:rPr>
          <w:t>[decisions.ipc.on.ca]</w:t>
        </w:r>
      </w:hyperlink>
    </w:p>
    <w:p w14:paraId="5FFCE5DB" w14:textId="77777777" w:rsidR="00292E6B" w:rsidRPr="00292E6B" w:rsidRDefault="00292E6B" w:rsidP="00292E6B">
      <w:pPr>
        <w:rPr>
          <w:b/>
          <w:bCs/>
        </w:rPr>
      </w:pPr>
      <w:r w:rsidRPr="00292E6B">
        <w:rPr>
          <w:b/>
          <w:bCs/>
        </w:rPr>
        <w:t>2. The Ottawa Hospital, Civic Campus → Access to records concerning a patient’s care, PHIPA-FIPPA interaction, and adequacy of search →</w:t>
      </w:r>
    </w:p>
    <w:p w14:paraId="040AED1C" w14:textId="77777777" w:rsidR="00292E6B" w:rsidRPr="00292E6B" w:rsidRDefault="00292E6B" w:rsidP="00292E6B">
      <w:r w:rsidRPr="00292E6B">
        <w:t>A substitute decision-maker sought records relating to his son’s care, including emails and meeting-related records. The IPC found that the records contained the son’s personal health information. It determined that the draft meeting minutes were primarily dedicated to that personal health information, while the email records were principally administrative and communicative. The IPC applied PHIPA’s “flow-through” provision to consider access under FIPPA, upheld the hospital’s reliance on applicable exclusions and exemptions for the withheld information, and found that the Health Care Consent Act provision invoked by the requester did not apply. However, the IPC concluded that the hospital had not conducted a reasonable search and ordered it to undertake an additional search for responsive records.</w:t>
      </w:r>
      <w:r w:rsidRPr="00292E6B">
        <w:br/>
      </w:r>
      <w:r w:rsidRPr="00292E6B">
        <w:rPr>
          <w:b/>
          <w:bCs/>
        </w:rPr>
        <w:t>Date:</w:t>
      </w:r>
      <w:r w:rsidRPr="00292E6B">
        <w:t xml:space="preserve"> April 29, 2026</w:t>
      </w:r>
      <w:r w:rsidRPr="00292E6B">
        <w:br/>
      </w:r>
      <w:r w:rsidRPr="00292E6B">
        <w:rPr>
          <w:b/>
          <w:bCs/>
        </w:rPr>
        <w:t>Source:</w:t>
      </w:r>
      <w:r w:rsidRPr="00292E6B">
        <w:t xml:space="preserve"> Information and Privacy Commissioner of Ontario, Order PO-4820</w:t>
      </w:r>
      <w:r w:rsidRPr="00292E6B">
        <w:br/>
      </w:r>
      <w:r w:rsidRPr="00292E6B">
        <w:rPr>
          <w:b/>
          <w:bCs/>
        </w:rPr>
        <w:lastRenderedPageBreak/>
        <w:t>Source link:</w:t>
      </w:r>
      <w:r w:rsidRPr="00292E6B">
        <w:t xml:space="preserve"> </w:t>
      </w:r>
      <w:hyperlink r:id="rId7" w:history="1">
        <w:r w:rsidRPr="00292E6B">
          <w:rPr>
            <w:rStyle w:val="Hyperlink"/>
          </w:rPr>
          <w:t>Order PO-4820: Access to records relating to care at The Ottawa Hospital, Civic Campus</w:t>
        </w:r>
      </w:hyperlink>
      <w:r w:rsidRPr="00292E6B">
        <w:t xml:space="preserve"> </w:t>
      </w:r>
      <w:hyperlink r:id="rId8" w:history="1">
        <w:r w:rsidRPr="00292E6B">
          <w:rPr>
            <w:rStyle w:val="Hyperlink"/>
          </w:rPr>
          <w:t>[decisions.ipc.on.ca]</w:t>
        </w:r>
      </w:hyperlink>
    </w:p>
    <w:p w14:paraId="323709E3" w14:textId="77777777" w:rsidR="00292E6B" w:rsidRPr="00292E6B" w:rsidRDefault="00292E6B" w:rsidP="00292E6B">
      <w:pPr>
        <w:rPr>
          <w:b/>
          <w:bCs/>
        </w:rPr>
      </w:pPr>
      <w:r w:rsidRPr="00292E6B">
        <w:rPr>
          <w:b/>
          <w:bCs/>
        </w:rPr>
        <w:t>Excluded item</w:t>
      </w:r>
    </w:p>
    <w:p w14:paraId="04832495" w14:textId="77777777" w:rsidR="00292E6B" w:rsidRPr="00292E6B" w:rsidRDefault="00292E6B" w:rsidP="00292E6B">
      <w:r w:rsidRPr="00292E6B">
        <w:rPr>
          <w:b/>
          <w:bCs/>
        </w:rPr>
        <w:t>PHIPA Decision 326, dated January 26, 2026, was excluded</w:t>
      </w:r>
      <w:r w:rsidRPr="00292E6B">
        <w:t xml:space="preserve"> because its central issue was a request to correct portions of an after-visit summary and the handling of a statement of disagreement. The IPC upheld the hospital’s refusal to make the requested corrections and found that attaching the statement of disagreement to the electronic health record satisfied the hospital’s PHIPA obligation. </w:t>
      </w:r>
      <w:hyperlink r:id="rId9" w:history="1">
        <w:r w:rsidRPr="00292E6B">
          <w:rPr>
            <w:rStyle w:val="Hyperlink"/>
          </w:rPr>
          <w:t>[ipc.on.ca]</w:t>
        </w:r>
      </w:hyperlink>
    </w:p>
    <w:p w14:paraId="361F16CF" w14:textId="77777777" w:rsidR="00292E6B" w:rsidRPr="00292E6B" w:rsidRDefault="00292E6B" w:rsidP="00292E6B">
      <w:pPr>
        <w:rPr>
          <w:b/>
          <w:bCs/>
        </w:rPr>
      </w:pPr>
      <w:r w:rsidRPr="00292E6B">
        <w:rPr>
          <w:b/>
          <w:bCs/>
        </w:rPr>
        <w:t xml:space="preserve">Coverage </w:t>
      </w:r>
      <w:proofErr w:type="gramStart"/>
      <w:r w:rsidRPr="00292E6B">
        <w:rPr>
          <w:b/>
          <w:bCs/>
        </w:rPr>
        <w:t>note</w:t>
      </w:r>
      <w:proofErr w:type="gramEnd"/>
    </w:p>
    <w:p w14:paraId="61BAE341" w14:textId="77777777" w:rsidR="00292E6B" w:rsidRPr="00292E6B" w:rsidRDefault="00292E6B" w:rsidP="00292E6B">
      <w:r w:rsidRPr="00292E6B">
        <w:t>I searched the IPC’s decision collection, the IPC’s underlying decisions database, The Ottawa Hospital’s public site, and mainstream-media results for the specified period. I found no additional qualifying PHIPA-related public news items for The Ottawa Hospital within the date window. General privacy-policy and FAQ pages were not included because the retrieved results did not establish that they represented dated news updates issued between January 16 and July 16, 2026. “Cases of Note” were also excluded as requested by the applicable PHIPA-news methodology.</w:t>
      </w:r>
    </w:p>
    <w:p w14:paraId="5DA0325E"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A5A"/>
    <w:rsid w:val="00292E6B"/>
    <w:rsid w:val="0067003E"/>
    <w:rsid w:val="009E2398"/>
    <w:rsid w:val="009F2B23"/>
    <w:rsid w:val="00B80A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4E56"/>
  <w15:chartTrackingRefBased/>
  <w15:docId w15:val="{B2D7CD32-DFE8-447F-9CBA-C1D685D8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A5A"/>
    <w:rPr>
      <w:rFonts w:eastAsiaTheme="majorEastAsia" w:cstheme="majorBidi"/>
      <w:color w:val="272727" w:themeColor="text1" w:themeTint="D8"/>
    </w:rPr>
  </w:style>
  <w:style w:type="paragraph" w:styleId="Title">
    <w:name w:val="Title"/>
    <w:basedOn w:val="Normal"/>
    <w:next w:val="Normal"/>
    <w:link w:val="TitleChar"/>
    <w:uiPriority w:val="10"/>
    <w:qFormat/>
    <w:rsid w:val="00B80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A5A"/>
    <w:pPr>
      <w:spacing w:before="160"/>
      <w:jc w:val="center"/>
    </w:pPr>
    <w:rPr>
      <w:i/>
      <w:iCs/>
      <w:color w:val="404040" w:themeColor="text1" w:themeTint="BF"/>
    </w:rPr>
  </w:style>
  <w:style w:type="character" w:customStyle="1" w:styleId="QuoteChar">
    <w:name w:val="Quote Char"/>
    <w:basedOn w:val="DefaultParagraphFont"/>
    <w:link w:val="Quote"/>
    <w:uiPriority w:val="29"/>
    <w:rsid w:val="00B80A5A"/>
    <w:rPr>
      <w:i/>
      <w:iCs/>
      <w:color w:val="404040" w:themeColor="text1" w:themeTint="BF"/>
    </w:rPr>
  </w:style>
  <w:style w:type="paragraph" w:styleId="ListParagraph">
    <w:name w:val="List Paragraph"/>
    <w:basedOn w:val="Normal"/>
    <w:uiPriority w:val="34"/>
    <w:qFormat/>
    <w:rsid w:val="00B80A5A"/>
    <w:pPr>
      <w:ind w:left="720"/>
      <w:contextualSpacing/>
    </w:pPr>
  </w:style>
  <w:style w:type="character" w:styleId="IntenseEmphasis">
    <w:name w:val="Intense Emphasis"/>
    <w:basedOn w:val="DefaultParagraphFont"/>
    <w:uiPriority w:val="21"/>
    <w:qFormat/>
    <w:rsid w:val="00B80A5A"/>
    <w:rPr>
      <w:i/>
      <w:iCs/>
      <w:color w:val="0F4761" w:themeColor="accent1" w:themeShade="BF"/>
    </w:rPr>
  </w:style>
  <w:style w:type="paragraph" w:styleId="IntenseQuote">
    <w:name w:val="Intense Quote"/>
    <w:basedOn w:val="Normal"/>
    <w:next w:val="Normal"/>
    <w:link w:val="IntenseQuoteChar"/>
    <w:uiPriority w:val="30"/>
    <w:qFormat/>
    <w:rsid w:val="00B80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A5A"/>
    <w:rPr>
      <w:i/>
      <w:iCs/>
      <w:color w:val="0F4761" w:themeColor="accent1" w:themeShade="BF"/>
    </w:rPr>
  </w:style>
  <w:style w:type="character" w:styleId="IntenseReference">
    <w:name w:val="Intense Reference"/>
    <w:basedOn w:val="DefaultParagraphFont"/>
    <w:uiPriority w:val="32"/>
    <w:qFormat/>
    <w:rsid w:val="00B80A5A"/>
    <w:rPr>
      <w:b/>
      <w:bCs/>
      <w:smallCaps/>
      <w:color w:val="0F4761" w:themeColor="accent1" w:themeShade="BF"/>
      <w:spacing w:val="5"/>
    </w:rPr>
  </w:style>
  <w:style w:type="character" w:styleId="Hyperlink">
    <w:name w:val="Hyperlink"/>
    <w:basedOn w:val="DefaultParagraphFont"/>
    <w:uiPriority w:val="99"/>
    <w:unhideWhenUsed/>
    <w:rsid w:val="00292E6B"/>
    <w:rPr>
      <w:color w:val="467886" w:themeColor="hyperlink"/>
      <w:u w:val="single"/>
    </w:rPr>
  </w:style>
  <w:style w:type="character" w:styleId="UnresolvedMention">
    <w:name w:val="Unresolved Mention"/>
    <w:basedOn w:val="DefaultParagraphFont"/>
    <w:uiPriority w:val="99"/>
    <w:semiHidden/>
    <w:unhideWhenUsed/>
    <w:rsid w:val="00292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orders/en/522353/1/document.do" TargetMode="External"/><Relationship Id="rId3" Type="http://schemas.openxmlformats.org/officeDocument/2006/relationships/webSettings" Target="webSettings.xml"/><Relationship Id="rId7" Type="http://schemas.openxmlformats.org/officeDocument/2006/relationships/hyperlink" Target="https://decisions.ipc.on.ca/ipc-cipvp/orders/en/522353/1/document.d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cisions.ipc.on.ca/ipc-cipvp/phipa/en/522411/1/document.do" TargetMode="External"/><Relationship Id="rId11" Type="http://schemas.openxmlformats.org/officeDocument/2006/relationships/theme" Target="theme/theme1.xml"/><Relationship Id="rId5" Type="http://schemas.openxmlformats.org/officeDocument/2006/relationships/hyperlink" Target="https://www.ipc.on.ca/en/decisions/latest-decisions/phipa-decision-340" TargetMode="External"/><Relationship Id="rId10" Type="http://schemas.openxmlformats.org/officeDocument/2006/relationships/fontTable" Target="fontTable.xml"/><Relationship Id="rId4" Type="http://schemas.openxmlformats.org/officeDocument/2006/relationships/hyperlink" Target="https://www.ipc.on.ca/en/decisions/latest-decisions/phipa-decision-340" TargetMode="External"/><Relationship Id="rId9" Type="http://schemas.openxmlformats.org/officeDocument/2006/relationships/hyperlink" Target="https://www.ipc.on.ca/en/decisions/latest-decisions/phipa-decision-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2026-08-24T11:29:00Z</dcterms:created>
  <dcterms:modified xsi:type="dcterms:W3CDTF">2026-08-24T11:30:00Z</dcterms:modified>
</cp:coreProperties>
</file>