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E5E6" w14:textId="77777777" w:rsidR="007E6FFA" w:rsidRPr="007E6FFA" w:rsidRDefault="007E6FFA" w:rsidP="007E6FFA">
      <w:pPr>
        <w:rPr>
          <w:b/>
          <w:bCs/>
        </w:rPr>
      </w:pPr>
      <w:r w:rsidRPr="007E6FFA">
        <w:rPr>
          <w:b/>
          <w:bCs/>
        </w:rPr>
        <w:t>The Ottawa Hospital: PHIPA-related updates</w:t>
      </w:r>
    </w:p>
    <w:p w14:paraId="4FFE9905" w14:textId="77777777" w:rsidR="007E6FFA" w:rsidRPr="007E6FFA" w:rsidRDefault="007E6FFA" w:rsidP="007E6FFA">
      <w:r w:rsidRPr="007E6FFA">
        <w:t xml:space="preserve">I searched the IPC’s PHIPA decisions and access-to-information orders, The Ottawa Hospital’s public site, mainstream news sources, and available internal emails, files, meetings, and chats for </w:t>
      </w:r>
      <w:r w:rsidRPr="007E6FFA">
        <w:rPr>
          <w:b/>
          <w:bCs/>
        </w:rPr>
        <w:t>January 16 through July 16, 2026, inclusive</w:t>
      </w:r>
      <w:r w:rsidRPr="007E6FFA">
        <w:t xml:space="preserve">. After excluding matters whose substantive issue was correction of a health record, I found </w:t>
      </w:r>
      <w:r w:rsidRPr="007E6FFA">
        <w:rPr>
          <w:b/>
          <w:bCs/>
        </w:rPr>
        <w:t>two qualifying public updates</w:t>
      </w:r>
      <w:r w:rsidRPr="007E6FFA">
        <w:t>, both issued by the Information and Privacy Commissioner of Ontario.</w:t>
      </w:r>
    </w:p>
    <w:p w14:paraId="75414761" w14:textId="77777777" w:rsidR="007E6FFA" w:rsidRPr="007E6FFA" w:rsidRDefault="007E6FFA" w:rsidP="007E6FFA">
      <w:pPr>
        <w:rPr>
          <w:b/>
          <w:bCs/>
        </w:rPr>
      </w:pPr>
      <w:r w:rsidRPr="007E6FFA">
        <w:rPr>
          <w:b/>
          <w:bCs/>
        </w:rPr>
        <w:t xml:space="preserve">1. The Ottawa Hospital → Access to EMR displays and screenshots → The complainant requested “samples” or screenshots of 25 display items, including “Storyboard” and “Snapshot,” from her health record in the hospital’s Epic electronic medical record system. The hospital offered printed copies of the personal health information shown by the displays but declined to create screenshots. The IPC found that screenshots could, in principle, qualify as records under PHIPA, but that the hospital did not create or maintain the requested screenshots and was not obligated to create them in these circumstances. The IPC also found that the hospital had proposed reasonable alternatives. Additional allegations concerning an earlier access request, alleged PHIPA offences, bias, and procedural unfairness were dismissed, and the complaint was dismissed in its entirety. → June 25, </w:t>
      </w:r>
      <w:proofErr w:type="gramStart"/>
      <w:r w:rsidRPr="007E6FFA">
        <w:rPr>
          <w:b/>
          <w:bCs/>
        </w:rPr>
        <w:t>2026</w:t>
      </w:r>
      <w:proofErr w:type="gramEnd"/>
      <w:r w:rsidRPr="007E6FFA">
        <w:rPr>
          <w:b/>
          <w:bCs/>
        </w:rPr>
        <w:t xml:space="preserve"> → Information and Privacy Commissioner of Ontario, PHIPA Decision 340 → </w:t>
      </w:r>
      <w:hyperlink r:id="rId4" w:history="1">
        <w:r w:rsidRPr="007E6FFA">
          <w:rPr>
            <w:rStyle w:val="Hyperlink"/>
            <w:b/>
            <w:bCs/>
          </w:rPr>
          <w:t>PHIPA Decision 340: access to Epic EMR displays and screenshots</w:t>
        </w:r>
      </w:hyperlink>
      <w:r w:rsidRPr="007E6FFA">
        <w:rPr>
          <w:b/>
          <w:bCs/>
        </w:rPr>
        <w:t xml:space="preserve"> </w:t>
      </w:r>
      <w:hyperlink r:id="rId5" w:history="1">
        <w:r w:rsidRPr="007E6FFA">
          <w:rPr>
            <w:rStyle w:val="Hyperlink"/>
            <w:b/>
            <w:bCs/>
          </w:rPr>
          <w:t>[ipc.on.ca]</w:t>
        </w:r>
      </w:hyperlink>
    </w:p>
    <w:p w14:paraId="645C4A06" w14:textId="77777777" w:rsidR="007E6FFA" w:rsidRPr="007E6FFA" w:rsidRDefault="007E6FFA" w:rsidP="007E6FFA">
      <w:pPr>
        <w:rPr>
          <w:b/>
          <w:bCs/>
        </w:rPr>
      </w:pPr>
      <w:r w:rsidRPr="007E6FFA">
        <w:rPr>
          <w:b/>
          <w:bCs/>
        </w:rPr>
        <w:t xml:space="preserve">2. The Ottawa Hospital, Civic Campus → Access to records concerning a patient’s care, including emails and draft meeting minutes → A substitute decision-maker sought records relating to his son’s care under both PHIPA and FIPPA. The IPC found that the records contained the son’s personal health information. It determined that the draft meeting minutes were dedicated primarily to that information, while the emails were primarily administrative or communicative records. Through PHIPA’s FIPPA “flow-through” provision, the IPC upheld the hospital’s reliance on applicable exclusions and exemptions for the withheld information, including provisions concerning employment-related records and advice or recommendations. However, the IPC did not uphold the hospital’s search as reasonable and ordered it to conduct a further search for responsive records. → April 29, </w:t>
      </w:r>
      <w:proofErr w:type="gramStart"/>
      <w:r w:rsidRPr="007E6FFA">
        <w:rPr>
          <w:b/>
          <w:bCs/>
        </w:rPr>
        <w:t>2026</w:t>
      </w:r>
      <w:proofErr w:type="gramEnd"/>
      <w:r w:rsidRPr="007E6FFA">
        <w:rPr>
          <w:b/>
          <w:bCs/>
        </w:rPr>
        <w:t xml:space="preserve"> → Information and Privacy Commissioner of Ontario, Order PO-4820 → </w:t>
      </w:r>
      <w:hyperlink r:id="rId6" w:history="1">
        <w:r w:rsidRPr="007E6FFA">
          <w:rPr>
            <w:rStyle w:val="Hyperlink"/>
            <w:b/>
            <w:bCs/>
          </w:rPr>
          <w:t>Order PO-4820: access to care-related emails and meeting minutes</w:t>
        </w:r>
      </w:hyperlink>
      <w:r w:rsidRPr="007E6FFA">
        <w:rPr>
          <w:b/>
          <w:bCs/>
        </w:rPr>
        <w:t xml:space="preserve"> </w:t>
      </w:r>
      <w:hyperlink r:id="rId7" w:history="1">
        <w:r w:rsidRPr="007E6FFA">
          <w:rPr>
            <w:rStyle w:val="Hyperlink"/>
            <w:b/>
            <w:bCs/>
          </w:rPr>
          <w:t>[decisions.ipc.on.ca]</w:t>
        </w:r>
      </w:hyperlink>
    </w:p>
    <w:p w14:paraId="4390B6B3" w14:textId="77777777" w:rsidR="007E6FFA" w:rsidRPr="007E6FFA" w:rsidRDefault="007E6FFA" w:rsidP="007E6FFA">
      <w:pPr>
        <w:rPr>
          <w:b/>
          <w:bCs/>
        </w:rPr>
      </w:pPr>
      <w:r w:rsidRPr="007E6FFA">
        <w:rPr>
          <w:b/>
          <w:bCs/>
        </w:rPr>
        <w:t>Exclusion applied</w:t>
      </w:r>
    </w:p>
    <w:p w14:paraId="21BDC7CC" w14:textId="77777777" w:rsidR="007E6FFA" w:rsidRPr="007E6FFA" w:rsidRDefault="007E6FFA" w:rsidP="007E6FFA">
      <w:r w:rsidRPr="007E6FFA">
        <w:t xml:space="preserve">I excluded </w:t>
      </w:r>
      <w:r w:rsidRPr="007E6FFA">
        <w:rPr>
          <w:b/>
          <w:bCs/>
        </w:rPr>
        <w:t>PHIPA Decision 326, dated January 26, 2026</w:t>
      </w:r>
      <w:r w:rsidRPr="007E6FFA">
        <w:t xml:space="preserve">, because the underlying matter was expressly a request to correct portions of an after-visit summary and the treatment of a </w:t>
      </w:r>
      <w:r w:rsidRPr="007E6FFA">
        <w:lastRenderedPageBreak/>
        <w:t xml:space="preserve">statement of disagreement. It therefore falls within your “exclude corrections” instruction. </w:t>
      </w:r>
      <w:hyperlink r:id="rId8" w:history="1">
        <w:r w:rsidRPr="007E6FFA">
          <w:rPr>
            <w:rStyle w:val="Hyperlink"/>
          </w:rPr>
          <w:t>[ipc.on.ca]</w:t>
        </w:r>
      </w:hyperlink>
    </w:p>
    <w:p w14:paraId="08A69DA0" w14:textId="77777777" w:rsidR="007E6FFA" w:rsidRPr="007E6FFA" w:rsidRDefault="007E6FFA" w:rsidP="007E6FFA">
      <w:pPr>
        <w:rPr>
          <w:b/>
          <w:bCs/>
        </w:rPr>
      </w:pPr>
      <w:r w:rsidRPr="007E6FFA">
        <w:rPr>
          <w:b/>
          <w:bCs/>
        </w:rPr>
        <w:t xml:space="preserve">Coverage </w:t>
      </w:r>
      <w:proofErr w:type="gramStart"/>
      <w:r w:rsidRPr="007E6FFA">
        <w:rPr>
          <w:b/>
          <w:bCs/>
        </w:rPr>
        <w:t>note</w:t>
      </w:r>
      <w:proofErr w:type="gramEnd"/>
    </w:p>
    <w:p w14:paraId="7AF9C5A8" w14:textId="77777777" w:rsidR="007E6FFA" w:rsidRPr="007E6FFA" w:rsidRDefault="007E6FFA" w:rsidP="007E6FFA">
      <w:r w:rsidRPr="007E6FFA">
        <w:t xml:space="preserve">No separate qualifying mainstream-media report or dated Ottawa Hospital news release was located for these two matters during the specified period. The entries above therefore use the IPC decisions themselves as the primary and most authoritative sources. The search did not surface a qualifying breach investigation, unauthorized-disclosure decision, or other non-correction PHIPA decision involving The Ottawa Hospital between </w:t>
      </w:r>
      <w:r w:rsidRPr="007E6FFA">
        <w:rPr>
          <w:b/>
          <w:bCs/>
        </w:rPr>
        <w:t>January 16 and July 16, 2026</w:t>
      </w:r>
      <w:r w:rsidRPr="007E6FFA">
        <w:t>, beyond the two items listed above.</w:t>
      </w:r>
    </w:p>
    <w:p w14:paraId="586EE93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3B"/>
    <w:rsid w:val="0067003E"/>
    <w:rsid w:val="007E6FFA"/>
    <w:rsid w:val="009E2398"/>
    <w:rsid w:val="009F2B23"/>
    <w:rsid w:val="00F54E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FECC"/>
  <w15:chartTrackingRefBased/>
  <w15:docId w15:val="{B838E1D8-1CDA-4B99-A17E-BAE483A9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3B"/>
    <w:rPr>
      <w:rFonts w:eastAsiaTheme="majorEastAsia" w:cstheme="majorBidi"/>
      <w:color w:val="272727" w:themeColor="text1" w:themeTint="D8"/>
    </w:rPr>
  </w:style>
  <w:style w:type="paragraph" w:styleId="Title">
    <w:name w:val="Title"/>
    <w:basedOn w:val="Normal"/>
    <w:next w:val="Normal"/>
    <w:link w:val="TitleChar"/>
    <w:uiPriority w:val="10"/>
    <w:qFormat/>
    <w:rsid w:val="00F54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3B"/>
    <w:pPr>
      <w:spacing w:before="160"/>
      <w:jc w:val="center"/>
    </w:pPr>
    <w:rPr>
      <w:i/>
      <w:iCs/>
      <w:color w:val="404040" w:themeColor="text1" w:themeTint="BF"/>
    </w:rPr>
  </w:style>
  <w:style w:type="character" w:customStyle="1" w:styleId="QuoteChar">
    <w:name w:val="Quote Char"/>
    <w:basedOn w:val="DefaultParagraphFont"/>
    <w:link w:val="Quote"/>
    <w:uiPriority w:val="29"/>
    <w:rsid w:val="00F54E3B"/>
    <w:rPr>
      <w:i/>
      <w:iCs/>
      <w:color w:val="404040" w:themeColor="text1" w:themeTint="BF"/>
    </w:rPr>
  </w:style>
  <w:style w:type="paragraph" w:styleId="ListParagraph">
    <w:name w:val="List Paragraph"/>
    <w:basedOn w:val="Normal"/>
    <w:uiPriority w:val="34"/>
    <w:qFormat/>
    <w:rsid w:val="00F54E3B"/>
    <w:pPr>
      <w:ind w:left="720"/>
      <w:contextualSpacing/>
    </w:pPr>
  </w:style>
  <w:style w:type="character" w:styleId="IntenseEmphasis">
    <w:name w:val="Intense Emphasis"/>
    <w:basedOn w:val="DefaultParagraphFont"/>
    <w:uiPriority w:val="21"/>
    <w:qFormat/>
    <w:rsid w:val="00F54E3B"/>
    <w:rPr>
      <w:i/>
      <w:iCs/>
      <w:color w:val="0F4761" w:themeColor="accent1" w:themeShade="BF"/>
    </w:rPr>
  </w:style>
  <w:style w:type="paragraph" w:styleId="IntenseQuote">
    <w:name w:val="Intense Quote"/>
    <w:basedOn w:val="Normal"/>
    <w:next w:val="Normal"/>
    <w:link w:val="IntenseQuoteChar"/>
    <w:uiPriority w:val="30"/>
    <w:qFormat/>
    <w:rsid w:val="00F54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3B"/>
    <w:rPr>
      <w:i/>
      <w:iCs/>
      <w:color w:val="0F4761" w:themeColor="accent1" w:themeShade="BF"/>
    </w:rPr>
  </w:style>
  <w:style w:type="character" w:styleId="IntenseReference">
    <w:name w:val="Intense Reference"/>
    <w:basedOn w:val="DefaultParagraphFont"/>
    <w:uiPriority w:val="32"/>
    <w:qFormat/>
    <w:rsid w:val="00F54E3B"/>
    <w:rPr>
      <w:b/>
      <w:bCs/>
      <w:smallCaps/>
      <w:color w:val="0F4761" w:themeColor="accent1" w:themeShade="BF"/>
      <w:spacing w:val="5"/>
    </w:rPr>
  </w:style>
  <w:style w:type="character" w:styleId="Hyperlink">
    <w:name w:val="Hyperlink"/>
    <w:basedOn w:val="DefaultParagraphFont"/>
    <w:uiPriority w:val="99"/>
    <w:unhideWhenUsed/>
    <w:rsid w:val="007E6FFA"/>
    <w:rPr>
      <w:color w:val="467886" w:themeColor="hyperlink"/>
      <w:u w:val="single"/>
    </w:rPr>
  </w:style>
  <w:style w:type="character" w:styleId="UnresolvedMention">
    <w:name w:val="Unresolved Mention"/>
    <w:basedOn w:val="DefaultParagraphFont"/>
    <w:uiPriority w:val="99"/>
    <w:semiHidden/>
    <w:unhideWhenUsed/>
    <w:rsid w:val="007E6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hipa-decision-326" TargetMode="External"/><Relationship Id="rId3" Type="http://schemas.openxmlformats.org/officeDocument/2006/relationships/webSettings" Target="webSettings.xml"/><Relationship Id="rId7" Type="http://schemas.openxmlformats.org/officeDocument/2006/relationships/hyperlink" Target="https://decisions.ipc.on.ca/ipc-cipvp/orders/en/522353/1/document.d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cisions.ipc.on.ca/ipc-cipvp/orders/en/522353/1/document.do" TargetMode="External"/><Relationship Id="rId5" Type="http://schemas.openxmlformats.org/officeDocument/2006/relationships/hyperlink" Target="https://www.ipc.on.ca/en/decisions/latest-decisions/phipa-decision-340" TargetMode="External"/><Relationship Id="rId10" Type="http://schemas.openxmlformats.org/officeDocument/2006/relationships/theme" Target="theme/theme1.xml"/><Relationship Id="rId4" Type="http://schemas.openxmlformats.org/officeDocument/2006/relationships/hyperlink" Target="https://www.ipc.on.ca/en/decisions/latest-decisions/phipa-decision-340"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2026-08-24T11:32:00Z</dcterms:created>
  <dcterms:modified xsi:type="dcterms:W3CDTF">2026-08-24T11:32:00Z</dcterms:modified>
</cp:coreProperties>
</file>