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288D1" w14:textId="77777777" w:rsidR="00916BA6" w:rsidRPr="00916BA6" w:rsidRDefault="00916BA6" w:rsidP="00916BA6">
      <w:r w:rsidRPr="00916BA6">
        <w:t xml:space="preserve">Based on my comprehensive search of Ontario hospital PHIPA-related news for Hamilton Health Sciences Corporation between January 16, 2026 and July 16, 2026, I found </w:t>
      </w:r>
      <w:r w:rsidRPr="00916BA6">
        <w:rPr>
          <w:b/>
          <w:bCs/>
        </w:rPr>
        <w:t>no PHIPA-specific breach notifications, privacy incidents, or enforcement actions directly involving Hamilton Health Sciences Corporation</w:t>
      </w:r>
      <w:r w:rsidRPr="00916BA6">
        <w:t xml:space="preserve"> during this period.</w:t>
      </w:r>
    </w:p>
    <w:p w14:paraId="72F76E99" w14:textId="77777777" w:rsidR="00916BA6" w:rsidRPr="00916BA6" w:rsidRDefault="00916BA6" w:rsidP="00916BA6">
      <w:pPr>
        <w:rPr>
          <w:b/>
          <w:bCs/>
        </w:rPr>
      </w:pPr>
      <w:r w:rsidRPr="00916BA6">
        <w:rPr>
          <w:b/>
          <w:bCs/>
        </w:rPr>
        <w:t>Key Findings</w:t>
      </w:r>
    </w:p>
    <w:p w14:paraId="195AD806" w14:textId="77777777" w:rsidR="00916BA6" w:rsidRPr="00916BA6" w:rsidRDefault="00916BA6" w:rsidP="00916BA6">
      <w:pPr>
        <w:rPr>
          <w:b/>
          <w:bCs/>
        </w:rPr>
      </w:pPr>
      <w:r w:rsidRPr="00916BA6">
        <w:rPr>
          <w:b/>
          <w:bCs/>
        </w:rPr>
        <w:t>No Direct PHIPA Incidents Identified</w:t>
      </w:r>
    </w:p>
    <w:p w14:paraId="4D1E1C25" w14:textId="77777777" w:rsidR="00916BA6" w:rsidRPr="00916BA6" w:rsidRDefault="00916BA6" w:rsidP="00916BA6">
      <w:r w:rsidRPr="00916BA6">
        <w:t>My searches across multiple sources—including Ontario government orders, privacy commissioner decisions, healthcare breach trackers, and news outlets—did not uncover any PHIPA breach reports, administrative monetary penalties, or privacy commissioner investigations specifically naming Hamilton Health Sciences Corporation (HHSC) between January 16 and July 16, 2026.[</w:t>
      </w:r>
      <w:hyperlink r:id="rId5" w:history="1">
        <w:r w:rsidRPr="00916BA6">
          <w:rPr>
            <w:rStyle w:val="Hyperlink"/>
          </w:rPr>
          <w:t>ontario</w:t>
        </w:r>
      </w:hyperlink>
      <w:r w:rsidRPr="00916BA6">
        <w:t>][</w:t>
      </w:r>
      <w:hyperlink r:id="rId6" w:history="1">
        <w:r w:rsidRPr="00916BA6">
          <w:rPr>
            <w:rStyle w:val="Hyperlink"/>
          </w:rPr>
          <w:t>ontariohealth</w:t>
        </w:r>
      </w:hyperlink>
      <w:r w:rsidRPr="00916BA6">
        <w:t>][</w:t>
      </w:r>
      <w:hyperlink r:id="rId7" w:history="1">
        <w:r w:rsidRPr="00916BA6">
          <w:rPr>
            <w:rStyle w:val="Hyperlink"/>
          </w:rPr>
          <w:t>policyoptions.irpp</w:t>
        </w:r>
      </w:hyperlink>
      <w:r w:rsidRPr="00916BA6">
        <w:t>][</w:t>
      </w:r>
      <w:hyperlink r:id="rId8" w:history="1">
        <w:r w:rsidRPr="00916BA6">
          <w:rPr>
            <w:rStyle w:val="Hyperlink"/>
          </w:rPr>
          <w:t>mychart.hhsc</w:t>
        </w:r>
      </w:hyperlink>
      <w:r w:rsidRPr="00916BA6">
        <w:t>][</w:t>
      </w:r>
      <w:hyperlink r:id="rId9" w:history="1">
        <w:r w:rsidRPr="00916BA6">
          <w:rPr>
            <w:rStyle w:val="Hyperlink"/>
          </w:rPr>
          <w:t>dbrs.morningstar</w:t>
        </w:r>
      </w:hyperlink>
      <w:r w:rsidRPr="00916BA6">
        <w:t>]</w:t>
      </w:r>
    </w:p>
    <w:p w14:paraId="172A999A" w14:textId="77777777" w:rsidR="00916BA6" w:rsidRPr="00916BA6" w:rsidRDefault="00916BA6" w:rsidP="00916BA6">
      <w:pPr>
        <w:rPr>
          <w:b/>
          <w:bCs/>
        </w:rPr>
      </w:pPr>
      <w:r w:rsidRPr="00916BA6">
        <w:rPr>
          <w:b/>
          <w:bCs/>
        </w:rPr>
        <w:t>Related Context During This Period</w:t>
      </w:r>
    </w:p>
    <w:p w14:paraId="58535A79" w14:textId="77777777" w:rsidR="00916BA6" w:rsidRPr="00916BA6" w:rsidRDefault="00916BA6" w:rsidP="00916BA6">
      <w:r w:rsidRPr="00916BA6">
        <w:t>While no direct PHIPA incidents were found for HHSC, the following relevant developments occurred:</w:t>
      </w:r>
    </w:p>
    <w:p w14:paraId="10C2B046" w14:textId="77777777" w:rsidR="00916BA6" w:rsidRPr="00916BA6" w:rsidRDefault="00916BA6" w:rsidP="00916BA6">
      <w:r w:rsidRPr="00916BA6">
        <w:rPr>
          <w:b/>
          <w:bCs/>
        </w:rPr>
        <w:t>1. Special Advisor Appointment (March 12, 2026)</w:t>
      </w:r>
    </w:p>
    <w:p w14:paraId="17F11884" w14:textId="77777777" w:rsidR="00916BA6" w:rsidRPr="00916BA6" w:rsidRDefault="00916BA6" w:rsidP="00916BA6">
      <w:r w:rsidRPr="00916BA6">
        <w:t>Ontario established a Special Advisor office for Hamilton Health Sciences Corporation, accountable to the Minister of Health, with a term ending October 31, 2026. This Order in Council (225/2026) does not specify PHIPA-related reasons in the publicly available text.[</w:t>
      </w:r>
      <w:hyperlink r:id="rId10" w:history="1">
        <w:r w:rsidRPr="00916BA6">
          <w:rPr>
            <w:rStyle w:val="Hyperlink"/>
          </w:rPr>
          <w:t>ontario</w:t>
        </w:r>
      </w:hyperlink>
      <w:r w:rsidRPr="00916BA6">
        <w:t>]</w:t>
      </w:r>
    </w:p>
    <w:p w14:paraId="17464471" w14:textId="77777777" w:rsidR="00916BA6" w:rsidRPr="00916BA6" w:rsidRDefault="00916BA6" w:rsidP="00916BA6">
      <w:r w:rsidRPr="00916BA6">
        <w:rPr>
          <w:b/>
          <w:bCs/>
        </w:rPr>
        <w:t>2. AI Scribe Trial Participation (April 2026)</w:t>
      </w:r>
    </w:p>
    <w:p w14:paraId="7DBC5746" w14:textId="77777777" w:rsidR="00916BA6" w:rsidRPr="00916BA6" w:rsidRDefault="00916BA6" w:rsidP="00916BA6">
      <w:r w:rsidRPr="00916BA6">
        <w:t>Hamilton Health Sciences was identified among Ontario hospitals conducting trials of AI transcription tools (AI scribes) such as DAX Copilot. Policy analysis noted that Ontario health information custodians using AI systems must comply with PHIPA when releasing health information via these tools. This was reported as an ongoing initiative rather than a breach incident.[</w:t>
      </w:r>
      <w:hyperlink r:id="rId11" w:history="1">
        <w:r w:rsidRPr="00916BA6">
          <w:rPr>
            <w:rStyle w:val="Hyperlink"/>
          </w:rPr>
          <w:t>policyoptions.irpp</w:t>
        </w:r>
      </w:hyperlink>
      <w:r w:rsidRPr="00916BA6">
        <w:t>]</w:t>
      </w:r>
    </w:p>
    <w:p w14:paraId="3D6D096C" w14:textId="77777777" w:rsidR="00916BA6" w:rsidRPr="00916BA6" w:rsidRDefault="00916BA6" w:rsidP="00916BA6">
      <w:r w:rsidRPr="00916BA6">
        <w:rPr>
          <w:b/>
          <w:bCs/>
        </w:rPr>
        <w:t>3. eReferral Ontario Privacy Impact Assessment (June 4, 2026)</w:t>
      </w:r>
    </w:p>
    <w:p w14:paraId="1B0F4AC7" w14:textId="77777777" w:rsidR="00916BA6" w:rsidRPr="00916BA6" w:rsidRDefault="00916BA6" w:rsidP="00916BA6">
      <w:r w:rsidRPr="00916BA6">
        <w:t>Ontario Health published a privacy impact assessment for eReferral Ontario's Electronic Data Transfer system, which referenced Hamilton Health Sciences Centre (HHSC) in the context of legacy system integration risks. The assessment identified a risk that "unknown vulnerabilities in legacy systems leveraged to support eDT [could result] in unauthorized access or a privacy breach," but this was a forward-looking risk identification, not a reported incident.[</w:t>
      </w:r>
      <w:hyperlink r:id="rId12" w:history="1">
        <w:r w:rsidRPr="00916BA6">
          <w:rPr>
            <w:rStyle w:val="Hyperlink"/>
          </w:rPr>
          <w:t>ontariohealth</w:t>
        </w:r>
      </w:hyperlink>
      <w:r w:rsidRPr="00916BA6">
        <w:t>]</w:t>
      </w:r>
    </w:p>
    <w:p w14:paraId="34B48644" w14:textId="77777777" w:rsidR="00916BA6" w:rsidRPr="00916BA6" w:rsidRDefault="00916BA6" w:rsidP="00916BA6">
      <w:pPr>
        <w:rPr>
          <w:b/>
          <w:bCs/>
        </w:rPr>
      </w:pPr>
      <w:r w:rsidRPr="00916BA6">
        <w:rPr>
          <w:b/>
          <w:bCs/>
        </w:rPr>
        <w:lastRenderedPageBreak/>
        <w:t>PHIPA Enforcement Activity Elsewhere in Ontario (For Context)</w:t>
      </w:r>
    </w:p>
    <w:p w14:paraId="0C8FAD9B" w14:textId="77777777" w:rsidR="00916BA6" w:rsidRPr="00916BA6" w:rsidRDefault="00916BA6" w:rsidP="00916BA6">
      <w:r w:rsidRPr="00916BA6">
        <w:t xml:space="preserve">During your specified period, Ontario's Information and Privacy Commissioner (IPC) issued its </w:t>
      </w:r>
      <w:r w:rsidRPr="00916BA6">
        <w:rPr>
          <w:b/>
          <w:bCs/>
        </w:rPr>
        <w:t>second-ever administrative monetary penalty under PHIPA</w:t>
      </w:r>
      <w:r w:rsidRPr="00916BA6">
        <w:t>—a $2,000 penalty against a CHEO employee for inappropriate access to 436 patient records (Decision 334, April 23, 2026). This demonstrates active PHIPA enforcement in Ontario hospitals, but did not involve Hamilton Health Sciences.[</w:t>
      </w:r>
      <w:hyperlink r:id="rId13" w:history="1">
        <w:r w:rsidRPr="00916BA6">
          <w:rPr>
            <w:rStyle w:val="Hyperlink"/>
          </w:rPr>
          <w:t>torkin</w:t>
        </w:r>
      </w:hyperlink>
      <w:r w:rsidRPr="00916BA6">
        <w:t>][</w:t>
      </w:r>
      <w:hyperlink r:id="rId14" w:history="1">
        <w:r w:rsidRPr="00916BA6">
          <w:rPr>
            <w:rStyle w:val="Hyperlink"/>
          </w:rPr>
          <w:t>dww</w:t>
        </w:r>
      </w:hyperlink>
      <w:r w:rsidRPr="00916BA6">
        <w:t>][</w:t>
      </w:r>
      <w:hyperlink r:id="rId15" w:history="1">
        <w:r w:rsidRPr="00916BA6">
          <w:rPr>
            <w:rStyle w:val="Hyperlink"/>
          </w:rPr>
          <w:t>rosensunshine</w:t>
        </w:r>
      </w:hyperlink>
      <w:r w:rsidRPr="00916BA6">
        <w:t>]</w:t>
      </w:r>
    </w:p>
    <w:p w14:paraId="7F03D10C" w14:textId="77777777" w:rsidR="00916BA6" w:rsidRPr="00916BA6" w:rsidRDefault="00916BA6" w:rsidP="00916BA6">
      <w:pPr>
        <w:rPr>
          <w:b/>
          <w:bCs/>
        </w:rPr>
      </w:pPr>
      <w:r w:rsidRPr="00916BA6">
        <w:rPr>
          <w:b/>
          <w:bCs/>
        </w:rPr>
        <w:t>Formatted Result</w:t>
      </w:r>
    </w:p>
    <w:p w14:paraId="5077ACF9" w14:textId="77777777" w:rsidR="00916BA6" w:rsidRPr="00916BA6" w:rsidRDefault="00916BA6" w:rsidP="00916BA6">
      <w:r w:rsidRPr="00916BA6">
        <w:t>Given the absence of PHIPA-related incidents for Hamilton Health Sciences Corporation in the specified timeframe, the exhaustive list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5"/>
        <w:gridCol w:w="727"/>
        <w:gridCol w:w="1178"/>
        <w:gridCol w:w="413"/>
        <w:gridCol w:w="636"/>
        <w:gridCol w:w="5481"/>
      </w:tblGrid>
      <w:tr w:rsidR="00916BA6" w:rsidRPr="00916BA6" w14:paraId="76D11B70" w14:textId="77777777">
        <w:trPr>
          <w:tblHeader/>
          <w:tblCellSpacing w:w="15" w:type="dxa"/>
        </w:trPr>
        <w:tc>
          <w:tcPr>
            <w:tcW w:w="0" w:type="auto"/>
            <w:vAlign w:val="center"/>
            <w:hideMark/>
          </w:tcPr>
          <w:p w14:paraId="1A33B0CA" w14:textId="77777777" w:rsidR="00916BA6" w:rsidRPr="00916BA6" w:rsidRDefault="00916BA6" w:rsidP="00916BA6">
            <w:pPr>
              <w:rPr>
                <w:b/>
                <w:bCs/>
              </w:rPr>
            </w:pPr>
            <w:r w:rsidRPr="00916BA6">
              <w:rPr>
                <w:b/>
                <w:bCs/>
              </w:rPr>
              <w:t>Hospital</w:t>
            </w:r>
          </w:p>
        </w:tc>
        <w:tc>
          <w:tcPr>
            <w:tcW w:w="0" w:type="auto"/>
            <w:vAlign w:val="center"/>
            <w:hideMark/>
          </w:tcPr>
          <w:p w14:paraId="4C11F12D" w14:textId="77777777" w:rsidR="00916BA6" w:rsidRPr="00916BA6" w:rsidRDefault="00916BA6" w:rsidP="00916BA6">
            <w:pPr>
              <w:rPr>
                <w:b/>
                <w:bCs/>
              </w:rPr>
            </w:pPr>
            <w:r w:rsidRPr="00916BA6">
              <w:rPr>
                <w:b/>
                <w:bCs/>
              </w:rPr>
              <w:t>Issue</w:t>
            </w:r>
          </w:p>
        </w:tc>
        <w:tc>
          <w:tcPr>
            <w:tcW w:w="0" w:type="auto"/>
            <w:vAlign w:val="center"/>
            <w:hideMark/>
          </w:tcPr>
          <w:p w14:paraId="675E233D" w14:textId="77777777" w:rsidR="00916BA6" w:rsidRPr="00916BA6" w:rsidRDefault="00916BA6" w:rsidP="00916BA6">
            <w:pPr>
              <w:rPr>
                <w:b/>
                <w:bCs/>
              </w:rPr>
            </w:pPr>
            <w:r w:rsidRPr="00916BA6">
              <w:rPr>
                <w:b/>
                <w:bCs/>
              </w:rPr>
              <w:t>Paragraph Blurb</w:t>
            </w:r>
          </w:p>
        </w:tc>
        <w:tc>
          <w:tcPr>
            <w:tcW w:w="0" w:type="auto"/>
            <w:vAlign w:val="center"/>
            <w:hideMark/>
          </w:tcPr>
          <w:p w14:paraId="217AB779" w14:textId="77777777" w:rsidR="00916BA6" w:rsidRPr="00916BA6" w:rsidRDefault="00916BA6" w:rsidP="00916BA6">
            <w:pPr>
              <w:rPr>
                <w:b/>
                <w:bCs/>
              </w:rPr>
            </w:pPr>
            <w:r w:rsidRPr="00916BA6">
              <w:rPr>
                <w:b/>
                <w:bCs/>
              </w:rPr>
              <w:t>Date</w:t>
            </w:r>
          </w:p>
        </w:tc>
        <w:tc>
          <w:tcPr>
            <w:tcW w:w="0" w:type="auto"/>
            <w:vAlign w:val="center"/>
            <w:hideMark/>
          </w:tcPr>
          <w:p w14:paraId="7BDD6E67" w14:textId="77777777" w:rsidR="00916BA6" w:rsidRPr="00916BA6" w:rsidRDefault="00916BA6" w:rsidP="00916BA6">
            <w:pPr>
              <w:rPr>
                <w:b/>
                <w:bCs/>
              </w:rPr>
            </w:pPr>
            <w:r w:rsidRPr="00916BA6">
              <w:rPr>
                <w:b/>
                <w:bCs/>
              </w:rPr>
              <w:t>Source</w:t>
            </w:r>
          </w:p>
        </w:tc>
        <w:tc>
          <w:tcPr>
            <w:tcW w:w="0" w:type="auto"/>
            <w:vAlign w:val="center"/>
            <w:hideMark/>
          </w:tcPr>
          <w:p w14:paraId="78E15043" w14:textId="77777777" w:rsidR="00916BA6" w:rsidRPr="00916BA6" w:rsidRDefault="00916BA6" w:rsidP="00916BA6">
            <w:pPr>
              <w:rPr>
                <w:b/>
                <w:bCs/>
              </w:rPr>
            </w:pPr>
            <w:r w:rsidRPr="00916BA6">
              <w:rPr>
                <w:b/>
                <w:bCs/>
              </w:rPr>
              <w:t>Source Link</w:t>
            </w:r>
          </w:p>
        </w:tc>
      </w:tr>
      <w:tr w:rsidR="00916BA6" w:rsidRPr="00916BA6" w14:paraId="5F45C7D6" w14:textId="77777777">
        <w:trPr>
          <w:tblCellSpacing w:w="15" w:type="dxa"/>
        </w:trPr>
        <w:tc>
          <w:tcPr>
            <w:tcW w:w="0" w:type="auto"/>
            <w:vAlign w:val="center"/>
            <w:hideMark/>
          </w:tcPr>
          <w:p w14:paraId="4F1696B1" w14:textId="77777777" w:rsidR="00916BA6" w:rsidRPr="00916BA6" w:rsidRDefault="00916BA6" w:rsidP="00916BA6">
            <w:r w:rsidRPr="00916BA6">
              <w:t>Hamilton Health Sciences Corporation</w:t>
            </w:r>
          </w:p>
        </w:tc>
        <w:tc>
          <w:tcPr>
            <w:tcW w:w="0" w:type="auto"/>
            <w:vAlign w:val="center"/>
            <w:hideMark/>
          </w:tcPr>
          <w:p w14:paraId="309FD9A5" w14:textId="77777777" w:rsidR="00916BA6" w:rsidRPr="00916BA6" w:rsidRDefault="00916BA6" w:rsidP="00916BA6">
            <w:r w:rsidRPr="00916BA6">
              <w:t>No PHIPA incidents identified</w:t>
            </w:r>
          </w:p>
        </w:tc>
        <w:tc>
          <w:tcPr>
            <w:tcW w:w="0" w:type="auto"/>
            <w:vAlign w:val="center"/>
            <w:hideMark/>
          </w:tcPr>
          <w:p w14:paraId="7F6D6482" w14:textId="77777777" w:rsidR="00916BA6" w:rsidRPr="00916BA6" w:rsidRDefault="00916BA6" w:rsidP="00916BA6">
            <w:r w:rsidRPr="00916BA6">
              <w:t>Comprehensive searches of Ontario government orders, IPC decisions, healthcare breach trackers, and news sources found no PHIPA breach notifications, privacy incidents, or enforcement actions specificall</w:t>
            </w:r>
            <w:r w:rsidRPr="00916BA6">
              <w:lastRenderedPageBreak/>
              <w:t>y involving Hamilton Health Sciences Corporation between January 16 and July 16, 2026.</w:t>
            </w:r>
          </w:p>
        </w:tc>
        <w:tc>
          <w:tcPr>
            <w:tcW w:w="0" w:type="auto"/>
            <w:vAlign w:val="center"/>
            <w:hideMark/>
          </w:tcPr>
          <w:p w14:paraId="22B5B9B4" w14:textId="77777777" w:rsidR="00916BA6" w:rsidRPr="00916BA6" w:rsidRDefault="00916BA6" w:rsidP="00916BA6">
            <w:r w:rsidRPr="00916BA6">
              <w:lastRenderedPageBreak/>
              <w:t>N/A</w:t>
            </w:r>
          </w:p>
        </w:tc>
        <w:tc>
          <w:tcPr>
            <w:tcW w:w="0" w:type="auto"/>
            <w:vAlign w:val="center"/>
            <w:hideMark/>
          </w:tcPr>
          <w:p w14:paraId="30A1E637" w14:textId="77777777" w:rsidR="00916BA6" w:rsidRPr="00916BA6" w:rsidRDefault="00916BA6" w:rsidP="00916BA6">
            <w:r w:rsidRPr="00916BA6">
              <w:t>Multiple sources</w:t>
            </w:r>
          </w:p>
        </w:tc>
        <w:tc>
          <w:tcPr>
            <w:tcW w:w="0" w:type="auto"/>
            <w:vAlign w:val="center"/>
            <w:hideMark/>
          </w:tcPr>
          <w:p w14:paraId="4E098BD2" w14:textId="77777777" w:rsidR="00916BA6" w:rsidRPr="00916BA6" w:rsidRDefault="00916BA6" w:rsidP="00916BA6">
            <w:r w:rsidRPr="00916BA6">
              <w:t>See citations [</w:t>
            </w:r>
            <w:hyperlink r:id="rId16" w:history="1">
              <w:r w:rsidRPr="00916BA6">
                <w:rPr>
                  <w:rStyle w:val="Hyperlink"/>
                </w:rPr>
                <w:t>ontario</w:t>
              </w:r>
            </w:hyperlink>
            <w:r w:rsidRPr="00916BA6">
              <w:t>][</w:t>
            </w:r>
            <w:hyperlink r:id="rId17" w:history="1">
              <w:r w:rsidRPr="00916BA6">
                <w:rPr>
                  <w:rStyle w:val="Hyperlink"/>
                </w:rPr>
                <w:t>ontariohealth</w:t>
              </w:r>
            </w:hyperlink>
            <w:r w:rsidRPr="00916BA6">
              <w:t>][</w:t>
            </w:r>
            <w:hyperlink r:id="rId18" w:history="1">
              <w:r w:rsidRPr="00916BA6">
                <w:rPr>
                  <w:rStyle w:val="Hyperlink"/>
                </w:rPr>
                <w:t>policyoptions.irpp</w:t>
              </w:r>
            </w:hyperlink>
            <w:r w:rsidRPr="00916BA6">
              <w:t>][</w:t>
            </w:r>
            <w:hyperlink r:id="rId19" w:history="1">
              <w:r w:rsidRPr="00916BA6">
                <w:rPr>
                  <w:rStyle w:val="Hyperlink"/>
                </w:rPr>
                <w:t>mychart.hhsc</w:t>
              </w:r>
            </w:hyperlink>
            <w:r w:rsidRPr="00916BA6">
              <w:t>][</w:t>
            </w:r>
            <w:hyperlink r:id="rId20" w:history="1">
              <w:r w:rsidRPr="00916BA6">
                <w:rPr>
                  <w:rStyle w:val="Hyperlink"/>
                </w:rPr>
                <w:t>dbrs.morningstar</w:t>
              </w:r>
            </w:hyperlink>
            <w:r w:rsidRPr="00916BA6">
              <w:t>]</w:t>
            </w:r>
          </w:p>
        </w:tc>
      </w:tr>
    </w:tbl>
    <w:p w14:paraId="131040B3" w14:textId="77777777" w:rsidR="00916BA6" w:rsidRPr="00916BA6" w:rsidRDefault="00916BA6" w:rsidP="00916BA6">
      <w:pPr>
        <w:rPr>
          <w:b/>
          <w:bCs/>
        </w:rPr>
      </w:pPr>
      <w:r w:rsidRPr="00916BA6">
        <w:rPr>
          <w:b/>
          <w:bCs/>
        </w:rPr>
        <w:t>Notes</w:t>
      </w:r>
    </w:p>
    <w:p w14:paraId="718ED257" w14:textId="77777777" w:rsidR="00916BA6" w:rsidRPr="00916BA6" w:rsidRDefault="00916BA6" w:rsidP="00916BA6">
      <w:pPr>
        <w:numPr>
          <w:ilvl w:val="0"/>
          <w:numId w:val="1"/>
        </w:numPr>
      </w:pPr>
      <w:r w:rsidRPr="00916BA6">
        <w:t>Searches included IPC breach reports, Ontario Orders in Council, healthcare breach databases, and news coverage of Ontario hospital privacy incidents.[</w:t>
      </w:r>
      <w:hyperlink r:id="rId21" w:history="1">
        <w:r w:rsidRPr="00916BA6">
          <w:rPr>
            <w:rStyle w:val="Hyperlink"/>
          </w:rPr>
          <w:t>ontario</w:t>
        </w:r>
      </w:hyperlink>
      <w:r w:rsidRPr="00916BA6">
        <w:t>][</w:t>
      </w:r>
      <w:hyperlink r:id="rId22" w:history="1">
        <w:r w:rsidRPr="00916BA6">
          <w:rPr>
            <w:rStyle w:val="Hyperlink"/>
          </w:rPr>
          <w:t>ontariohealth</w:t>
        </w:r>
      </w:hyperlink>
      <w:r w:rsidRPr="00916BA6">
        <w:t>][</w:t>
      </w:r>
      <w:hyperlink r:id="rId23" w:history="1">
        <w:r w:rsidRPr="00916BA6">
          <w:rPr>
            <w:rStyle w:val="Hyperlink"/>
          </w:rPr>
          <w:t>policyoptions.irpp</w:t>
        </w:r>
      </w:hyperlink>
      <w:r w:rsidRPr="00916BA6">
        <w:t>][</w:t>
      </w:r>
      <w:hyperlink r:id="rId24" w:history="1">
        <w:r w:rsidRPr="00916BA6">
          <w:rPr>
            <w:rStyle w:val="Hyperlink"/>
          </w:rPr>
          <w:t>torkin</w:t>
        </w:r>
      </w:hyperlink>
      <w:r w:rsidRPr="00916BA6">
        <w:t>][</w:t>
      </w:r>
      <w:hyperlink r:id="rId25" w:history="1">
        <w:r w:rsidRPr="00916BA6">
          <w:rPr>
            <w:rStyle w:val="Hyperlink"/>
          </w:rPr>
          <w:t>dww</w:t>
        </w:r>
      </w:hyperlink>
      <w:r w:rsidRPr="00916BA6">
        <w:t>]</w:t>
      </w:r>
    </w:p>
    <w:p w14:paraId="0F28401B" w14:textId="77777777" w:rsidR="00916BA6" w:rsidRPr="00916BA6" w:rsidRDefault="00916BA6" w:rsidP="00916BA6">
      <w:pPr>
        <w:numPr>
          <w:ilvl w:val="0"/>
          <w:numId w:val="1"/>
        </w:numPr>
      </w:pPr>
      <w:r w:rsidRPr="00916BA6">
        <w:t>The Special Advisor appointment (March 2026) and AI scribe trial participation were identified but do not constitute PHIPA breaches or corrections.[</w:t>
      </w:r>
      <w:hyperlink r:id="rId26" w:history="1">
        <w:r w:rsidRPr="00916BA6">
          <w:rPr>
            <w:rStyle w:val="Hyperlink"/>
          </w:rPr>
          <w:t>ontario</w:t>
        </w:r>
      </w:hyperlink>
      <w:r w:rsidRPr="00916BA6">
        <w:t>][</w:t>
      </w:r>
      <w:hyperlink r:id="rId27" w:history="1">
        <w:r w:rsidRPr="00916BA6">
          <w:rPr>
            <w:rStyle w:val="Hyperlink"/>
          </w:rPr>
          <w:t>policyoptions.irpp</w:t>
        </w:r>
      </w:hyperlink>
      <w:r w:rsidRPr="00916BA6">
        <w:t>]</w:t>
      </w:r>
    </w:p>
    <w:p w14:paraId="162FFFE3" w14:textId="77777777" w:rsidR="00916BA6" w:rsidRPr="00916BA6" w:rsidRDefault="00916BA6" w:rsidP="00916BA6">
      <w:pPr>
        <w:numPr>
          <w:ilvl w:val="0"/>
          <w:numId w:val="1"/>
        </w:numPr>
      </w:pPr>
      <w:r w:rsidRPr="00916BA6">
        <w:t>If you require confirmation of no reportable incidents, you may wish to contact the Ontario IPC directly or review HHSC's annual privacy reports if publicly available.</w:t>
      </w:r>
    </w:p>
    <w:p w14:paraId="4A786428" w14:textId="77777777" w:rsidR="00916BA6" w:rsidRPr="00916BA6" w:rsidRDefault="00916BA6" w:rsidP="00916BA6">
      <w:r w:rsidRPr="00916BA6">
        <w:t>Would you like me to expand the search to include adjacent timeframes or other Ontario hospitals for comparative analysis?</w:t>
      </w:r>
    </w:p>
    <w:p w14:paraId="49B9B935"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84548"/>
    <w:multiLevelType w:val="multilevel"/>
    <w:tmpl w:val="532C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974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0AE"/>
    <w:rsid w:val="000210AE"/>
    <w:rsid w:val="0067003E"/>
    <w:rsid w:val="00916BA6"/>
    <w:rsid w:val="009F2B23"/>
    <w:rsid w:val="00B827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04842"/>
  <w15:chartTrackingRefBased/>
  <w15:docId w15:val="{3B3952C2-D365-4102-919B-93A146F51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0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0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0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0AE"/>
    <w:rPr>
      <w:rFonts w:eastAsiaTheme="majorEastAsia" w:cstheme="majorBidi"/>
      <w:color w:val="272727" w:themeColor="text1" w:themeTint="D8"/>
    </w:rPr>
  </w:style>
  <w:style w:type="paragraph" w:styleId="Title">
    <w:name w:val="Title"/>
    <w:basedOn w:val="Normal"/>
    <w:next w:val="Normal"/>
    <w:link w:val="TitleChar"/>
    <w:uiPriority w:val="10"/>
    <w:qFormat/>
    <w:rsid w:val="00021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0AE"/>
    <w:pPr>
      <w:spacing w:before="160"/>
      <w:jc w:val="center"/>
    </w:pPr>
    <w:rPr>
      <w:i/>
      <w:iCs/>
      <w:color w:val="404040" w:themeColor="text1" w:themeTint="BF"/>
    </w:rPr>
  </w:style>
  <w:style w:type="character" w:customStyle="1" w:styleId="QuoteChar">
    <w:name w:val="Quote Char"/>
    <w:basedOn w:val="DefaultParagraphFont"/>
    <w:link w:val="Quote"/>
    <w:uiPriority w:val="29"/>
    <w:rsid w:val="000210AE"/>
    <w:rPr>
      <w:i/>
      <w:iCs/>
      <w:color w:val="404040" w:themeColor="text1" w:themeTint="BF"/>
    </w:rPr>
  </w:style>
  <w:style w:type="paragraph" w:styleId="ListParagraph">
    <w:name w:val="List Paragraph"/>
    <w:basedOn w:val="Normal"/>
    <w:uiPriority w:val="34"/>
    <w:qFormat/>
    <w:rsid w:val="000210AE"/>
    <w:pPr>
      <w:ind w:left="720"/>
      <w:contextualSpacing/>
    </w:pPr>
  </w:style>
  <w:style w:type="character" w:styleId="IntenseEmphasis">
    <w:name w:val="Intense Emphasis"/>
    <w:basedOn w:val="DefaultParagraphFont"/>
    <w:uiPriority w:val="21"/>
    <w:qFormat/>
    <w:rsid w:val="000210AE"/>
    <w:rPr>
      <w:i/>
      <w:iCs/>
      <w:color w:val="0F4761" w:themeColor="accent1" w:themeShade="BF"/>
    </w:rPr>
  </w:style>
  <w:style w:type="paragraph" w:styleId="IntenseQuote">
    <w:name w:val="Intense Quote"/>
    <w:basedOn w:val="Normal"/>
    <w:next w:val="Normal"/>
    <w:link w:val="IntenseQuoteChar"/>
    <w:uiPriority w:val="30"/>
    <w:qFormat/>
    <w:rsid w:val="00021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0AE"/>
    <w:rPr>
      <w:i/>
      <w:iCs/>
      <w:color w:val="0F4761" w:themeColor="accent1" w:themeShade="BF"/>
    </w:rPr>
  </w:style>
  <w:style w:type="character" w:styleId="IntenseReference">
    <w:name w:val="Intense Reference"/>
    <w:basedOn w:val="DefaultParagraphFont"/>
    <w:uiPriority w:val="32"/>
    <w:qFormat/>
    <w:rsid w:val="000210AE"/>
    <w:rPr>
      <w:b/>
      <w:bCs/>
      <w:smallCaps/>
      <w:color w:val="0F4761" w:themeColor="accent1" w:themeShade="BF"/>
      <w:spacing w:val="5"/>
    </w:rPr>
  </w:style>
  <w:style w:type="character" w:styleId="Hyperlink">
    <w:name w:val="Hyperlink"/>
    <w:basedOn w:val="DefaultParagraphFont"/>
    <w:uiPriority w:val="99"/>
    <w:unhideWhenUsed/>
    <w:rsid w:val="00916BA6"/>
    <w:rPr>
      <w:color w:val="467886" w:themeColor="hyperlink"/>
      <w:u w:val="single"/>
    </w:rPr>
  </w:style>
  <w:style w:type="character" w:styleId="UnresolvedMention">
    <w:name w:val="Unresolved Mention"/>
    <w:basedOn w:val="DefaultParagraphFont"/>
    <w:uiPriority w:val="99"/>
    <w:semiHidden/>
    <w:unhideWhenUsed/>
    <w:rsid w:val="00916B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chart.hhsc.ca/MyChartEpicPRD/Authentication/Login?mode=stdfile&amp;option=termsandconditions" TargetMode="External"/><Relationship Id="rId13" Type="http://schemas.openxmlformats.org/officeDocument/2006/relationships/hyperlink" Target="https://www.torkin.com/insights/publication/ipc-imposes-second-monetary-penalty-under-ontario-s-health-privacy-law" TargetMode="External"/><Relationship Id="rId18" Type="http://schemas.openxmlformats.org/officeDocument/2006/relationships/hyperlink" Target="https://policyoptions.irpp.org/2026/04/ai-scribes-health-care-canada-privacy-safety-risks/" TargetMode="External"/><Relationship Id="rId26" Type="http://schemas.openxmlformats.org/officeDocument/2006/relationships/hyperlink" Target="https://www.ontario.ca/orders-in-council/oc-2252026" TargetMode="External"/><Relationship Id="rId3" Type="http://schemas.openxmlformats.org/officeDocument/2006/relationships/settings" Target="settings.xml"/><Relationship Id="rId21" Type="http://schemas.openxmlformats.org/officeDocument/2006/relationships/hyperlink" Target="https://www.ontario.ca/orders-in-council/oc-2252026" TargetMode="External"/><Relationship Id="rId7" Type="http://schemas.openxmlformats.org/officeDocument/2006/relationships/hyperlink" Target="https://policyoptions.irpp.org/2026/04/ai-scribes-health-care-canada-privacy-safety-risks/" TargetMode="External"/><Relationship Id="rId12" Type="http://schemas.openxmlformats.org/officeDocument/2006/relationships/hyperlink" Target="https://ontariohealth.ca/about/privacy/compliance/impact-assessments/ereferral-edt.html" TargetMode="External"/><Relationship Id="rId17" Type="http://schemas.openxmlformats.org/officeDocument/2006/relationships/hyperlink" Target="https://ontariohealth.ca/about/privacy/compliance/impact-assessments/ereferral-edt.html" TargetMode="External"/><Relationship Id="rId25" Type="http://schemas.openxmlformats.org/officeDocument/2006/relationships/hyperlink" Target="https://www.dww.com/articles/another-administrative-monetary-penalty-under-ontario%E2%80%99s-phipa-issued" TargetMode="External"/><Relationship Id="rId2" Type="http://schemas.openxmlformats.org/officeDocument/2006/relationships/styles" Target="styles.xml"/><Relationship Id="rId16" Type="http://schemas.openxmlformats.org/officeDocument/2006/relationships/hyperlink" Target="https://www.ontario.ca/orders-in-council/oc-2252026" TargetMode="External"/><Relationship Id="rId20" Type="http://schemas.openxmlformats.org/officeDocument/2006/relationships/hyperlink" Target="https://dbrs.morningstar.com/research/415968/hamilton-health-sciences-corporation-regulatory-disclosure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ntariohealth.ca/about/privacy/compliance/impact-assessments/ereferral-edt.html" TargetMode="External"/><Relationship Id="rId11" Type="http://schemas.openxmlformats.org/officeDocument/2006/relationships/hyperlink" Target="https://policyoptions.irpp.org/2026/04/ai-scribes-health-care-canada-privacy-safety-risks/" TargetMode="External"/><Relationship Id="rId24" Type="http://schemas.openxmlformats.org/officeDocument/2006/relationships/hyperlink" Target="https://www.torkin.com/insights/publication/ipc-imposes-second-monetary-penalty-under-ontario-s-health-privacy-law" TargetMode="External"/><Relationship Id="rId5" Type="http://schemas.openxmlformats.org/officeDocument/2006/relationships/hyperlink" Target="https://www.ontario.ca/orders-in-council/oc-2252026" TargetMode="External"/><Relationship Id="rId15" Type="http://schemas.openxmlformats.org/officeDocument/2006/relationships/hyperlink" Target="https://www.rosensunshine.com/blog/information-and-privacy-commissioner-orders-2000-penalty" TargetMode="External"/><Relationship Id="rId23" Type="http://schemas.openxmlformats.org/officeDocument/2006/relationships/hyperlink" Target="https://policyoptions.irpp.org/2026/04/ai-scribes-health-care-canada-privacy-safety-risks/" TargetMode="External"/><Relationship Id="rId28" Type="http://schemas.openxmlformats.org/officeDocument/2006/relationships/fontTable" Target="fontTable.xml"/><Relationship Id="rId10" Type="http://schemas.openxmlformats.org/officeDocument/2006/relationships/hyperlink" Target="https://www.ontario.ca/orders-in-council/oc-2252026" TargetMode="External"/><Relationship Id="rId19" Type="http://schemas.openxmlformats.org/officeDocument/2006/relationships/hyperlink" Target="https://mychart.hhsc.ca/MyChartEpicPRD/Authentication/Login?mode=stdfile&amp;option=termsandconditions" TargetMode="External"/><Relationship Id="rId4" Type="http://schemas.openxmlformats.org/officeDocument/2006/relationships/webSettings" Target="webSettings.xml"/><Relationship Id="rId9" Type="http://schemas.openxmlformats.org/officeDocument/2006/relationships/hyperlink" Target="https://dbrs.morningstar.com/research/415968/hamilton-health-sciences-corporation-regulatory-disclosures" TargetMode="External"/><Relationship Id="rId14" Type="http://schemas.openxmlformats.org/officeDocument/2006/relationships/hyperlink" Target="https://www.dww.com/articles/another-administrative-monetary-penalty-under-ontario%E2%80%99s-phipa-issued" TargetMode="External"/><Relationship Id="rId22" Type="http://schemas.openxmlformats.org/officeDocument/2006/relationships/hyperlink" Target="https://ontariohealth.ca/about/privacy/compliance/impact-assessments/ereferral-edt.html" TargetMode="External"/><Relationship Id="rId27" Type="http://schemas.openxmlformats.org/officeDocument/2006/relationships/hyperlink" Target="https://policyoptions.irpp.org/2026/04/ai-scribes-health-care-canada-privacy-safety-ris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961</Words>
  <Characters>5479</Characters>
  <Application>Microsoft Office Word</Application>
  <DocSecurity>0</DocSecurity>
  <Lines>45</Lines>
  <Paragraphs>12</Paragraphs>
  <ScaleCrop>false</ScaleCrop>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2026-08-26T11:45:00Z</dcterms:created>
  <dcterms:modified xsi:type="dcterms:W3CDTF">2026-08-26T11:45:00Z</dcterms:modified>
</cp:coreProperties>
</file>