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1C780" w14:textId="2B203FA2" w:rsidR="009C0CE3" w:rsidRDefault="00182FC9" w:rsidP="00182FC9">
      <w:pPr>
        <w:shd w:val="clear" w:color="auto" w:fill="1F3864"/>
        <w:tabs>
          <w:tab w:val="left" w:pos="360"/>
          <w:tab w:val="center" w:pos="4680"/>
        </w:tabs>
        <w:spacing w:before="1200" w:after="200"/>
      </w:pPr>
      <w:r>
        <w:rPr>
          <w:b/>
          <w:bCs/>
          <w:color w:val="FFFFFF"/>
          <w:sz w:val="52"/>
          <w:szCs w:val="52"/>
        </w:rPr>
        <w:tab/>
      </w:r>
      <w:r>
        <w:rPr>
          <w:b/>
          <w:bCs/>
          <w:color w:val="FFFFFF"/>
          <w:sz w:val="52"/>
          <w:szCs w:val="52"/>
        </w:rPr>
        <w:tab/>
      </w:r>
      <w:r w:rsidR="00B41F86">
        <w:rPr>
          <w:b/>
          <w:bCs/>
          <w:color w:val="FFFFFF"/>
          <w:sz w:val="52"/>
          <w:szCs w:val="52"/>
        </w:rPr>
        <w:t>CUSTOMER CHURN ANALYSIS</w:t>
      </w:r>
    </w:p>
    <w:p w14:paraId="704F5B34" w14:textId="77777777" w:rsidR="009C0CE3" w:rsidRDefault="00B41F86">
      <w:pPr>
        <w:shd w:val="clear" w:color="auto" w:fill="1F3864"/>
        <w:spacing w:after="160"/>
        <w:jc w:val="center"/>
      </w:pPr>
      <w:r>
        <w:rPr>
          <w:color w:val="D6E4F0"/>
          <w:sz w:val="34"/>
          <w:szCs w:val="34"/>
        </w:rPr>
        <w:t>Exploratory Data Analysis Report</w:t>
      </w:r>
    </w:p>
    <w:p w14:paraId="2F6AD4B3" w14:textId="04E84E93" w:rsidR="009C0CE3" w:rsidRDefault="00B41F86">
      <w:pPr>
        <w:spacing w:before="80" w:after="800"/>
        <w:jc w:val="center"/>
      </w:pPr>
      <w:r>
        <w:rPr>
          <w:color w:val="666666"/>
        </w:rPr>
        <w:t xml:space="preserve">Dataset: 15,000 </w:t>
      </w:r>
      <w:r w:rsidR="00182FC9">
        <w:rPr>
          <w:color w:val="666666"/>
        </w:rPr>
        <w:t xml:space="preserve">Customers </w:t>
      </w:r>
      <w:r w:rsidR="00134B23">
        <w:rPr>
          <w:color w:val="666666"/>
        </w:rPr>
        <w:t>| Feature</w:t>
      </w:r>
      <w:r>
        <w:rPr>
          <w:color w:val="666666"/>
        </w:rPr>
        <w:t>-Engineered &amp; Profiled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3060"/>
        <w:gridCol w:w="3060"/>
        <w:gridCol w:w="180"/>
      </w:tblGrid>
      <w:tr w:rsidR="009C0CE3" w14:paraId="1389390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6EA5C7" w14:textId="77777777" w:rsidR="009C0CE3" w:rsidRDefault="00B41F86">
            <w:pPr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>15,000</w:t>
            </w:r>
          </w:p>
          <w:p w14:paraId="1FDA9976" w14:textId="77777777" w:rsidR="009C0CE3" w:rsidRDefault="00B41F86">
            <w:pPr>
              <w:jc w:val="center"/>
            </w:pPr>
            <w:r>
              <w:rPr>
                <w:color w:val="444444"/>
                <w:sz w:val="18"/>
                <w:szCs w:val="18"/>
              </w:rPr>
              <w:t>Total Customers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03E195D" w14:textId="2835BCBB" w:rsidR="009C0CE3" w:rsidRDefault="00B41F86">
            <w:pPr>
              <w:jc w:val="center"/>
            </w:pPr>
            <w:r>
              <w:rPr>
                <w:b/>
                <w:bCs/>
                <w:color w:val="C00000"/>
                <w:sz w:val="36"/>
                <w:szCs w:val="36"/>
              </w:rPr>
              <w:t>4,7</w:t>
            </w:r>
            <w:r w:rsidR="007F2CC2">
              <w:rPr>
                <w:b/>
                <w:bCs/>
                <w:color w:val="C00000"/>
                <w:sz w:val="36"/>
                <w:szCs w:val="36"/>
              </w:rPr>
              <w:t>8</w:t>
            </w:r>
            <w:r>
              <w:rPr>
                <w:b/>
                <w:bCs/>
                <w:color w:val="C00000"/>
                <w:sz w:val="36"/>
                <w:szCs w:val="36"/>
              </w:rPr>
              <w:t>3</w:t>
            </w:r>
          </w:p>
          <w:p w14:paraId="095FC1EE" w14:textId="77777777" w:rsidR="009C0CE3" w:rsidRDefault="00B41F86">
            <w:pPr>
              <w:jc w:val="center"/>
            </w:pPr>
            <w:r>
              <w:rPr>
                <w:color w:val="444444"/>
                <w:sz w:val="18"/>
                <w:szCs w:val="18"/>
              </w:rPr>
              <w:t>Churned Customers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9F8354" w14:textId="77777777" w:rsidR="009C0CE3" w:rsidRDefault="00B41F86">
            <w:pPr>
              <w:jc w:val="center"/>
            </w:pPr>
            <w:r>
              <w:rPr>
                <w:b/>
                <w:bCs/>
                <w:color w:val="C00000"/>
                <w:sz w:val="36"/>
                <w:szCs w:val="36"/>
              </w:rPr>
              <w:t>31.89%</w:t>
            </w:r>
          </w:p>
          <w:p w14:paraId="377E0C60" w14:textId="77777777" w:rsidR="009C0CE3" w:rsidRDefault="00B41F86">
            <w:pPr>
              <w:jc w:val="center"/>
            </w:pPr>
            <w:r>
              <w:rPr>
                <w:color w:val="444444"/>
                <w:sz w:val="18"/>
                <w:szCs w:val="18"/>
              </w:rPr>
              <w:t>Overall Churn Rate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AD9710" w14:textId="77777777" w:rsidR="009C0CE3" w:rsidRDefault="009C0CE3"/>
        </w:tc>
      </w:tr>
    </w:tbl>
    <w:p w14:paraId="125C75F7" w14:textId="77777777" w:rsidR="009C0CE3" w:rsidRDefault="009C0CE3">
      <w:pPr>
        <w:spacing w:before="160"/>
      </w:pPr>
    </w:p>
    <w:p w14:paraId="00264AB8" w14:textId="77777777" w:rsidR="009C0CE3" w:rsidRDefault="00B41F86">
      <w:pPr>
        <w:pStyle w:val="Heading1"/>
        <w:shd w:val="clear" w:color="auto" w:fill="1F3864"/>
        <w:ind w:left="200" w:right="200"/>
      </w:pPr>
      <w:r>
        <w:t xml:space="preserve">  1. Introduction &amp; Objectives</w:t>
      </w:r>
    </w:p>
    <w:p w14:paraId="580D1AFB" w14:textId="77777777" w:rsidR="009C0CE3" w:rsidRDefault="009C0CE3">
      <w:pPr>
        <w:spacing w:before="80"/>
      </w:pPr>
    </w:p>
    <w:p w14:paraId="09D0FA7C" w14:textId="77777777" w:rsidR="009C0CE3" w:rsidRDefault="00B41F86">
      <w:pPr>
        <w:spacing w:before="80" w:after="80"/>
      </w:pPr>
      <w:r>
        <w:t xml:space="preserve">This report presents the findings of a comprehensive Exploratory Data Analysis (EDA) conducted on a customer dataset of 15,000 records. The primary objective is to understand the drivers and patterns of customer churn — defined as a customer discontinuing </w:t>
      </w:r>
      <w:r>
        <w:t>their subscription or service. Prior to analysis, a feature engineering phase was carried out to enrich the dataset with derived attributes, enabling deeper segmentation and risk profiling.</w:t>
      </w:r>
    </w:p>
    <w:p w14:paraId="31262D1B" w14:textId="77777777" w:rsidR="009C0CE3" w:rsidRDefault="009C0CE3">
      <w:pPr>
        <w:spacing w:before="80"/>
      </w:pPr>
    </w:p>
    <w:p w14:paraId="209D3848" w14:textId="77777777" w:rsidR="009C0CE3" w:rsidRDefault="00B41F86">
      <w:pPr>
        <w:spacing w:before="80" w:after="80"/>
      </w:pPr>
      <w:r>
        <w:t>The analysis covers demographic factors, behavioural metrics, fin</w:t>
      </w:r>
      <w:r>
        <w:t>ancial indicators, contractual attributes, and composite risk profiles to identify the key levers influencing churn.</w:t>
      </w:r>
    </w:p>
    <w:p w14:paraId="4A84E2F8" w14:textId="77777777" w:rsidR="009C0CE3" w:rsidRDefault="009C0CE3">
      <w:pPr>
        <w:spacing w:before="160"/>
      </w:pPr>
    </w:p>
    <w:p w14:paraId="67042280" w14:textId="77777777" w:rsidR="009C0CE3" w:rsidRDefault="00B41F86">
      <w:pPr>
        <w:pStyle w:val="Heading1"/>
        <w:shd w:val="clear" w:color="auto" w:fill="1F3864"/>
        <w:ind w:left="200" w:right="200"/>
      </w:pPr>
      <w:r>
        <w:t xml:space="preserve">  2. Feature Engineering</w:t>
      </w:r>
    </w:p>
    <w:p w14:paraId="24AC839C" w14:textId="77777777" w:rsidR="009C0CE3" w:rsidRDefault="009C0CE3">
      <w:pPr>
        <w:spacing w:before="80"/>
      </w:pPr>
    </w:p>
    <w:p w14:paraId="0941BBDC" w14:textId="77777777" w:rsidR="009C0CE3" w:rsidRDefault="00B41F86">
      <w:pPr>
        <w:spacing w:before="80" w:after="80"/>
      </w:pPr>
      <w:r>
        <w:t>Before performing the EDA, the following new columns and categorical groupings were engineered from raw data fie</w:t>
      </w:r>
      <w:r>
        <w:t>lds:</w:t>
      </w:r>
    </w:p>
    <w:p w14:paraId="39D0A5A3" w14:textId="77777777" w:rsidR="009C0CE3" w:rsidRDefault="009C0CE3">
      <w:pPr>
        <w:spacing w:before="80"/>
      </w:pPr>
    </w:p>
    <w:p w14:paraId="146F3955" w14:textId="77777777" w:rsidR="009C0CE3" w:rsidRDefault="00B41F86">
      <w:pPr>
        <w:pStyle w:val="ListParagraph"/>
        <w:numPr>
          <w:ilvl w:val="0"/>
          <w:numId w:val="2"/>
        </w:numPr>
        <w:spacing w:before="60" w:after="60"/>
      </w:pPr>
      <w:r>
        <w:t>Customer Tenure Group — Segmenting customers as New (short tenure), Mid-Term, and Long-Term based on months of service.</w:t>
      </w:r>
    </w:p>
    <w:p w14:paraId="09F72090" w14:textId="77777777" w:rsidR="009C0CE3" w:rsidRDefault="00B41F86">
      <w:pPr>
        <w:pStyle w:val="ListParagraph"/>
        <w:numPr>
          <w:ilvl w:val="0"/>
          <w:numId w:val="2"/>
        </w:numPr>
        <w:spacing w:before="60" w:after="60"/>
      </w:pPr>
      <w:r>
        <w:t>Login Engagement — Classifying customers into Low, Moderate, and High engagement tiers based on login frequency and session behaviour.</w:t>
      </w:r>
    </w:p>
    <w:p w14:paraId="68A8EE01" w14:textId="77777777" w:rsidR="009C0CE3" w:rsidRDefault="00B41F86">
      <w:pPr>
        <w:pStyle w:val="ListParagraph"/>
        <w:numPr>
          <w:ilvl w:val="0"/>
          <w:numId w:val="2"/>
        </w:numPr>
        <w:spacing w:before="60" w:after="60"/>
      </w:pPr>
      <w:r>
        <w:t>Risk Category — A composite profile column assigning one of five categories: High Risk, Low Risk, Dissatisfied, Inactive,</w:t>
      </w:r>
      <w:r>
        <w:t xml:space="preserve"> or Normal (detailed in Section 9).</w:t>
      </w:r>
    </w:p>
    <w:p w14:paraId="33BF9752" w14:textId="77777777" w:rsidR="009C0CE3" w:rsidRDefault="00B41F86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Churn Probability — A derived label of Low, Medium, or High probability of churn based on combined behavioural and contractual signals.</w:t>
      </w:r>
    </w:p>
    <w:p w14:paraId="581D0166" w14:textId="77777777" w:rsidR="009C0CE3" w:rsidRDefault="00B41F86">
      <w:pPr>
        <w:pStyle w:val="ListParagraph"/>
        <w:numPr>
          <w:ilvl w:val="0"/>
          <w:numId w:val="2"/>
        </w:numPr>
        <w:spacing w:before="60" w:after="60"/>
      </w:pPr>
      <w:r>
        <w:t>Age Group — Bucketing customers into Teen, Young Adult, and Senior segments for demographic analysis.</w:t>
      </w:r>
    </w:p>
    <w:p w14:paraId="6BCB935F" w14:textId="77777777" w:rsidR="009C0CE3" w:rsidRDefault="009C0CE3">
      <w:pPr>
        <w:spacing w:before="80"/>
      </w:pPr>
    </w:p>
    <w:p w14:paraId="7BE1A43C" w14:textId="77777777" w:rsidR="009C0CE3" w:rsidRDefault="00B41F86">
      <w:pPr>
        <w:spacing w:before="80" w:after="80"/>
      </w:pPr>
      <w:r>
        <w:t>These engineered features enabled richer, multi-dimensional analysis that would not have been possible using raw fields alone.</w:t>
      </w:r>
    </w:p>
    <w:p w14:paraId="1A669466" w14:textId="77777777" w:rsidR="009C0CE3" w:rsidRDefault="009C0CE3">
      <w:pPr>
        <w:spacing w:before="160"/>
      </w:pPr>
    </w:p>
    <w:p w14:paraId="6C57D79B" w14:textId="77777777" w:rsidR="009C0CE3" w:rsidRDefault="00B41F86">
      <w:pPr>
        <w:pStyle w:val="Heading1"/>
        <w:shd w:val="clear" w:color="auto" w:fill="1F3864"/>
        <w:ind w:left="200" w:right="200"/>
      </w:pPr>
      <w:r>
        <w:t xml:space="preserve">  3. Overall Churn Rate</w:t>
      </w:r>
    </w:p>
    <w:p w14:paraId="00F74B40" w14:textId="77777777" w:rsidR="009C0CE3" w:rsidRDefault="009C0CE3">
      <w:pPr>
        <w:spacing w:before="80"/>
      </w:pPr>
    </w:p>
    <w:p w14:paraId="2A0E8621" w14:textId="77777777" w:rsidR="009C0CE3" w:rsidRDefault="00B41F86">
      <w:pPr>
        <w:spacing w:before="80" w:after="80"/>
      </w:pPr>
      <w:r>
        <w:t>The headline finding from the dataset is a churn rate of 31.89%, representing 4,773 customers out of a total of 15,000 who have churned. This is a materially significant churn level — nearly 1 in 3 customers — indicating that retention is a critical busine</w:t>
      </w:r>
      <w:r>
        <w:t>ss priority.</w:t>
      </w:r>
    </w:p>
    <w:p w14:paraId="0A3C7C74" w14:textId="77777777" w:rsidR="009C0CE3" w:rsidRDefault="009C0C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9C0CE3" w14:paraId="34ECB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F32A9" w14:textId="77777777" w:rsidR="009C0CE3" w:rsidRDefault="00B41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76EA7" w14:textId="77777777" w:rsidR="009C0CE3" w:rsidRDefault="00B41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C0CE3" w14:paraId="055C698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29E1" w14:textId="77777777" w:rsidR="009C0CE3" w:rsidRDefault="00B41F86">
            <w:r>
              <w:rPr>
                <w:sz w:val="20"/>
                <w:szCs w:val="20"/>
              </w:rPr>
              <w:t>Total Customers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8232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15,000</w:t>
            </w:r>
          </w:p>
        </w:tc>
      </w:tr>
      <w:tr w:rsidR="009C0CE3" w14:paraId="30E6B02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C7DF" w14:textId="77777777" w:rsidR="009C0CE3" w:rsidRDefault="00B41F86">
            <w:r>
              <w:rPr>
                <w:sz w:val="20"/>
                <w:szCs w:val="20"/>
              </w:rPr>
              <w:t>Churned Customers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8FB4" w14:textId="11D4FE13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4,7</w:t>
            </w:r>
            <w:r w:rsidR="007F2CC2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3</w:t>
            </w:r>
          </w:p>
        </w:tc>
      </w:tr>
      <w:tr w:rsidR="009C0CE3" w14:paraId="6F3DC6E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9D42" w14:textId="77777777" w:rsidR="009C0CE3" w:rsidRDefault="00B41F86">
            <w:r>
              <w:rPr>
                <w:sz w:val="20"/>
                <w:szCs w:val="20"/>
              </w:rPr>
              <w:t>Retained Customers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BA75" w14:textId="03AEBDDC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10,2</w:t>
            </w:r>
            <w:r w:rsidR="007F2CC2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7</w:t>
            </w:r>
          </w:p>
        </w:tc>
      </w:tr>
      <w:tr w:rsidR="009C0CE3" w14:paraId="1F29E67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B403" w14:textId="77777777" w:rsidR="009C0CE3" w:rsidRDefault="00B41F86">
            <w:r>
              <w:rPr>
                <w:sz w:val="20"/>
                <w:szCs w:val="20"/>
              </w:rPr>
              <w:t>Overall Churn Rate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B439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31.89%</w:t>
            </w:r>
          </w:p>
        </w:tc>
      </w:tr>
      <w:tr w:rsidR="009C0CE3" w14:paraId="1600873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60EF" w14:textId="77777777" w:rsidR="009C0CE3" w:rsidRDefault="00B41F86">
            <w:r>
              <w:rPr>
                <w:sz w:val="20"/>
                <w:szCs w:val="20"/>
              </w:rPr>
              <w:t>Retention Rate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692B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68.11%</w:t>
            </w:r>
          </w:p>
        </w:tc>
      </w:tr>
    </w:tbl>
    <w:p w14:paraId="2D51093A" w14:textId="77777777" w:rsidR="009C0CE3" w:rsidRDefault="009C0CE3">
      <w:pPr>
        <w:spacing w:before="160"/>
      </w:pPr>
    </w:p>
    <w:p w14:paraId="18DBB649" w14:textId="77777777" w:rsidR="009C0CE3" w:rsidRDefault="00B41F86">
      <w:pPr>
        <w:pStyle w:val="Heading1"/>
        <w:shd w:val="clear" w:color="auto" w:fill="1F3864"/>
        <w:ind w:left="200" w:right="200"/>
      </w:pPr>
      <w:r>
        <w:t xml:space="preserve">  4. Churn by Customer Tenure</w:t>
      </w:r>
    </w:p>
    <w:p w14:paraId="3FECDB8C" w14:textId="77777777" w:rsidR="009C0CE3" w:rsidRDefault="009C0CE3">
      <w:pPr>
        <w:spacing w:before="80"/>
      </w:pPr>
    </w:p>
    <w:p w14:paraId="6DFE2DCD" w14:textId="321851E5" w:rsidR="009C0CE3" w:rsidRDefault="00B41F86" w:rsidP="00792621">
      <w:pPr>
        <w:spacing w:before="80" w:after="80"/>
      </w:pPr>
      <w:r>
        <w:t>Tenure month analysis reveals a clear and important pattern: customers in the earliest stages of their relationship with the service are significantly more likely to churn. Customers with just 1 to 10 months of tenure exhibit churn rates ranging from 40% t</w:t>
      </w:r>
      <w:r>
        <w:t>o 55%, far exceeding the overall average of 31.89%.</w:t>
      </w:r>
    </w:p>
    <w:p w14:paraId="67E3C016" w14:textId="6A0A9DF3" w:rsidR="009C0CE3" w:rsidRDefault="00B41F86" w:rsidP="00792621">
      <w:pPr>
        <w:spacing w:before="80" w:after="80"/>
      </w:pPr>
      <w:r>
        <w:t>This trend is consistent with industry expectations — new customers have not yet developed strong loyalty or dependency on the service, making them highly sensitive to dissatisfaction, competitor offers,</w:t>
      </w:r>
      <w:r>
        <w:t xml:space="preserve"> or unmet expectations. In contrast, customers with longer tenures tend to be more stable.</w:t>
      </w:r>
    </w:p>
    <w:p w14:paraId="274CF2B9" w14:textId="08168085" w:rsidR="009C0CE3" w:rsidRDefault="00B41F86">
      <w:pPr>
        <w:spacing w:before="80" w:after="80"/>
      </w:pPr>
      <w:r>
        <w:t xml:space="preserve">Notably, the cohort analysis highlights </w:t>
      </w:r>
      <w:r w:rsidR="00792621">
        <w:t>that customer</w:t>
      </w:r>
      <w:r>
        <w:t xml:space="preserve"> reaching 30 and 32 months of tenure show a 0% churn rate, representing the most loyal segment in the dataset. This suggests that successfully retaining a customer through the critical first 12 months d</w:t>
      </w:r>
      <w:r>
        <w:t>ramatically increases their lifetime value.</w:t>
      </w:r>
    </w:p>
    <w:p w14:paraId="4E0857CE" w14:textId="77777777" w:rsidR="009C0CE3" w:rsidRDefault="009C0CE3">
      <w:pPr>
        <w:spacing w:before="160"/>
      </w:pPr>
    </w:p>
    <w:p w14:paraId="311D674F" w14:textId="77777777" w:rsidR="009C0CE3" w:rsidRDefault="00B41F86">
      <w:pPr>
        <w:pStyle w:val="Heading1"/>
        <w:shd w:val="clear" w:color="auto" w:fill="1F3864"/>
        <w:ind w:left="200" w:right="200"/>
      </w:pPr>
      <w:r>
        <w:lastRenderedPageBreak/>
        <w:t xml:space="preserve">  5. Demographic Analysis</w:t>
      </w:r>
    </w:p>
    <w:p w14:paraId="501103A3" w14:textId="77777777" w:rsidR="009C0CE3" w:rsidRDefault="009C0CE3">
      <w:pPr>
        <w:spacing w:before="80"/>
      </w:pPr>
    </w:p>
    <w:p w14:paraId="37C5580F" w14:textId="77777777" w:rsidR="009C0CE3" w:rsidRDefault="00B41F86">
      <w:pPr>
        <w:spacing w:before="80" w:after="80"/>
      </w:pPr>
      <w:r>
        <w:t>The demographic analysis examined churn distribution across three dimensions: age group, gender, and geographic region. A key finding across all three dimensions is the remarkable even</w:t>
      </w:r>
      <w:r>
        <w:t>ness of churn distribution, suggesting that demographics alone are not a primary driver of churn in this dataset.</w:t>
      </w:r>
    </w:p>
    <w:p w14:paraId="28D01B1B" w14:textId="77777777" w:rsidR="009C0CE3" w:rsidRDefault="009C0CE3">
      <w:pPr>
        <w:spacing w:before="80"/>
      </w:pPr>
    </w:p>
    <w:p w14:paraId="65065D55" w14:textId="114C43A7" w:rsidR="009C0CE3" w:rsidRDefault="00B41F86" w:rsidP="00EB5A64">
      <w:pPr>
        <w:pStyle w:val="Heading2"/>
        <w:pBdr>
          <w:bottom w:val="single" w:sz="6" w:space="1" w:color="2E75B6"/>
        </w:pBdr>
      </w:pPr>
      <w:r>
        <w:t>5.1 Churn by Age Group</w:t>
      </w:r>
    </w:p>
    <w:p w14:paraId="2817DF3E" w14:textId="71F99BC1" w:rsidR="009C0CE3" w:rsidRDefault="00B41F86" w:rsidP="00EB5A64">
      <w:pPr>
        <w:spacing w:before="80" w:after="80"/>
      </w:pPr>
      <w:r>
        <w:t>A</w:t>
      </w:r>
      <w:r>
        <w:t>ll three age segments show churn rates tightly clustered between 31% and 35%, indicating that age does not significantly differentiate churn behaviour. Teens show a marginally higher tendency to churn, which may be linked to higher price sensitivity or ex</w:t>
      </w:r>
      <w:r>
        <w:t>ploratory subscription behaviour.</w:t>
      </w:r>
    </w:p>
    <w:p w14:paraId="44FECBCD" w14:textId="35CC1976" w:rsidR="009C0CE3" w:rsidRDefault="00B41F86" w:rsidP="00EB5A64">
      <w:pPr>
        <w:pStyle w:val="Heading2"/>
        <w:pBdr>
          <w:bottom w:val="single" w:sz="6" w:space="1" w:color="2E75B6"/>
        </w:pBdr>
      </w:pPr>
      <w:r>
        <w:t>5.2 Churn by Gender</w:t>
      </w:r>
    </w:p>
    <w:p w14:paraId="30FD9F49" w14:textId="0FD93DCB" w:rsidR="009C0CE3" w:rsidRDefault="00B41F86" w:rsidP="00EB5A64">
      <w:pPr>
        <w:spacing w:before="80" w:after="80"/>
      </w:pPr>
      <w:r>
        <w:t>G</w:t>
      </w:r>
      <w:r>
        <w:t>ender shows virtually no differential impact on churn. The three gender categories all fall within a 1-percentage-point range (31.79% to 32.63%), confirming that gender-targeted retention strategies would yield minimal differentiation.</w:t>
      </w:r>
    </w:p>
    <w:p w14:paraId="3B277A43" w14:textId="624D33C6" w:rsidR="009C0CE3" w:rsidRDefault="00B41F86" w:rsidP="00792621">
      <w:pPr>
        <w:pStyle w:val="Heading2"/>
        <w:pBdr>
          <w:bottom w:val="single" w:sz="6" w:space="1" w:color="2E75B6"/>
        </w:pBdr>
      </w:pPr>
      <w:r>
        <w:t>5.3 Churn by Regio</w:t>
      </w:r>
      <w:r>
        <w:t>n</w:t>
      </w:r>
    </w:p>
    <w:p w14:paraId="748A2CBC" w14:textId="77777777" w:rsidR="009C0CE3" w:rsidRDefault="00B41F86">
      <w:pPr>
        <w:spacing w:before="80" w:after="80"/>
      </w:pPr>
      <w:r>
        <w:t>R</w:t>
      </w:r>
      <w:r>
        <w:t>egional churn is also broadly even, with Middle East and Latin America showing slightly elevated rates at 32.70% and 31.47% respectively. The differences are marginal and do not suggest region-specific intervention is warranted at this stage.</w:t>
      </w:r>
    </w:p>
    <w:p w14:paraId="73E324AD" w14:textId="46C81B61" w:rsidR="009C0CE3" w:rsidRDefault="009C0CE3">
      <w:pPr>
        <w:spacing w:before="160"/>
      </w:pPr>
    </w:p>
    <w:p w14:paraId="05CF3A06" w14:textId="77777777" w:rsidR="00792621" w:rsidRDefault="00792621">
      <w:pPr>
        <w:spacing w:before="160"/>
      </w:pPr>
    </w:p>
    <w:p w14:paraId="6C02EEC4" w14:textId="77777777" w:rsidR="009C0CE3" w:rsidRDefault="00B41F86">
      <w:pPr>
        <w:pStyle w:val="Heading1"/>
        <w:shd w:val="clear" w:color="auto" w:fill="1F3864"/>
        <w:ind w:left="200" w:right="200"/>
      </w:pPr>
      <w:r>
        <w:t xml:space="preserve">  6. Financ</w:t>
      </w:r>
      <w:r>
        <w:t>ial &amp; Subscription Analysis</w:t>
      </w:r>
    </w:p>
    <w:p w14:paraId="478EC106" w14:textId="77777777" w:rsidR="009C0CE3" w:rsidRDefault="009C0CE3">
      <w:pPr>
        <w:spacing w:before="80"/>
      </w:pPr>
    </w:p>
    <w:p w14:paraId="4A8FEBB4" w14:textId="77777777" w:rsidR="009C0CE3" w:rsidRDefault="00B41F86">
      <w:pPr>
        <w:pStyle w:val="Heading2"/>
        <w:pBdr>
          <w:bottom w:val="single" w:sz="6" w:space="1" w:color="2E75B6"/>
        </w:pBdr>
      </w:pPr>
      <w:r>
        <w:t>6.1 Churn by Income Level</w:t>
      </w:r>
    </w:p>
    <w:p w14:paraId="3357F799" w14:textId="1C243FD5" w:rsidR="009C0CE3" w:rsidRDefault="00B41F86" w:rsidP="00EB5A64">
      <w:pPr>
        <w:spacing w:before="80" w:after="80"/>
      </w:pPr>
      <w:r>
        <w:t>Income level shows a clear and intuitive inverse relationship with churn. High-income customers are least likely to churn, while low-income customers represent the highest-risk segment.</w:t>
      </w:r>
    </w:p>
    <w:p w14:paraId="50C267BF" w14:textId="3D02037A" w:rsidR="009C0CE3" w:rsidRDefault="00B41F86">
      <w:pPr>
        <w:spacing w:before="80" w:after="80"/>
      </w:pPr>
      <w:r>
        <w:t xml:space="preserve">The ~6.5 percentage-point gap between </w:t>
      </w:r>
      <w:r w:rsidR="00EB5A64">
        <w:t>high- and low-income</w:t>
      </w:r>
      <w:r>
        <w:t xml:space="preserve"> churn rates suggests that affordability and perceived value are meaningful drivers. Retention strategies targeting lower-income segments, such as flexible pricing or loyalty discounts, could be impa</w:t>
      </w:r>
      <w:r>
        <w:t>ctful.</w:t>
      </w:r>
    </w:p>
    <w:p w14:paraId="4D12E8F2" w14:textId="6259046E" w:rsidR="009C0CE3" w:rsidRDefault="009C0CE3">
      <w:pPr>
        <w:spacing w:before="80"/>
      </w:pPr>
    </w:p>
    <w:p w14:paraId="0C0BDA96" w14:textId="3DCD722D" w:rsidR="00EB5A64" w:rsidRDefault="00EB5A64">
      <w:pPr>
        <w:spacing w:before="80"/>
      </w:pPr>
    </w:p>
    <w:p w14:paraId="0DA1FF58" w14:textId="1ACD8207" w:rsidR="00EB5A64" w:rsidRDefault="00EB5A64">
      <w:pPr>
        <w:spacing w:before="80"/>
      </w:pPr>
    </w:p>
    <w:p w14:paraId="5901FCB7" w14:textId="77777777" w:rsidR="00EB5A64" w:rsidRDefault="00EB5A64">
      <w:pPr>
        <w:spacing w:before="80"/>
      </w:pPr>
    </w:p>
    <w:p w14:paraId="7E47D136" w14:textId="35B192DD" w:rsidR="009C0CE3" w:rsidRDefault="00B41F86" w:rsidP="00EB5A64">
      <w:pPr>
        <w:pStyle w:val="Heading2"/>
        <w:pBdr>
          <w:bottom w:val="single" w:sz="6" w:space="1" w:color="2E75B6"/>
        </w:pBdr>
      </w:pPr>
      <w:r>
        <w:lastRenderedPageBreak/>
        <w:t>6.2 Churn by Subscription Type</w:t>
      </w:r>
    </w:p>
    <w:p w14:paraId="2431F95C" w14:textId="7E983461" w:rsidR="009C0CE3" w:rsidRDefault="00B41F86">
      <w:pPr>
        <w:spacing w:before="80" w:after="80"/>
      </w:pPr>
      <w:r>
        <w:t>P</w:t>
      </w:r>
      <w:r>
        <w:t>remium subscribers churn at nearly half the rate of Basic subscribers. This is a compelling finding: customers who invest more in their subscription, and likely derive more value from it</w:t>
      </w:r>
      <w:r w:rsidR="00EB5A64">
        <w:t xml:space="preserve"> </w:t>
      </w:r>
      <w:r>
        <w:t>are</w:t>
      </w:r>
      <w:r w:rsidR="00EB5A64">
        <w:t xml:space="preserve"> </w:t>
      </w:r>
      <w:r>
        <w:t>significantly more loyal. Encouraging upgrades from Basic to St</w:t>
      </w:r>
      <w:r>
        <w:t>andard or Premium tiers should be a key retention lever.</w:t>
      </w:r>
    </w:p>
    <w:p w14:paraId="2C37F1E6" w14:textId="77777777" w:rsidR="009C0CE3" w:rsidRDefault="009C0CE3">
      <w:pPr>
        <w:spacing w:before="80"/>
      </w:pPr>
    </w:p>
    <w:p w14:paraId="7947D639" w14:textId="77777777" w:rsidR="009C0CE3" w:rsidRDefault="00B41F86">
      <w:pPr>
        <w:pStyle w:val="Heading2"/>
        <w:pBdr>
          <w:bottom w:val="single" w:sz="6" w:space="1" w:color="2E75B6"/>
        </w:pBdr>
      </w:pPr>
      <w:r>
        <w:t>6.3 Churn by Monthly &amp; Total Charges</w:t>
      </w:r>
    </w:p>
    <w:p w14:paraId="53F24875" w14:textId="77777777" w:rsidR="009C0CE3" w:rsidRDefault="00B41F86">
      <w:pPr>
        <w:spacing w:before="80" w:after="80"/>
      </w:pPr>
      <w:r>
        <w:t>Consistent with income and subscription findings, customers who spend more on monthly charges and have accumulated higher total charges show lower churn rates. H</w:t>
      </w:r>
      <w:r>
        <w:t>igher financial investment in the service corresponds with greater loyalty, likely reflecting greater perceived value and switching cost.</w:t>
      </w:r>
    </w:p>
    <w:p w14:paraId="10D2A52C" w14:textId="77777777" w:rsidR="009C0CE3" w:rsidRDefault="009C0CE3">
      <w:pPr>
        <w:spacing w:before="80"/>
      </w:pPr>
    </w:p>
    <w:p w14:paraId="7C173557" w14:textId="77777777" w:rsidR="009C0CE3" w:rsidRDefault="00B41F86">
      <w:pPr>
        <w:pStyle w:val="Heading2"/>
        <w:pBdr>
          <w:bottom w:val="single" w:sz="6" w:space="1" w:color="2E75B6"/>
        </w:pBdr>
      </w:pPr>
      <w:r>
        <w:t>6.4 Churn by Payment Method</w:t>
      </w:r>
    </w:p>
    <w:p w14:paraId="216638D4" w14:textId="77777777" w:rsidR="009C0CE3" w:rsidRDefault="00B41F86">
      <w:pPr>
        <w:spacing w:before="80" w:after="80"/>
      </w:pPr>
      <w:r>
        <w:t>Payment method shows an even distribution of churn rates ranging from 31% to 33% across a</w:t>
      </w:r>
      <w:r>
        <w:t>ll payment types. This indicates that payment method is not a significant predictor of churn, and no specific payment channel represents a concentration of churn risk.</w:t>
      </w:r>
    </w:p>
    <w:p w14:paraId="699ED7FB" w14:textId="77777777" w:rsidR="009C0CE3" w:rsidRDefault="009C0CE3">
      <w:pPr>
        <w:spacing w:before="80"/>
      </w:pPr>
    </w:p>
    <w:p w14:paraId="6C29849B" w14:textId="3C48DED5" w:rsidR="009C0CE3" w:rsidRDefault="00B41F86" w:rsidP="00EB5A64">
      <w:pPr>
        <w:pStyle w:val="Heading2"/>
        <w:pBdr>
          <w:bottom w:val="single" w:sz="6" w:space="1" w:color="2E75B6"/>
        </w:pBdr>
      </w:pPr>
      <w:r>
        <w:t>6.5 Churn by Contract Type</w:t>
      </w:r>
    </w:p>
    <w:p w14:paraId="0FD10C6C" w14:textId="77777777" w:rsidR="009C0CE3" w:rsidRDefault="00B41F86">
      <w:pPr>
        <w:spacing w:before="80" w:after="80"/>
      </w:pPr>
      <w:r>
        <w:t>C</w:t>
      </w:r>
      <w:r>
        <w:t>ontract type is one of the strongest individual predictors of churn in the dataset. Monthly contract holders churn at 47.68% — nearly one in two customers — compared to just 19.68% for annual subscribers. This 28-percentage-point gap strongly supports a s</w:t>
      </w:r>
      <w:r>
        <w:t>trategy of incentivising customers to commit to longer-term contracts, which effectively locks in retention while providing revenue predictability.</w:t>
      </w:r>
    </w:p>
    <w:p w14:paraId="61D6441A" w14:textId="77777777" w:rsidR="009C0CE3" w:rsidRDefault="009C0CE3">
      <w:pPr>
        <w:spacing w:before="160"/>
      </w:pPr>
    </w:p>
    <w:p w14:paraId="73FF947A" w14:textId="77777777" w:rsidR="009C0CE3" w:rsidRDefault="00B41F86">
      <w:pPr>
        <w:pStyle w:val="Heading1"/>
        <w:shd w:val="clear" w:color="auto" w:fill="1F3864"/>
        <w:ind w:left="200" w:right="200"/>
      </w:pPr>
      <w:r>
        <w:t xml:space="preserve">  7. Behavioural Analysis</w:t>
      </w:r>
    </w:p>
    <w:p w14:paraId="2EEFEFE7" w14:textId="77777777" w:rsidR="009C0CE3" w:rsidRDefault="009C0CE3">
      <w:pPr>
        <w:spacing w:before="80"/>
      </w:pPr>
    </w:p>
    <w:p w14:paraId="443B3A82" w14:textId="52996FDD" w:rsidR="009C0CE3" w:rsidRDefault="00B41F86" w:rsidP="00EB5A64">
      <w:pPr>
        <w:pStyle w:val="Heading2"/>
        <w:pBdr>
          <w:bottom w:val="single" w:sz="6" w:space="1" w:color="2E75B6"/>
        </w:pBdr>
      </w:pPr>
      <w:r>
        <w:t>7.1 Churn by Usage Frequency</w:t>
      </w:r>
    </w:p>
    <w:p w14:paraId="1A938045" w14:textId="603510BE" w:rsidR="00EB5A64" w:rsidRDefault="00B41F86" w:rsidP="00C85324">
      <w:pPr>
        <w:spacing w:before="80" w:after="80"/>
      </w:pPr>
      <w:r>
        <w:t>Usage frequency is a powerful predictor of churn. Customers with low usage frequency churn at 49.01% — nearly half — compared to just 23.11% among high-usage customers. This 26-percentage-point differential highlights that product engagement is directly pr</w:t>
      </w:r>
      <w:r>
        <w:t>otective against churn. Early identification of low-usage customers for targeted re-engagement campaigns is strongly supported by this finding.</w:t>
      </w:r>
    </w:p>
    <w:p w14:paraId="20F58C0D" w14:textId="77777777" w:rsidR="00EB5A64" w:rsidRDefault="00EB5A64">
      <w:pPr>
        <w:pStyle w:val="Heading2"/>
        <w:pBdr>
          <w:bottom w:val="single" w:sz="6" w:space="1" w:color="2E75B6"/>
        </w:pBdr>
      </w:pPr>
    </w:p>
    <w:p w14:paraId="18E9FAA0" w14:textId="27AC884C" w:rsidR="009C0CE3" w:rsidRDefault="00B41F86">
      <w:pPr>
        <w:pStyle w:val="Heading2"/>
        <w:pBdr>
          <w:bottom w:val="single" w:sz="6" w:space="1" w:color="2E75B6"/>
        </w:pBdr>
      </w:pPr>
      <w:r>
        <w:t>7</w:t>
      </w:r>
      <w:r>
        <w:t>.2 Churn by Support Ticket Volume</w:t>
      </w:r>
    </w:p>
    <w:p w14:paraId="26F73FC2" w14:textId="63654CFF" w:rsidR="009C0CE3" w:rsidRDefault="00B41F86" w:rsidP="00EB5A64">
      <w:pPr>
        <w:spacing w:before="80" w:after="80"/>
      </w:pPr>
      <w:r>
        <w:lastRenderedPageBreak/>
        <w:t xml:space="preserve">Customer support ticket volume reveals a striking escalation in churn risk. </w:t>
      </w:r>
      <w:r>
        <w:t>The relationship is strongly monotonic: more support interactions correlate directly with higher churn probability.</w:t>
      </w:r>
    </w:p>
    <w:p w14:paraId="7655C725" w14:textId="77777777" w:rsidR="009C0CE3" w:rsidRDefault="00B41F86">
      <w:pPr>
        <w:spacing w:before="80" w:after="80"/>
      </w:pPr>
      <w:r>
        <w:t>The most striking finding is that customers with exactly 11 support tickets show a 100% churn rate across all 319 affected customers. This represents a definitive tipping point: customers who reach this level of support contact have universally disengaged.</w:t>
      </w:r>
      <w:r>
        <w:t xml:space="preserve"> Customers exceeding 5 support tickets should be flagged immediately for proactive retention intervention, as more than half of them churn.</w:t>
      </w:r>
    </w:p>
    <w:p w14:paraId="53C5D631" w14:textId="77777777" w:rsidR="009C0CE3" w:rsidRDefault="009C0CE3">
      <w:pPr>
        <w:spacing w:before="80"/>
      </w:pPr>
    </w:p>
    <w:p w14:paraId="67B70A76" w14:textId="77777777" w:rsidR="009C0CE3" w:rsidRDefault="00B41F86">
      <w:pPr>
        <w:pStyle w:val="Heading2"/>
        <w:pBdr>
          <w:bottom w:val="single" w:sz="6" w:space="1" w:color="2E75B6"/>
        </w:pBdr>
      </w:pPr>
      <w:r>
        <w:t>7.3 Churn by Satisfaction Score</w:t>
      </w:r>
    </w:p>
    <w:p w14:paraId="741949F3" w14:textId="77777777" w:rsidR="009C0CE3" w:rsidRDefault="00B41F86">
      <w:pPr>
        <w:spacing w:before="80" w:after="80"/>
      </w:pPr>
      <w:r>
        <w:t xml:space="preserve">Satisfaction score is the single most powerful predictor of retention found in the </w:t>
      </w:r>
      <w:r>
        <w:t xml:space="preserve">dataset. Customers who provide the highest satisfaction rating of 5 show a churn rate of just 5.91%, compared to customers with a satisfaction score of 1, who churn at a rate approaching 79.47%. This near-80% churn rate for dissatisfied customers confirms </w:t>
      </w:r>
      <w:r>
        <w:t>that satisfaction is the core barometer of churn risk.</w:t>
      </w:r>
    </w:p>
    <w:p w14:paraId="744B3A38" w14:textId="77777777" w:rsidR="009C0CE3" w:rsidRDefault="009C0CE3">
      <w:pPr>
        <w:spacing w:before="80"/>
      </w:pPr>
    </w:p>
    <w:p w14:paraId="05056850" w14:textId="77777777" w:rsidR="009C0CE3" w:rsidRDefault="00B41F86">
      <w:pPr>
        <w:spacing w:before="80" w:after="80"/>
      </w:pPr>
      <w:r>
        <w:t>This is perhaps the most actionable finding in the entire analysis: a real-time satisfaction monitoring system, combined with rapid intervention for customers scoring 1 or 2, could directly prevent a large proportion of churn.</w:t>
      </w:r>
    </w:p>
    <w:p w14:paraId="3B7F832E" w14:textId="77777777" w:rsidR="009C0CE3" w:rsidRDefault="009C0CE3">
      <w:pPr>
        <w:spacing w:before="80"/>
      </w:pPr>
    </w:p>
    <w:p w14:paraId="25D84571" w14:textId="77777777" w:rsidR="009C0CE3" w:rsidRDefault="00B41F86">
      <w:pPr>
        <w:pStyle w:val="Heading2"/>
        <w:pBdr>
          <w:bottom w:val="single" w:sz="6" w:space="1" w:color="2E75B6"/>
        </w:pBdr>
      </w:pPr>
      <w:r>
        <w:t>7.4 Churn by Promotional Res</w:t>
      </w:r>
      <w:r>
        <w:t>ponse &amp; Discount Use</w:t>
      </w:r>
    </w:p>
    <w:p w14:paraId="74ECCFB2" w14:textId="77777777" w:rsidR="009C0CE3" w:rsidRDefault="00B41F86">
      <w:pPr>
        <w:spacing w:before="80" w:after="80"/>
      </w:pPr>
      <w:r>
        <w:t>Customers who responded to promotional offers or made use of available discounts showed differentiated churn behaviour. Generally, those who engaged with promotions or discounts demonstrated stronger retention, suggesting that targeted</w:t>
      </w:r>
      <w:r>
        <w:t xml:space="preserve"> promotional campaigns can serve as an effective retention tool. Further segmentation of these customers by promotion type and discount depth would provide additional precision.</w:t>
      </w:r>
    </w:p>
    <w:p w14:paraId="3BE8E317" w14:textId="77777777" w:rsidR="009C0CE3" w:rsidRDefault="009C0CE3">
      <w:pPr>
        <w:spacing w:before="80"/>
      </w:pPr>
    </w:p>
    <w:p w14:paraId="705CB3E8" w14:textId="77777777" w:rsidR="009C0CE3" w:rsidRDefault="00B41F86">
      <w:pPr>
        <w:pStyle w:val="Heading2"/>
        <w:pBdr>
          <w:bottom w:val="single" w:sz="6" w:space="1" w:color="2E75B6"/>
        </w:pBdr>
      </w:pPr>
      <w:r>
        <w:t>7.5 Average Login &amp; Session Metrics</w:t>
      </w:r>
    </w:p>
    <w:p w14:paraId="2F6EC138" w14:textId="77777777" w:rsidR="009C0CE3" w:rsidRDefault="00B41F86">
      <w:pPr>
        <w:spacing w:before="80" w:after="80"/>
      </w:pPr>
      <w:r>
        <w:t>Analysis of average login frequency and a</w:t>
      </w:r>
      <w:r>
        <w:t xml:space="preserve">verage session duration further reinforces the engagement-churn relationship. Customers with lower average logins per month and shorter average session times are disproportionately represented among churned customers. Engagement analytics should therefore </w:t>
      </w:r>
      <w:r>
        <w:t>form a core component of any early-warning churn detection system.</w:t>
      </w:r>
    </w:p>
    <w:p w14:paraId="46F75796" w14:textId="77777777" w:rsidR="009C0CE3" w:rsidRDefault="009C0CE3">
      <w:pPr>
        <w:spacing w:before="160"/>
      </w:pPr>
    </w:p>
    <w:p w14:paraId="0D175803" w14:textId="3A68223C" w:rsidR="009C0CE3" w:rsidRDefault="00B41F86">
      <w:pPr>
        <w:pStyle w:val="Heading1"/>
        <w:shd w:val="clear" w:color="auto" w:fill="1F3864"/>
        <w:ind w:left="200" w:right="200"/>
      </w:pPr>
      <w:r>
        <w:t xml:space="preserve">  </w:t>
      </w:r>
      <w:r w:rsidR="00EB5A64">
        <w:t>8</w:t>
      </w:r>
      <w:r>
        <w:t>. Combined Risk Profiling</w:t>
      </w:r>
    </w:p>
    <w:p w14:paraId="0CEDBCF5" w14:textId="77777777" w:rsidR="009C0CE3" w:rsidRDefault="00B41F86">
      <w:pPr>
        <w:spacing w:before="80" w:after="80"/>
      </w:pPr>
      <w:r>
        <w:t>A composite risk prof</w:t>
      </w:r>
      <w:r>
        <w:t>ile column was engineered using combinations of usage, engagement, satisfaction, and activity signals. Each customer was assigned to one of five risk categories based on the following rules:</w:t>
      </w:r>
    </w:p>
    <w:p w14:paraId="1776AEB1" w14:textId="77777777" w:rsidR="009C0CE3" w:rsidRDefault="009C0C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5040"/>
        <w:gridCol w:w="2160"/>
      </w:tblGrid>
      <w:tr w:rsidR="009C0CE3" w14:paraId="6F3347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86BCE" w14:textId="77777777" w:rsidR="009C0CE3" w:rsidRDefault="00B41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Risk Category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C9DD2" w14:textId="77777777" w:rsidR="009C0CE3" w:rsidRDefault="00B41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 Logic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F4EEA" w14:textId="77777777" w:rsidR="009C0CE3" w:rsidRDefault="00B41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</w:tr>
      <w:tr w:rsidR="009C0CE3" w14:paraId="263DC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0A9C" w14:textId="77777777" w:rsidR="009C0CE3" w:rsidRDefault="00B41F86">
            <w:r>
              <w:rPr>
                <w:sz w:val="20"/>
                <w:szCs w:val="20"/>
              </w:rPr>
              <w:t>High Risk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BA58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Low usage frequency AND low login engagement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9A3C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9C0CE3" w14:paraId="25FABA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05B3" w14:textId="77777777" w:rsidR="009C0CE3" w:rsidRDefault="00B41F86">
            <w:r>
              <w:rPr>
                <w:sz w:val="20"/>
                <w:szCs w:val="20"/>
              </w:rPr>
              <w:t>Low Risk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6A63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Avg. session 30–45 min AND logins &gt; 10/month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20F3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</w:tr>
      <w:tr w:rsidR="009C0CE3" w14:paraId="5D0F87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AC39" w14:textId="77777777" w:rsidR="009C0CE3" w:rsidRDefault="00B41F86">
            <w:r>
              <w:rPr>
                <w:sz w:val="20"/>
                <w:szCs w:val="20"/>
              </w:rPr>
              <w:t>Dissatisfied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BE02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Satisfaction score &lt; 5 AND support tickets &gt; 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0826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70.10%</w:t>
            </w:r>
          </w:p>
        </w:tc>
      </w:tr>
      <w:tr w:rsidR="009C0CE3" w14:paraId="5294AE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90DC" w14:textId="77777777" w:rsidR="009C0CE3" w:rsidRDefault="00B41F86">
            <w:r>
              <w:rPr>
                <w:sz w:val="20"/>
                <w:szCs w:val="20"/>
              </w:rPr>
              <w:t>Inactive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1FE3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Last login &gt; 30 days ago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2ABF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87.79%</w:t>
            </w:r>
          </w:p>
        </w:tc>
      </w:tr>
      <w:tr w:rsidR="009C0CE3" w14:paraId="046900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6757" w14:textId="77777777" w:rsidR="009C0CE3" w:rsidRDefault="00B41F86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4BAC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All other customers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E1E0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6.92%</w:t>
            </w:r>
          </w:p>
        </w:tc>
      </w:tr>
    </w:tbl>
    <w:p w14:paraId="4B423C53" w14:textId="77777777" w:rsidR="009C0CE3" w:rsidRDefault="009C0CE3">
      <w:pPr>
        <w:spacing w:before="80"/>
      </w:pPr>
    </w:p>
    <w:p w14:paraId="4711171D" w14:textId="77777777" w:rsidR="009C0CE3" w:rsidRDefault="00B41F86">
      <w:pPr>
        <w:spacing w:before="80" w:after="80"/>
      </w:pPr>
      <w:r>
        <w:t>The results validate the risk profiling logic with strong precision. Inactive customers — those who have not logged in for more than 30 days — are the highest-risk group with a churn rate of 87.79%. Dissatisfied customers follow closely at 70.10%. In stark</w:t>
      </w:r>
      <w:r>
        <w:t xml:space="preserve"> contrast, Normal customers, those who exhibit no elevated risk signals, churn at just 6.92%.</w:t>
      </w:r>
    </w:p>
    <w:p w14:paraId="75B0A101" w14:textId="77777777" w:rsidR="009C0CE3" w:rsidRDefault="009C0CE3">
      <w:pPr>
        <w:spacing w:before="80"/>
      </w:pPr>
    </w:p>
    <w:p w14:paraId="141D8BAB" w14:textId="77777777" w:rsidR="009C0CE3" w:rsidRDefault="00B41F86">
      <w:pPr>
        <w:spacing w:before="80" w:after="80"/>
      </w:pPr>
      <w:r>
        <w:t xml:space="preserve">These risk categories provide a ready-made segmentation framework for targeted retention campaigns. Customers in the Inactive and Dissatisfied categories should </w:t>
      </w:r>
      <w:r>
        <w:t>be prioritised for immediate outreach, personalised win-back offers, and service recovery efforts.</w:t>
      </w:r>
    </w:p>
    <w:p w14:paraId="4C83CC9A" w14:textId="77777777" w:rsidR="009C0CE3" w:rsidRDefault="009C0CE3">
      <w:pPr>
        <w:spacing w:before="160"/>
      </w:pPr>
    </w:p>
    <w:p w14:paraId="774D1399" w14:textId="1480CF45" w:rsidR="009C0CE3" w:rsidRDefault="00B41F86">
      <w:pPr>
        <w:pStyle w:val="Heading1"/>
        <w:shd w:val="clear" w:color="auto" w:fill="1F3864"/>
        <w:ind w:left="200" w:right="200"/>
      </w:pPr>
      <w:r>
        <w:t xml:space="preserve">  </w:t>
      </w:r>
      <w:r w:rsidR="006A7CEE">
        <w:t>9.</w:t>
      </w:r>
      <w:r>
        <w:t xml:space="preserve"> Churn by Tenure &amp; Engagement Level</w:t>
      </w:r>
    </w:p>
    <w:p w14:paraId="62F5C4BF" w14:textId="77777777" w:rsidR="009C0CE3" w:rsidRDefault="009C0CE3">
      <w:pPr>
        <w:spacing w:before="80"/>
      </w:pPr>
    </w:p>
    <w:p w14:paraId="0989D072" w14:textId="77777777" w:rsidR="009C0CE3" w:rsidRDefault="00B41F86">
      <w:pPr>
        <w:spacing w:before="80" w:after="80"/>
      </w:pPr>
      <w:r>
        <w:t>A cross-dimensional analysis was performed by combining customer tenure group (New, Mid-Term, Long-Term) with logi</w:t>
      </w:r>
      <w:r>
        <w:t>n engagement level (Low, Moderate, High) and churn probability label (Low, Medium, High) to create a granular churn matrix.</w:t>
      </w:r>
    </w:p>
    <w:p w14:paraId="070E5EF6" w14:textId="77777777" w:rsidR="009C0CE3" w:rsidRDefault="009C0CE3">
      <w:pPr>
        <w:spacing w:before="80"/>
      </w:pPr>
    </w:p>
    <w:p w14:paraId="31B9C171" w14:textId="043369AB" w:rsidR="009C0CE3" w:rsidRDefault="006A7CEE" w:rsidP="006A7CEE">
      <w:pPr>
        <w:pStyle w:val="Heading1"/>
        <w:shd w:val="clear" w:color="auto" w:fill="1F3864"/>
        <w:ind w:right="200"/>
      </w:pPr>
      <w:r>
        <w:t xml:space="preserve"> </w:t>
      </w:r>
      <w:r w:rsidR="00B41F86">
        <w:t>1</w:t>
      </w:r>
      <w:r>
        <w:t>0</w:t>
      </w:r>
      <w:r w:rsidR="00B41F86">
        <w:t>. Cohort Analysis</w:t>
      </w:r>
    </w:p>
    <w:p w14:paraId="3E3ECE83" w14:textId="77777777" w:rsidR="009C0CE3" w:rsidRDefault="009C0CE3">
      <w:pPr>
        <w:spacing w:before="80"/>
      </w:pPr>
    </w:p>
    <w:p w14:paraId="0A8555DA" w14:textId="77777777" w:rsidR="009C0CE3" w:rsidRDefault="00B41F86">
      <w:pPr>
        <w:spacing w:before="80" w:after="80"/>
      </w:pPr>
      <w:r>
        <w:t>A tenure-month cohort analysis was conducted to examine churn rates at eac</w:t>
      </w:r>
      <w:r>
        <w:t>h specific tenure milestone. The findings reinforce and sharpen the tenure trend observed in Section 4:</w:t>
      </w:r>
    </w:p>
    <w:p w14:paraId="383B5301" w14:textId="77777777" w:rsidR="009C0CE3" w:rsidRDefault="009C0CE3">
      <w:pPr>
        <w:spacing w:before="80"/>
      </w:pPr>
    </w:p>
    <w:p w14:paraId="56EC19CA" w14:textId="77777777" w:rsidR="009C0CE3" w:rsidRDefault="00B41F86">
      <w:pPr>
        <w:pStyle w:val="ListParagraph"/>
        <w:numPr>
          <w:ilvl w:val="0"/>
          <w:numId w:val="2"/>
        </w:numPr>
        <w:spacing w:before="60" w:after="60"/>
      </w:pPr>
      <w:r>
        <w:t>Customers at tenure months 1 to 6 show the highest cohort churn rates, consistently above 15% per cohort, with some months peaking significantly higher</w:t>
      </w:r>
      <w:r>
        <w:t>.</w:t>
      </w:r>
    </w:p>
    <w:p w14:paraId="3AA63EB6" w14:textId="77777777" w:rsidR="009C0CE3" w:rsidRDefault="00B41F86">
      <w:pPr>
        <w:pStyle w:val="ListParagraph"/>
        <w:numPr>
          <w:ilvl w:val="0"/>
          <w:numId w:val="2"/>
        </w:numPr>
        <w:spacing w:before="60" w:after="60"/>
      </w:pPr>
      <w:r>
        <w:t>Churn rates decline progressively as tenure increases, confirming that each additional month of retained tenure reduces future churn risk.</w:t>
      </w:r>
    </w:p>
    <w:p w14:paraId="16C0AE47" w14:textId="77777777" w:rsidR="009C0CE3" w:rsidRDefault="00B41F86">
      <w:pPr>
        <w:pStyle w:val="ListParagraph"/>
        <w:numPr>
          <w:ilvl w:val="0"/>
          <w:numId w:val="2"/>
        </w:numPr>
        <w:spacing w:before="60" w:after="60"/>
      </w:pPr>
      <w:r>
        <w:t>Cohorts at 30 and 32 months show a 0% churn rate — representing the most loyal and stable customer group in the ent</w:t>
      </w:r>
      <w:r>
        <w:t>ire dataset.</w:t>
      </w:r>
    </w:p>
    <w:p w14:paraId="78EA8B51" w14:textId="77777777" w:rsidR="009C0CE3" w:rsidRDefault="009C0CE3">
      <w:pPr>
        <w:spacing w:before="80"/>
      </w:pPr>
    </w:p>
    <w:p w14:paraId="58EFA519" w14:textId="77777777" w:rsidR="009C0CE3" w:rsidRDefault="00B41F86">
      <w:pPr>
        <w:spacing w:before="80" w:after="80"/>
      </w:pPr>
      <w:r>
        <w:t xml:space="preserve">The cohort analysis provides strong justification for a front-loaded retention investment strategy: resources spent retaining customers in months 1 through 6 yield the greatest return on investment, as this is where churn loss is most acute. </w:t>
      </w:r>
      <w:r>
        <w:t>The 0% churn milestone at 30 months suggests that customers who persist beyond 2.5 years are essentially fully committed.</w:t>
      </w:r>
    </w:p>
    <w:p w14:paraId="7C9DA7E4" w14:textId="77777777" w:rsidR="009C0CE3" w:rsidRDefault="009C0CE3">
      <w:pPr>
        <w:spacing w:before="160"/>
      </w:pPr>
    </w:p>
    <w:p w14:paraId="473EC0AD" w14:textId="77777777" w:rsidR="009C0CE3" w:rsidRDefault="00B41F86">
      <w:pPr>
        <w:pStyle w:val="Heading1"/>
        <w:shd w:val="clear" w:color="auto" w:fill="1F3864"/>
        <w:ind w:left="200" w:right="200"/>
      </w:pPr>
      <w:r>
        <w:t xml:space="preserve">  12. Key Findings Summary</w:t>
      </w:r>
    </w:p>
    <w:p w14:paraId="4D728796" w14:textId="77777777" w:rsidR="009C0CE3" w:rsidRDefault="009C0CE3">
      <w:pPr>
        <w:spacing w:before="80"/>
      </w:pPr>
    </w:p>
    <w:p w14:paraId="3DC85E0F" w14:textId="77777777" w:rsidR="009C0CE3" w:rsidRDefault="00B41F86">
      <w:pPr>
        <w:spacing w:before="80" w:after="80"/>
      </w:pPr>
      <w:r>
        <w:t>The table below consolidates the most significant predictors and findings from the analysis:</w:t>
      </w:r>
    </w:p>
    <w:p w14:paraId="4ACD33C0" w14:textId="77777777" w:rsidR="009C0CE3" w:rsidRDefault="009C0C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00"/>
        <w:gridCol w:w="2460"/>
      </w:tblGrid>
      <w:tr w:rsidR="009C0CE3" w14:paraId="47DA3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71F79" w14:textId="77777777" w:rsidR="009C0CE3" w:rsidRDefault="00B41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F2CD0" w14:textId="77777777" w:rsidR="009C0CE3" w:rsidRDefault="00B41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708D2" w14:textId="77777777" w:rsidR="009C0CE3" w:rsidRDefault="00B41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Range</w:t>
            </w:r>
          </w:p>
        </w:tc>
      </w:tr>
      <w:tr w:rsidR="009C0CE3" w14:paraId="029F73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64AA" w14:textId="77777777" w:rsidR="009C0CE3" w:rsidRDefault="00B41F86">
            <w:r>
              <w:rPr>
                <w:sz w:val="20"/>
                <w:szCs w:val="20"/>
              </w:rPr>
              <w:t>Overall Churn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9277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31.89% of 15,000 customers have churned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CEBA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31.89%</w:t>
            </w:r>
          </w:p>
        </w:tc>
      </w:tr>
      <w:tr w:rsidR="009C0CE3" w14:paraId="6D2882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B069" w14:textId="77777777" w:rsidR="009C0CE3" w:rsidRDefault="00B41F86">
            <w:r>
              <w:rPr>
                <w:sz w:val="20"/>
                <w:szCs w:val="20"/>
              </w:rPr>
              <w:t>Tenure (Early)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738E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Months 1–10 are the highest-risk period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DD09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40–55%</w:t>
            </w:r>
          </w:p>
        </w:tc>
      </w:tr>
      <w:tr w:rsidR="009C0CE3" w14:paraId="09DC7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A43A" w14:textId="77777777" w:rsidR="009C0CE3" w:rsidRDefault="00B41F86">
            <w:r>
              <w:rPr>
                <w:sz w:val="20"/>
                <w:szCs w:val="20"/>
              </w:rPr>
              <w:t>Cohort (Loyal)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0EBA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Months 30 &amp; 32 are fully retained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BE40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0%</w:t>
            </w:r>
          </w:p>
        </w:tc>
      </w:tr>
      <w:tr w:rsidR="009C0CE3" w14:paraId="01311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325A" w14:textId="77777777" w:rsidR="009C0CE3" w:rsidRDefault="00B41F86">
            <w:r>
              <w:rPr>
                <w:sz w:val="20"/>
                <w:szCs w:val="20"/>
              </w:rPr>
              <w:t>Satisfaction Score 5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9237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Extremely loyal; lowest churn in dataset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3AFF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5.91%</w:t>
            </w:r>
          </w:p>
        </w:tc>
      </w:tr>
      <w:tr w:rsidR="009C0CE3" w14:paraId="73DA19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2005" w14:textId="77777777" w:rsidR="009C0CE3" w:rsidRDefault="00B41F86">
            <w:r>
              <w:rPr>
                <w:sz w:val="20"/>
                <w:szCs w:val="20"/>
              </w:rPr>
              <w:t>Satisfaction Score 1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38D6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Near-total churn at lowest satisfaction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2097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~79%</w:t>
            </w:r>
          </w:p>
        </w:tc>
      </w:tr>
      <w:tr w:rsidR="009C0CE3" w14:paraId="2D5DB8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72ED" w14:textId="77777777" w:rsidR="009C0CE3" w:rsidRDefault="00B41F86">
            <w:r>
              <w:rPr>
                <w:sz w:val="20"/>
                <w:szCs w:val="20"/>
              </w:rPr>
              <w:t>Contract: Monthly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A6F9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Nearly 1 in 2 customers churns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4CC4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47.68%</w:t>
            </w:r>
          </w:p>
        </w:tc>
      </w:tr>
      <w:tr w:rsidR="009C0CE3" w14:paraId="35882A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CA11" w14:textId="77777777" w:rsidR="009C0CE3" w:rsidRDefault="00B41F86">
            <w:r>
              <w:rPr>
                <w:sz w:val="20"/>
                <w:szCs w:val="20"/>
              </w:rPr>
              <w:t>Contract: Yearly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EF47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Strong contractual retention effect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4F6F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19.68%</w:t>
            </w:r>
          </w:p>
        </w:tc>
      </w:tr>
      <w:tr w:rsidR="009C0CE3" w14:paraId="756964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D7D2" w14:textId="77777777" w:rsidR="009C0CE3" w:rsidRDefault="00B41F86">
            <w:r>
              <w:rPr>
                <w:sz w:val="20"/>
                <w:szCs w:val="20"/>
              </w:rPr>
              <w:t>Usage: Low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5B86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Half of low-usage customers churn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DB0D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49.01%</w:t>
            </w:r>
          </w:p>
        </w:tc>
      </w:tr>
      <w:tr w:rsidR="009C0CE3" w14:paraId="1C3986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8598" w14:textId="77777777" w:rsidR="009C0CE3" w:rsidRDefault="00B41F86">
            <w:r>
              <w:rPr>
                <w:sz w:val="20"/>
                <w:szCs w:val="20"/>
              </w:rPr>
              <w:t>Support Tickets: 11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FA00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Total churn — no exceptions (n=319)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AD6A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9C0CE3" w14:paraId="3DE26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E362" w14:textId="77777777" w:rsidR="009C0CE3" w:rsidRDefault="00B41F86">
            <w:r>
              <w:rPr>
                <w:sz w:val="20"/>
                <w:szCs w:val="20"/>
              </w:rPr>
              <w:t>Risk: Inactive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230F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Not logged in 30+ days — near-total churn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C4FA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87.79%</w:t>
            </w:r>
          </w:p>
        </w:tc>
      </w:tr>
      <w:tr w:rsidR="009C0CE3" w14:paraId="0D2EAA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437D" w14:textId="77777777" w:rsidR="009C0CE3" w:rsidRDefault="00B41F86">
            <w:r>
              <w:rPr>
                <w:sz w:val="20"/>
                <w:szCs w:val="20"/>
              </w:rPr>
              <w:t>Risk: Dissatisfied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CE6E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High satisfaction + ticket risk score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1866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70.10%</w:t>
            </w:r>
          </w:p>
        </w:tc>
      </w:tr>
      <w:tr w:rsidR="009C0CE3" w14:paraId="58295D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2826" w14:textId="77777777" w:rsidR="009C0CE3" w:rsidRDefault="00B41F86">
            <w:r>
              <w:rPr>
                <w:sz w:val="20"/>
                <w:szCs w:val="20"/>
              </w:rPr>
              <w:t>Risk: Normal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1A17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No risk signals — highly retained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A77F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6.92%</w:t>
            </w:r>
          </w:p>
        </w:tc>
      </w:tr>
      <w:tr w:rsidR="009C0CE3" w14:paraId="4C1E90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7743" w14:textId="77777777" w:rsidR="009C0CE3" w:rsidRDefault="00B41F86">
            <w:r>
              <w:rPr>
                <w:sz w:val="20"/>
                <w:szCs w:val="20"/>
              </w:rPr>
              <w:t>Subscription: Premium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1524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Premium users show strong loyalty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CAB7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20.28%</w:t>
            </w:r>
          </w:p>
        </w:tc>
      </w:tr>
      <w:tr w:rsidR="009C0CE3" w14:paraId="4FCAD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CC54" w14:textId="77777777" w:rsidR="009C0CE3" w:rsidRDefault="00B41F86">
            <w:r>
              <w:rPr>
                <w:sz w:val="20"/>
                <w:szCs w:val="20"/>
              </w:rPr>
              <w:t>Subscription: Basic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89CF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Basic users most vulnerable to churn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9521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35.69%</w:t>
            </w:r>
          </w:p>
        </w:tc>
      </w:tr>
      <w:tr w:rsidR="009C0CE3" w14:paraId="0B2E27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6A7C" w14:textId="77777777" w:rsidR="009C0CE3" w:rsidRDefault="00B41F86">
            <w:r>
              <w:rPr>
                <w:sz w:val="20"/>
                <w:szCs w:val="20"/>
              </w:rPr>
              <w:t>Demographics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E771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Age, gender, region are NOT significant drivers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D66F" w14:textId="77777777" w:rsidR="009C0CE3" w:rsidRDefault="00B41F86">
            <w:pPr>
              <w:jc w:val="center"/>
            </w:pPr>
            <w:r>
              <w:rPr>
                <w:sz w:val="20"/>
                <w:szCs w:val="20"/>
              </w:rPr>
              <w:t>31–34%</w:t>
            </w:r>
          </w:p>
        </w:tc>
      </w:tr>
    </w:tbl>
    <w:p w14:paraId="04BCCE7D" w14:textId="77777777" w:rsidR="009C0CE3" w:rsidRDefault="009C0CE3">
      <w:pPr>
        <w:spacing w:before="160"/>
      </w:pPr>
    </w:p>
    <w:p w14:paraId="5A4A4C87" w14:textId="77777777" w:rsidR="009C0CE3" w:rsidRDefault="00B41F86">
      <w:pPr>
        <w:pStyle w:val="Heading1"/>
        <w:shd w:val="clear" w:color="auto" w:fill="1F3864"/>
        <w:ind w:left="200" w:right="200"/>
      </w:pPr>
      <w:r>
        <w:t xml:space="preserve">  13. Strategic Recommendations</w:t>
      </w:r>
    </w:p>
    <w:p w14:paraId="6F66BCF1" w14:textId="77777777" w:rsidR="009C0CE3" w:rsidRDefault="009C0CE3">
      <w:pPr>
        <w:spacing w:before="80"/>
      </w:pPr>
    </w:p>
    <w:p w14:paraId="5892A3F2" w14:textId="77777777" w:rsidR="00016E71" w:rsidRDefault="00016E71" w:rsidP="00016E71">
      <w:pPr>
        <w:pStyle w:val="Heading3"/>
      </w:pPr>
      <w:r>
        <w:t>13.1 Prioritise Early-Tenure Retention</w:t>
      </w:r>
    </w:p>
    <w:p w14:paraId="0CA852CF" w14:textId="77777777" w:rsidR="00016E71" w:rsidRDefault="00016E71" w:rsidP="00016E71">
      <w:pPr>
        <w:spacing w:before="80" w:after="80"/>
      </w:pPr>
      <w:r>
        <w:t>Invest heavily in onboarding, engagement, and value demonstration during months 1–10. This period represents the highest churn concentration and the greatest opportunity for retention ROI.</w:t>
      </w:r>
    </w:p>
    <w:p w14:paraId="307D8526" w14:textId="77777777" w:rsidR="00016E71" w:rsidRDefault="00016E71" w:rsidP="00016E71">
      <w:pPr>
        <w:spacing w:before="80"/>
      </w:pPr>
    </w:p>
    <w:p w14:paraId="5A69D440" w14:textId="77777777" w:rsidR="00016E71" w:rsidRDefault="00016E71" w:rsidP="00016E71">
      <w:pPr>
        <w:pStyle w:val="Heading3"/>
      </w:pPr>
      <w:r>
        <w:t>13.2 Deploy Risk-Based Intervention System</w:t>
      </w:r>
    </w:p>
    <w:p w14:paraId="29008619" w14:textId="77777777" w:rsidR="00016E71" w:rsidRDefault="00016E71" w:rsidP="00016E71">
      <w:pPr>
        <w:spacing w:before="80" w:after="80"/>
      </w:pPr>
      <w:r>
        <w:t>Implement an automated churn alert system using the five risk categories. Inactive customers (87.79% churn) and Dissatisfied customers (70.10% churn) should trigger immediate outreach workflows, including personalised win-back offers and service recovery actions.</w:t>
      </w:r>
    </w:p>
    <w:p w14:paraId="142547AC" w14:textId="77777777" w:rsidR="00016E71" w:rsidRDefault="00016E71" w:rsidP="00016E71">
      <w:pPr>
        <w:spacing w:before="80"/>
      </w:pPr>
    </w:p>
    <w:p w14:paraId="753B5C1C" w14:textId="77777777" w:rsidR="00016E71" w:rsidRDefault="00016E71" w:rsidP="00016E71">
      <w:pPr>
        <w:pStyle w:val="Heading3"/>
      </w:pPr>
      <w:r>
        <w:t>13.3 Drive Subscription and Contract Upgrades</w:t>
      </w:r>
    </w:p>
    <w:p w14:paraId="01499B15" w14:textId="77777777" w:rsidR="00016E71" w:rsidRDefault="00016E71" w:rsidP="00016E71">
      <w:pPr>
        <w:spacing w:before="80" w:after="80"/>
      </w:pPr>
      <w:r>
        <w:t>Encourage Basic subscribers to upgrade to Standard or Premium, and monthly contract holders to convert to annual plans. These two levers show the largest churn differentials in the entire dataset — up to 28 percentage points for contract type.</w:t>
      </w:r>
    </w:p>
    <w:p w14:paraId="7FCF204F" w14:textId="77777777" w:rsidR="00016E71" w:rsidRDefault="00016E71" w:rsidP="00016E71">
      <w:pPr>
        <w:spacing w:before="80"/>
      </w:pPr>
    </w:p>
    <w:p w14:paraId="481772EE" w14:textId="77777777" w:rsidR="00016E71" w:rsidRDefault="00016E71" w:rsidP="00016E71">
      <w:pPr>
        <w:pStyle w:val="Heading3"/>
      </w:pPr>
      <w:r>
        <w:t>13.4 Monitor Satisfaction and Support Volume in Real Time</w:t>
      </w:r>
    </w:p>
    <w:p w14:paraId="46A0FFFC" w14:textId="77777777" w:rsidR="00016E71" w:rsidRDefault="00016E71" w:rsidP="00016E71">
      <w:pPr>
        <w:spacing w:before="80" w:after="80"/>
      </w:pPr>
      <w:r>
        <w:t>Satisfaction score and support ticket volume are the most powerful individual predictors of churn. A real-time dashboard tracking customers falling to satisfaction score 1–2 or exceeding 5 support tickets should feed directly into a retention escalation process.</w:t>
      </w:r>
    </w:p>
    <w:p w14:paraId="29893320" w14:textId="77777777" w:rsidR="00016E71" w:rsidRDefault="00016E71" w:rsidP="00016E71">
      <w:pPr>
        <w:spacing w:before="80"/>
      </w:pPr>
    </w:p>
    <w:p w14:paraId="0F7B1E88" w14:textId="77777777" w:rsidR="00016E71" w:rsidRDefault="00016E71" w:rsidP="00016E71">
      <w:pPr>
        <w:pStyle w:val="Heading3"/>
      </w:pPr>
      <w:r>
        <w:t>13.5 Re-Engage Low-Usage Customers</w:t>
      </w:r>
    </w:p>
    <w:p w14:paraId="014EFAF6" w14:textId="77777777" w:rsidR="00016E71" w:rsidRDefault="00016E71" w:rsidP="00016E71">
      <w:pPr>
        <w:spacing w:before="80" w:after="80"/>
      </w:pPr>
      <w:r>
        <w:t>Customers with low usage frequency are churning at nearly 50%. Targeted re-engagement campaigns — feature spotlights, usage nudges, personalised recommendations — should be deployed to this segment before they disengage completely.</w:t>
      </w:r>
    </w:p>
    <w:p w14:paraId="4DFE61A5" w14:textId="77777777" w:rsidR="00016E71" w:rsidRDefault="00016E71" w:rsidP="00016E71">
      <w:pPr>
        <w:spacing w:before="80"/>
      </w:pPr>
    </w:p>
    <w:p w14:paraId="32F4CC36" w14:textId="77777777" w:rsidR="00016E71" w:rsidRDefault="00016E71" w:rsidP="00016E71">
      <w:pPr>
        <w:pStyle w:val="Heading3"/>
      </w:pPr>
      <w:r>
        <w:t>13.6 Leverage Promotions for At-Risk Segments</w:t>
      </w:r>
    </w:p>
    <w:p w14:paraId="39EE0F15" w14:textId="744B0DAE" w:rsidR="009C0CE3" w:rsidRDefault="00016E71" w:rsidP="00016E71">
      <w:pPr>
        <w:spacing w:before="80" w:after="80"/>
      </w:pPr>
      <w:r>
        <w:t xml:space="preserve">Promotional and discount responses correlate with improved retention. Design targeted promotional offers for high-risk segments (low income, Basic plan, monthly contract, low usage) to improve engagement and perceived </w:t>
      </w:r>
      <w:proofErr w:type="gramStart"/>
      <w:r>
        <w:t>value.</w:t>
      </w:r>
      <w:r w:rsidR="006A7CEE">
        <w:t>.</w:t>
      </w:r>
      <w:proofErr w:type="gramEnd"/>
    </w:p>
    <w:p w14:paraId="7CC56A99" w14:textId="77777777" w:rsidR="009C0CE3" w:rsidRDefault="00B41F86">
      <w:pPr>
        <w:pStyle w:val="Heading1"/>
        <w:shd w:val="clear" w:color="auto" w:fill="1F3864"/>
        <w:ind w:left="200" w:right="200"/>
      </w:pPr>
      <w:r>
        <w:t xml:space="preserve">  14. Conclusion</w:t>
      </w:r>
    </w:p>
    <w:p w14:paraId="3C9764D8" w14:textId="77777777" w:rsidR="009C0CE3" w:rsidRDefault="009C0CE3">
      <w:pPr>
        <w:spacing w:before="80"/>
      </w:pPr>
    </w:p>
    <w:p w14:paraId="170496A7" w14:textId="77777777" w:rsidR="009C0CE3" w:rsidRDefault="00B41F86">
      <w:pPr>
        <w:spacing w:before="80" w:after="80"/>
      </w:pPr>
      <w:r>
        <w:t>This EDA has successfully identified the key drivers and patterns of customer churn across 15,000 customers. The overall churn rate of 31.89% is substantia</w:t>
      </w:r>
      <w:r>
        <w:t>l, but the analysis reveals that churn is far from random — it is concentrated in identifiable, actionable segments.</w:t>
      </w:r>
    </w:p>
    <w:p w14:paraId="26143287" w14:textId="77777777" w:rsidR="009C0CE3" w:rsidRDefault="009C0CE3">
      <w:pPr>
        <w:spacing w:before="80"/>
      </w:pPr>
    </w:p>
    <w:p w14:paraId="6FE31ECF" w14:textId="77777777" w:rsidR="009C0CE3" w:rsidRDefault="00B41F86">
      <w:pPr>
        <w:spacing w:before="80" w:after="80"/>
      </w:pPr>
      <w:r>
        <w:t>The most powerful predictors of churn are satisfaction score, support ticket volume, contract type, usage frequency, and customer tenure i</w:t>
      </w:r>
      <w:r>
        <w:t>n the early months. Demographic factors such as age, gender, and region show minimal differentiation and should not be the primary focus of retention strategies.</w:t>
      </w:r>
    </w:p>
    <w:p w14:paraId="7721ED1F" w14:textId="77777777" w:rsidR="009C0CE3" w:rsidRDefault="009C0CE3">
      <w:pPr>
        <w:spacing w:before="80"/>
      </w:pPr>
    </w:p>
    <w:p w14:paraId="6B92BD43" w14:textId="77777777" w:rsidR="009C0CE3" w:rsidRDefault="00B41F86">
      <w:pPr>
        <w:spacing w:before="80" w:after="80"/>
      </w:pPr>
      <w:r>
        <w:t>The risk profiling framework developed through feature engineering provides a ready-to-deploy</w:t>
      </w:r>
      <w:r>
        <w:t xml:space="preserve"> segmentation layer for targeted retention campaigns. Combined with the cohort analysis confirming that customers who survive beyond 30 months churn at 0%, the data strongly supports a retention-first strategy with particular emphasis on the first 10 month</w:t>
      </w:r>
      <w:r>
        <w:t>s of a customer relationship.</w:t>
      </w:r>
    </w:p>
    <w:p w14:paraId="7773AF0B" w14:textId="77777777" w:rsidR="009C0CE3" w:rsidRDefault="009C0CE3">
      <w:pPr>
        <w:spacing w:before="80"/>
      </w:pPr>
    </w:p>
    <w:p w14:paraId="2C0F3501" w14:textId="77777777" w:rsidR="009C0CE3" w:rsidRDefault="00B41F86">
      <w:pPr>
        <w:spacing w:before="80" w:after="80"/>
      </w:pPr>
      <w:r>
        <w:t>The next recommended step is to use these EDA insights to build a supervised machine learning churn prediction model, leveraging the engineered features as model inputs to generate individual customer churn probabilities at s</w:t>
      </w:r>
      <w:r>
        <w:t>cale.</w:t>
      </w:r>
    </w:p>
    <w:sectPr w:rsidR="009C0CE3" w:rsidSect="00792621">
      <w:headerReference w:type="default" r:id="rId7"/>
      <w:footerReference w:type="default" r:id="rId8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C8120" w14:textId="77777777" w:rsidR="00B41F86" w:rsidRDefault="00B41F86">
      <w:r>
        <w:separator/>
      </w:r>
    </w:p>
  </w:endnote>
  <w:endnote w:type="continuationSeparator" w:id="0">
    <w:p w14:paraId="178B2A97" w14:textId="77777777" w:rsidR="00B41F86" w:rsidRDefault="00B41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B56F6" w14:textId="77777777" w:rsidR="009C0CE3" w:rsidRDefault="00B41F86">
    <w:pPr>
      <w:pBdr>
        <w:top w:val="single" w:sz="6" w:space="1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F2CC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F2CC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24D50" w14:textId="77777777" w:rsidR="00B41F86" w:rsidRDefault="00B41F86">
      <w:r>
        <w:separator/>
      </w:r>
    </w:p>
  </w:footnote>
  <w:footnote w:type="continuationSeparator" w:id="0">
    <w:p w14:paraId="16B51475" w14:textId="77777777" w:rsidR="00B41F86" w:rsidRDefault="00B41F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B5C1" w14:textId="352B0D9F" w:rsidR="009C0CE3" w:rsidRDefault="00B41F86">
    <w:pPr>
      <w:pBdr>
        <w:bottom w:val="single" w:sz="6" w:space="1" w:color="2E75B6"/>
      </w:pBdr>
      <w:spacing w:after="100"/>
    </w:pPr>
    <w:r>
      <w:rPr>
        <w:color w:val="888888"/>
        <w:sz w:val="18"/>
        <w:szCs w:val="18"/>
      </w:rPr>
      <w:t xml:space="preserve">Customer Churn </w:t>
    </w:r>
    <w:r w:rsidR="00792621">
      <w:rPr>
        <w:color w:val="888888"/>
        <w:sz w:val="18"/>
        <w:szCs w:val="18"/>
      </w:rPr>
      <w:t>Analysis | Exploratory</w:t>
    </w:r>
    <w:r>
      <w:rPr>
        <w:color w:val="888888"/>
        <w:sz w:val="18"/>
        <w:szCs w:val="18"/>
      </w:rPr>
      <w:t xml:space="preserve"> Data Analysis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06F54"/>
    <w:multiLevelType w:val="hybridMultilevel"/>
    <w:tmpl w:val="6AD040CC"/>
    <w:lvl w:ilvl="0" w:tplc="56C2C08C">
      <w:start w:val="1"/>
      <w:numFmt w:val="bullet"/>
      <w:lvlText w:val="●"/>
      <w:lvlJc w:val="left"/>
      <w:pPr>
        <w:ind w:left="720" w:hanging="360"/>
      </w:pPr>
    </w:lvl>
    <w:lvl w:ilvl="1" w:tplc="52EA4C7E">
      <w:start w:val="1"/>
      <w:numFmt w:val="bullet"/>
      <w:lvlText w:val="○"/>
      <w:lvlJc w:val="left"/>
      <w:pPr>
        <w:ind w:left="1440" w:hanging="360"/>
      </w:pPr>
    </w:lvl>
    <w:lvl w:ilvl="2" w:tplc="E3A4A068">
      <w:start w:val="1"/>
      <w:numFmt w:val="bullet"/>
      <w:lvlText w:val="■"/>
      <w:lvlJc w:val="left"/>
      <w:pPr>
        <w:ind w:left="2160" w:hanging="360"/>
      </w:pPr>
    </w:lvl>
    <w:lvl w:ilvl="3" w:tplc="5360DFC4">
      <w:start w:val="1"/>
      <w:numFmt w:val="bullet"/>
      <w:lvlText w:val="●"/>
      <w:lvlJc w:val="left"/>
      <w:pPr>
        <w:ind w:left="2880" w:hanging="360"/>
      </w:pPr>
    </w:lvl>
    <w:lvl w:ilvl="4" w:tplc="DC68FB74">
      <w:start w:val="1"/>
      <w:numFmt w:val="bullet"/>
      <w:lvlText w:val="○"/>
      <w:lvlJc w:val="left"/>
      <w:pPr>
        <w:ind w:left="3600" w:hanging="360"/>
      </w:pPr>
    </w:lvl>
    <w:lvl w:ilvl="5" w:tplc="415CFB12">
      <w:start w:val="1"/>
      <w:numFmt w:val="bullet"/>
      <w:lvlText w:val="■"/>
      <w:lvlJc w:val="left"/>
      <w:pPr>
        <w:ind w:left="4320" w:hanging="360"/>
      </w:pPr>
    </w:lvl>
    <w:lvl w:ilvl="6" w:tplc="8724D4EA">
      <w:start w:val="1"/>
      <w:numFmt w:val="bullet"/>
      <w:lvlText w:val="●"/>
      <w:lvlJc w:val="left"/>
      <w:pPr>
        <w:ind w:left="5040" w:hanging="360"/>
      </w:pPr>
    </w:lvl>
    <w:lvl w:ilvl="7" w:tplc="AD729754">
      <w:start w:val="1"/>
      <w:numFmt w:val="bullet"/>
      <w:lvlText w:val="●"/>
      <w:lvlJc w:val="left"/>
      <w:pPr>
        <w:ind w:left="5760" w:hanging="360"/>
      </w:pPr>
    </w:lvl>
    <w:lvl w:ilvl="8" w:tplc="1EAE52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BA0342"/>
    <w:multiLevelType w:val="hybridMultilevel"/>
    <w:tmpl w:val="3DD69486"/>
    <w:lvl w:ilvl="0" w:tplc="7408CAB6">
      <w:start w:val="1"/>
      <w:numFmt w:val="bullet"/>
      <w:lvlText w:val="•"/>
      <w:lvlJc w:val="left"/>
      <w:pPr>
        <w:ind w:left="720" w:hanging="360"/>
      </w:pPr>
    </w:lvl>
    <w:lvl w:ilvl="1" w:tplc="57141230">
      <w:numFmt w:val="decimal"/>
      <w:lvlText w:val=""/>
      <w:lvlJc w:val="left"/>
    </w:lvl>
    <w:lvl w:ilvl="2" w:tplc="3D126084">
      <w:numFmt w:val="decimal"/>
      <w:lvlText w:val=""/>
      <w:lvlJc w:val="left"/>
    </w:lvl>
    <w:lvl w:ilvl="3" w:tplc="11228A08">
      <w:numFmt w:val="decimal"/>
      <w:lvlText w:val=""/>
      <w:lvlJc w:val="left"/>
    </w:lvl>
    <w:lvl w:ilvl="4" w:tplc="E92CB912">
      <w:numFmt w:val="decimal"/>
      <w:lvlText w:val=""/>
      <w:lvlJc w:val="left"/>
    </w:lvl>
    <w:lvl w:ilvl="5" w:tplc="6026F03A">
      <w:numFmt w:val="decimal"/>
      <w:lvlText w:val=""/>
      <w:lvlJc w:val="left"/>
    </w:lvl>
    <w:lvl w:ilvl="6" w:tplc="7B7CD004">
      <w:numFmt w:val="decimal"/>
      <w:lvlText w:val=""/>
      <w:lvlJc w:val="left"/>
    </w:lvl>
    <w:lvl w:ilvl="7" w:tplc="DE40EDF4">
      <w:numFmt w:val="decimal"/>
      <w:lvlText w:val=""/>
      <w:lvlJc w:val="left"/>
    </w:lvl>
    <w:lvl w:ilvl="8" w:tplc="40B240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CE3"/>
    <w:rsid w:val="00016E71"/>
    <w:rsid w:val="00134B23"/>
    <w:rsid w:val="00182FC9"/>
    <w:rsid w:val="003309D3"/>
    <w:rsid w:val="006A7CEE"/>
    <w:rsid w:val="00792621"/>
    <w:rsid w:val="007F2CC2"/>
    <w:rsid w:val="009C0CE3"/>
    <w:rsid w:val="00B41F86"/>
    <w:rsid w:val="00C85324"/>
    <w:rsid w:val="00EB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0543"/>
  <w15:docId w15:val="{4547064D-9826-41A1-A7ED-E8D51DF4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92621"/>
    <w:pPr>
      <w:tabs>
        <w:tab w:val="center" w:pos="4680"/>
        <w:tab w:val="right" w:pos="9360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92621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792621"/>
    <w:pPr>
      <w:tabs>
        <w:tab w:val="center" w:pos="4680"/>
        <w:tab w:val="right" w:pos="9360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792621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2277</Words>
  <Characters>12984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Phul Kuri</cp:lastModifiedBy>
  <cp:revision>7</cp:revision>
  <dcterms:created xsi:type="dcterms:W3CDTF">2026-03-28T08:29:00Z</dcterms:created>
  <dcterms:modified xsi:type="dcterms:W3CDTF">2026-03-28T09:10:00Z</dcterms:modified>
</cp:coreProperties>
</file>