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6B2D8B"/>
          <w:sz w:val="30"/>
        </w:rPr>
        <w:t>Agentic AI for Healthcare Content Management:</w:t>
        <w:br/>
        <w:t>Automating Policy Intelligence at Scale</w:t>
      </w:r>
    </w:p>
    <w:p>
      <w:pPr>
        <w:spacing w:after="280"/>
        <w:jc w:val="center"/>
      </w:pPr>
      <w:r>
        <w:rPr>
          <w:color w:val="6B7B8D"/>
          <w:sz w:val="20"/>
        </w:rPr>
        <w:t>Sohith Kampalli  ·  Cotiviti Intern Assessment  ·  Topic 3: Content Management in Health Care</w:t>
      </w:r>
    </w:p>
    <w:p>
      <w:pPr>
        <w:spacing w:before="280" w:after="80"/>
      </w:pPr>
      <w:r>
        <w:rPr>
          <w:b/>
          <w:color w:val="6B2D8B"/>
          <w:sz w:val="26"/>
        </w:rPr>
        <w:t>Defining the Topic</w:t>
      </w:r>
    </w:p>
    <w:p>
      <w:pPr>
        <w:spacing w:after="120" w:before="0" w:line="320" w:lineRule="exact"/>
      </w:pPr>
      <w:r>
        <w:rPr>
          <w:rFonts w:ascii="Calibri" w:hAnsi="Calibri"/>
          <w:sz w:val="22"/>
        </w:rPr>
        <w:t>Content management in healthcare refers to the full lifecycle of structured and unstructured documents that govern clinical and financial decisions — including billing and coding policies, clinical practice guidelines, payer-provider contracts, and CMS coverage rules. These documents direct how providers submit claims, how payers adjudicate them, and how organizations maintain compliance with federal and state regulations. The challenge is not merely storing these documents but actively understanding, comparing, and operationalizing them. A single payer may publish hundreds of policy updates per year, each potentially altering prior authorization requirements, covered procedure codes, or documentation standards — changes that, if missed, result in claim denials, revenue leakage, and compliance exposure.</w:t>
      </w:r>
    </w:p>
    <w:p>
      <w:pPr>
        <w:spacing w:before="280" w:after="80"/>
      </w:pPr>
      <w:r>
        <w:rPr>
          <w:b/>
          <w:color w:val="6B2D8B"/>
          <w:sz w:val="26"/>
        </w:rPr>
        <w:t>Relevant Trends</w:t>
      </w:r>
    </w:p>
    <w:p>
      <w:pPr>
        <w:spacing w:after="120" w:before="0" w:line="320" w:lineRule="exact"/>
      </w:pPr>
      <w:r>
        <w:rPr>
          <w:rFonts w:ascii="Calibri" w:hAnsi="Calibri"/>
          <w:sz w:val="22"/>
        </w:rPr>
        <w:t>Three converging technology trends are reshaping how healthcare organizations manage policy content:</w:t>
      </w:r>
    </w:p>
    <w:p>
      <w:pPr>
        <w:pStyle w:val="ListBullet"/>
        <w:spacing w:after="60"/>
        <w:ind w:left="360"/>
      </w:pPr>
      <w:r>
        <w:rPr>
          <w:b/>
          <w:sz w:val="22"/>
        </w:rPr>
        <w:t xml:space="preserve">LLM Adoption in Healthcare: </w:t>
      </w:r>
      <w:r>
        <w:rPr>
          <w:sz w:val="22"/>
        </w:rPr>
        <w:t>Large language models (LLMs) such as Claude, GPT-4o, and Gemini now possess the capability to read, summarize, and reason over long-form policy documents with high accuracy. Applied to healthcare content, LLMs can extract structured business rules from natural language, compare policy versions, and answer specific billing questions with cited evidence.</w:t>
      </w:r>
    </w:p>
    <w:p>
      <w:pPr>
        <w:pStyle w:val="ListBullet"/>
        <w:spacing w:after="60"/>
        <w:ind w:left="360"/>
      </w:pPr>
      <w:r>
        <w:rPr>
          <w:b/>
          <w:sz w:val="22"/>
        </w:rPr>
        <w:t xml:space="preserve">Retrieval-Augmented Generation: </w:t>
      </w:r>
      <w:r>
        <w:rPr>
          <w:sz w:val="22"/>
        </w:rPr>
        <w:t>Retrieval-Augmented Generation (RAG) pipelines combine vector-based semantic search with LLM generation, allowing AI systems to ground answers in specific document sections rather than hallucinating from training data. This is critical in healthcare, where every decision must be traceable to a specific policy clause and page number.</w:t>
      </w:r>
    </w:p>
    <w:p>
      <w:pPr>
        <w:pStyle w:val="ListBullet"/>
        <w:spacing w:after="60"/>
        <w:ind w:left="360"/>
      </w:pPr>
      <w:r>
        <w:rPr>
          <w:b/>
          <w:sz w:val="22"/>
        </w:rPr>
        <w:t xml:space="preserve">Agentic AI Architectures: </w:t>
      </w:r>
      <w:r>
        <w:rPr>
          <w:sz w:val="22"/>
        </w:rPr>
        <w:t>Agentic AI architectures decompose complex workflows into specialized agents — intake, retrieval, comparison, rule extraction, and validation — that operate in sequence with shared context. This mirrors how healthcare operations teams already organize their functions and enables scalable automation without sacrificing auditability.</w:t>
      </w:r>
    </w:p>
    <w:p>
      <w:pPr>
        <w:spacing w:after="120" w:before="0" w:line="320" w:lineRule="exact"/>
      </w:pPr>
      <w:r>
        <w:rPr>
          <w:rFonts w:ascii="Calibri" w:hAnsi="Calibri"/>
          <w:sz w:val="22"/>
        </w:rPr>
        <w:t>According to a 2024 CAQH report, the U.S. healthcare industry processes over 11 billion administrative transactions annually. McKinsey estimates that $265 billion in annual healthcare spending is wasted on administrative complexity, of which automated content management could address a significant share (McKinsey &amp; Company, 2022).</w:t>
      </w:r>
    </w:p>
    <w:p>
      <w:pPr>
        <w:spacing w:after="0"/>
      </w:pPr>
      <w:r>
        <w:br w:type="page"/>
      </w:r>
    </w:p>
    <w:p>
      <w:pPr>
        <w:spacing w:before="280" w:after="80"/>
      </w:pPr>
      <w:r>
        <w:rPr>
          <w:b/>
          <w:color w:val="6B2D8B"/>
          <w:sz w:val="26"/>
        </w:rPr>
        <w:t>Opportunities</w:t>
      </w:r>
    </w:p>
    <w:p>
      <w:pPr>
        <w:pStyle w:val="ListBullet"/>
        <w:spacing w:after="60"/>
        <w:ind w:left="360"/>
      </w:pPr>
      <w:r>
        <w:rPr>
          <w:b/>
          <w:sz w:val="22"/>
        </w:rPr>
        <w:t xml:space="preserve">Analyst Productivity: </w:t>
      </w:r>
      <w:r>
        <w:rPr>
          <w:sz w:val="22"/>
        </w:rPr>
        <w:t>AI-powered policy Q&amp;A, rule extraction, and comparison engines can reduce the time analysts spend on manual policy review from hours to seconds — freeing clinical and coding staff for higher-value work.</w:t>
      </w:r>
    </w:p>
    <w:p>
      <w:pPr>
        <w:pStyle w:val="ListBullet"/>
        <w:spacing w:after="60"/>
        <w:ind w:left="360"/>
      </w:pPr>
      <w:r>
        <w:rPr>
          <w:b/>
          <w:sz w:val="22"/>
        </w:rPr>
        <w:t xml:space="preserve">Real-Time Policy Monitoring: </w:t>
      </w:r>
      <w:r>
        <w:rPr>
          <w:sz w:val="22"/>
        </w:rPr>
        <w:t>Automated comparison of consecutive policy versions with risk scoring (High / Medium / Low) enables organizations to detect critical changes — such as new prior authorization mandates or billing documentation requirements — before they affect claim outcomes.</w:t>
      </w:r>
    </w:p>
    <w:p>
      <w:pPr>
        <w:pStyle w:val="ListBullet"/>
        <w:spacing w:after="60"/>
        <w:ind w:left="360"/>
      </w:pPr>
      <w:r>
        <w:rPr>
          <w:b/>
          <w:sz w:val="22"/>
        </w:rPr>
        <w:t xml:space="preserve">Automated Rule Engineering: </w:t>
      </w:r>
      <w:r>
        <w:rPr>
          <w:sz w:val="22"/>
        </w:rPr>
        <w:t>Converting written policy text into structured, machine-readable business rules creates a foundation for real-time, automated claims pre-adjudication — reducing denial rates at the point of submission rather than after the fact.</w:t>
      </w:r>
    </w:p>
    <w:p>
      <w:pPr>
        <w:pStyle w:val="ListBullet"/>
        <w:spacing w:after="60"/>
        <w:ind w:left="360"/>
      </w:pPr>
      <w:r>
        <w:rPr>
          <w:b/>
          <w:sz w:val="22"/>
        </w:rPr>
        <w:t xml:space="preserve">Compliance and Audit Readiness: </w:t>
      </w:r>
      <w:r>
        <w:rPr>
          <w:sz w:val="22"/>
        </w:rPr>
        <w:t>A unified, citation-grounded platform creates a defensible audit trail for every AI-assisted decision, supporting compliance with CMS regulations, HIPAA requirements, and internal QA standards without additional manual documentation.</w:t>
      </w:r>
    </w:p>
    <w:p>
      <w:pPr>
        <w:spacing w:before="280" w:after="80"/>
      </w:pPr>
      <w:r>
        <w:rPr>
          <w:b/>
          <w:color w:val="6B2D8B"/>
          <w:sz w:val="26"/>
        </w:rPr>
        <w:t>Threats</w:t>
      </w:r>
    </w:p>
    <w:p>
      <w:pPr>
        <w:pStyle w:val="ListBullet"/>
        <w:spacing w:after="60"/>
        <w:ind w:left="360"/>
      </w:pPr>
      <w:r>
        <w:rPr>
          <w:b/>
          <w:sz w:val="22"/>
        </w:rPr>
        <w:t xml:space="preserve">Hallucination Risk: </w:t>
      </w:r>
      <w:r>
        <w:rPr>
          <w:sz w:val="22"/>
        </w:rPr>
        <w:t>LLMs can produce plausible but incorrect answers when policy documents are ambiguous or incomplete. Without explicit grounding mechanisms — relevance thresholds, hallucination guards, and confidence scoring — AI outputs can introduce errors into clinical and financial workflows.</w:t>
      </w:r>
    </w:p>
    <w:p>
      <w:pPr>
        <w:pStyle w:val="ListBullet"/>
        <w:spacing w:after="60"/>
        <w:ind w:left="360"/>
      </w:pPr>
      <w:r>
        <w:rPr>
          <w:b/>
          <w:sz w:val="22"/>
        </w:rPr>
        <w:t xml:space="preserve">Data Privacy and Compliance: </w:t>
      </w:r>
      <w:r>
        <w:rPr>
          <w:sz w:val="22"/>
        </w:rPr>
        <w:t>Healthcare AI systems that process payer contracts and billing policies may touch PHI-adjacent data. Deployment must account for data residency, access controls, and HIPAA compliance at every layer of the stack.</w:t>
      </w:r>
    </w:p>
    <w:p>
      <w:pPr>
        <w:pStyle w:val="ListBullet"/>
        <w:spacing w:after="60"/>
        <w:ind w:left="360"/>
      </w:pPr>
      <w:r>
        <w:rPr>
          <w:b/>
          <w:sz w:val="22"/>
        </w:rPr>
        <w:t xml:space="preserve">Vendor Dependency: </w:t>
      </w:r>
      <w:r>
        <w:rPr>
          <w:sz w:val="22"/>
        </w:rPr>
        <w:t>Dependence on external LLM providers (Anthropic, OpenAI, Google) introduces pricing volatility, potential service interruptions, and vendor lock-in risk. Organizations must abstract over providers rather than hard-coding any single API.</w:t>
      </w:r>
    </w:p>
    <w:p>
      <w:pPr>
        <w:spacing w:before="280" w:after="80"/>
      </w:pPr>
      <w:r>
        <w:rPr>
          <w:b/>
          <w:color w:val="6B2D8B"/>
          <w:sz w:val="26"/>
        </w:rPr>
        <w:t>Strategic Recommendations for Cotiviti</w:t>
      </w:r>
    </w:p>
    <w:p>
      <w:pPr>
        <w:spacing w:after="120" w:before="0" w:line="320" w:lineRule="exact"/>
      </w:pPr>
      <w:r>
        <w:rPr>
          <w:rFonts w:ascii="Calibri" w:hAnsi="Calibri"/>
          <w:sz w:val="22"/>
        </w:rPr>
        <w:t>Based on this analysis, three strategic investments would position Cotiviti at the forefront of AI-powered healthcare content management:</w:t>
      </w:r>
    </w:p>
    <w:p>
      <w:pPr>
        <w:pStyle w:val="ListBullet"/>
        <w:spacing w:after="60"/>
        <w:ind w:left="360"/>
      </w:pPr>
      <w:r>
        <w:rPr>
          <w:b/>
          <w:sz w:val="22"/>
        </w:rPr>
        <w:t xml:space="preserve">Build a Policy Intelligence Platform: </w:t>
      </w:r>
      <w:r>
        <w:rPr>
          <w:sz w:val="22"/>
        </w:rPr>
        <w:t>Deploy an internal Policy Intelligence Platform — a RAG-based system that indexes Cotiviti's full payer policy library and enables analysts to query, compare, and extract rules from thousands of documents through a natural-language interface with full audit logging. This directly reduces manual research time across TPO workflows.</w:t>
      </w:r>
    </w:p>
    <w:p>
      <w:pPr>
        <w:pStyle w:val="ListBullet"/>
        <w:spacing w:after="60"/>
        <w:ind w:left="360"/>
      </w:pPr>
      <w:r>
        <w:rPr>
          <w:b/>
          <w:sz w:val="22"/>
        </w:rPr>
        <w:t xml:space="preserve">Automate Policy Change Monitoring: </w:t>
      </w:r>
      <w:r>
        <w:rPr>
          <w:sz w:val="22"/>
        </w:rPr>
        <w:t>Invest in automated policy monitoring pipelines that ingest payer policy updates on a scheduled or event-driven basis, run automated version comparison with risk scoring, and route high-risk changes to the appropriate clinical or coding team for review. This transforms reactive policy tracking into proactive change management.</w:t>
      </w:r>
    </w:p>
    <w:p>
      <w:pPr>
        <w:pStyle w:val="ListBullet"/>
        <w:spacing w:after="60"/>
        <w:ind w:left="360"/>
      </w:pPr>
      <w:r>
        <w:rPr>
          <w:b/>
          <w:sz w:val="22"/>
        </w:rPr>
        <w:t xml:space="preserve">Develop a Domain-Specific Clinical LLM: </w:t>
      </w:r>
      <w:r>
        <w:rPr>
          <w:sz w:val="22"/>
        </w:rPr>
        <w:t>Fine-tune a clinical domain LLM on Cotiviti's proprietary audit and adjudication data to achieve higher precision on TPO-specific terminology, edge-case billing scenarios, and payer-specific coverage nuances — creating a proprietary model that competitors cannot replicate.</w:t>
      </w:r>
    </w:p>
    <w:p>
      <w:pPr>
        <w:spacing w:after="120" w:before="0" w:line="320" w:lineRule="exact"/>
      </w:pPr>
      <w:r>
        <w:rPr>
          <w:rFonts w:ascii="Calibri" w:hAnsi="Calibri"/>
          <w:sz w:val="22"/>
        </w:rPr>
        <w:t>These three investments build on each other: the platform creates the infrastructure, automated monitoring operationalizes it at scale, and a fine-tuned model maximizes accuracy within Cotiviti's unique domain. Together they represent a defensible, compounding competitive advantage in healthcare content intelligence.</w:t>
      </w:r>
    </w:p>
    <w:p>
      <w:pPr>
        <w:spacing w:after="0"/>
      </w:pPr>
      <w:r>
        <w:br w:type="page"/>
      </w:r>
    </w:p>
    <w:p>
      <w:pPr>
        <w:spacing w:after="320"/>
        <w:jc w:val="center"/>
      </w:pPr>
      <w:r>
        <w:rPr>
          <w:b/>
          <w:color w:val="6B2D8B"/>
          <w:sz w:val="26"/>
        </w:rPr>
        <w:t>References</w:t>
      </w:r>
    </w:p>
    <w:p>
      <w:pPr>
        <w:spacing w:after="100" w:before="0"/>
        <w:ind w:hanging="360" w:left="360"/>
      </w:pPr>
      <w:r>
        <w:rPr>
          <w:sz w:val="22"/>
        </w:rPr>
        <w:t>CAQH. (2024). 2024 CAQH index: Closing the gap — the industry's opportunity to reduce administrative burden in healthcare. Council for Affordable Quality Healthcare. https://www.caqh.org/insights/caqh-index</w:t>
      </w:r>
    </w:p>
    <w:p>
      <w:pPr>
        <w:spacing w:after="100" w:before="0"/>
        <w:ind w:hanging="360" w:left="360"/>
      </w:pPr>
      <w:r>
        <w:rPr>
          <w:sz w:val="22"/>
        </w:rPr>
        <w:t>McKinsey &amp; Company. (2022, October). Capturing the value of healthcare digitization. McKinsey &amp; Company. https://www.mckinsey.com/industries/healthcare/our-insights/capturing-the-value-of-healthcare-digitization</w:t>
      </w:r>
    </w:p>
    <w:p>
      <w:pPr>
        <w:spacing w:after="100" w:before="0"/>
        <w:ind w:hanging="360" w:left="360"/>
      </w:pPr>
      <w:r>
        <w:rPr>
          <w:sz w:val="22"/>
        </w:rPr>
        <w:t>Sezgin, E. (2023). Artificial intelligence in healthcare: Complementing, not replacing, doctors and healthcare providers. Digital Health, 9, 1–4. https://doi.org/10.1177/20552076231186520</w:t>
      </w:r>
    </w:p>
    <w:p>
      <w:pPr>
        <w:spacing w:after="100" w:before="0"/>
        <w:ind w:hanging="360" w:left="360"/>
      </w:pPr>
      <w:r>
        <w:rPr>
          <w:sz w:val="22"/>
        </w:rPr>
        <w:t>Singhal, K., Azizi, S., Tu, T., Mahdavi, S. S., Wei, J., Chung, H. W., Scales, N., Tanwani, A., Cole-Lewis, H., Pfohl, S., Payne, P., Seneviratne, M., Gamble, P., Kelly, C., Babiker, A., Schärli, N., Chowdhery, A., Mansfield, P., Demner-Fushman, D., … Natarajan, V. (2023). Large language models encode clinical knowledge. Nature, 620, 172–180. https://doi.org/10.1038/s41586-023-06291-2</w:t>
      </w:r>
    </w:p>
    <w:p>
      <w:pPr>
        <w:spacing w:after="100" w:before="0"/>
        <w:ind w:hanging="360" w:left="360"/>
      </w:pPr>
      <w:r>
        <w:rPr>
          <w:sz w:val="22"/>
        </w:rPr>
        <w:t>Lewis, P., Perez, E., Piktus, A., Petroni, F., Karpukhin, V., Goyal, N., Küttler, H., Lewis, M., Yih, W., Rocktäschel, T., Riedel, S., &amp; Kiela, D. (2020). Retrieval-augmented generation for knowledge-intensive NLP tasks. Advances in Neural Information Processing Systems, 33, 9459–9474. https://doi.org/10.48550/arXiv.2005.11401</w:t>
      </w:r>
    </w:p>
    <w:p>
      <w:pPr>
        <w:spacing w:after="100" w:before="0"/>
        <w:ind w:hanging="360" w:left="360"/>
      </w:pPr>
      <w:r>
        <w:rPr>
          <w:sz w:val="22"/>
        </w:rPr>
        <w:t>Centers for Medicare &amp; Medicaid Services. (2024). CMS Medicare coverage policies. U.S. Department of Health and Human Services. https://www.cms.gov/medicare-coverage-database</w:t>
      </w:r>
    </w:p>
    <w:p>
      <w:pPr>
        <w:spacing w:after="100" w:before="0"/>
        <w:ind w:hanging="360" w:left="360"/>
      </w:pPr>
      <w:r>
        <w:rPr>
          <w:sz w:val="22"/>
        </w:rPr>
        <w:t>Nori, H., King, N., McKinney, S. M., Carignan, D., &amp; Horvitz, E. (2023). Capabilities of GPT-4 on medical challenge problems. arXiv preprint. https://doi.org/10.48550/arXiv.2303.13375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