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2D8B"/>
          <w:sz w:val="56"/>
        </w:rPr>
        <w:t>IntelliPolicy AI</w:t>
      </w:r>
    </w:p>
    <w:p>
      <w:pPr>
        <w:jc w:val="center"/>
      </w:pPr>
      <w:r>
        <w:rPr>
          <w:sz w:val="28"/>
        </w:rPr>
        <w:t>Intelligent Healthcare Policy Analysis Platform</w:t>
      </w:r>
    </w:p>
    <w:p>
      <w:pPr>
        <w:jc w:val="center"/>
      </w:pPr>
      <w:r>
        <w:rPr>
          <w:sz w:val="20"/>
        </w:rPr>
        <w:t>Cotiviti Software Engineer Intern Assessment  ·  June 30, 2026</w:t>
        <w:br/>
        <w:t>Submitted by: Sohith Kampalli  ·  sohithkampalli@gmail.com</w:t>
        <w:br/>
        <w:t>Submitted to: jesus.hurtado@cotiviti.com</w:t>
      </w:r>
    </w:p>
    <w:p>
      <w:r>
        <w:br w:type="page"/>
      </w:r>
    </w:p>
    <w:p>
      <w:pPr>
        <w:pStyle w:val="Heading1"/>
      </w:pPr>
      <w:r>
        <w:rPr>
          <w:color w:val="6B2D8B"/>
        </w:rPr>
        <w:t>1. Executive Summary</w:t>
      </w:r>
    </w:p>
    <w:p>
      <w:pPr>
        <w:spacing w:after="160"/>
      </w:pPr>
      <w:r>
        <w:t>IntelliPolicy AI is a full-stack, production-deployed healthcare policy intelligence platform built as a Cotiviti internship technical assessment. The system transforms static PDF policy manuals into an interactive, AI-driven knowledge base that answers coverage questions, extracts structured business rules, compares policy versions, validates insurance claims, and maintains a full audit trail of every decision.</w:t>
      </w:r>
    </w:p>
    <w:p>
      <w:pPr>
        <w:spacing w:after="160"/>
      </w:pPr>
      <w:r>
        <w:t>The platform employs a five-agent architecture orchestrated over a FastAPI backend. Each agent is a specialised Python module responsible for a distinct pipeline stage: document ingestion, hybrid vector retrieval, LLM-powered question answering, policy comparison, and rule-based claims validation. The frontend is a Next.js 14 single-page application deployed on Vercel; the backend runs in a Docker container on Railway.</w:t>
      </w:r>
    </w:p>
    <w:p>
      <w:pPr>
        <w:pStyle w:val="Heading1"/>
      </w:pPr>
      <w:r>
        <w:rPr>
          <w:color w:val="6B2D8B"/>
        </w:rPr>
        <w:t>2. Problem Statement</w:t>
      </w:r>
    </w:p>
    <w:p>
      <w:pPr>
        <w:spacing w:after="160"/>
      </w:pPr>
      <w:r>
        <w:t>Healthcare policy administration involves several compounding inefficiencies that IntelliPolicy AI was designed to address:</w:t>
      </w:r>
    </w:p>
    <w:p>
      <w:pPr>
        <w:spacing w:after="120"/>
        <w:ind w:left="360"/>
      </w:pPr>
      <w:r>
        <w:rPr>
          <w:b/>
          <w:color w:val="6B2D8B"/>
        </w:rPr>
        <w:t xml:space="preserve">Manual Policy Review: </w:t>
      </w:r>
      <w:r>
        <w:t>Clinical analysts spend 60–80% of their time reading multi-hundred-page PDF policy manuals to answer single coverage questions, leading to high labour costs and inconsistent interpretations across staff.</w:t>
      </w:r>
    </w:p>
    <w:p>
      <w:pPr>
        <w:spacing w:after="120"/>
        <w:ind w:left="360"/>
      </w:pPr>
      <w:r>
        <w:rPr>
          <w:b/>
          <w:color w:val="6B2D8B"/>
        </w:rPr>
        <w:t xml:space="preserve">Slow Prior-Authorization Cycles: </w:t>
      </w:r>
      <w:r>
        <w:t>Cross-referencing multiple policy versions to determine whether a procedure requires prior authorisation typically takes 3–5 business days, delaying patient care.</w:t>
      </w:r>
    </w:p>
    <w:p>
      <w:pPr>
        <w:spacing w:after="120"/>
        <w:ind w:left="360"/>
      </w:pPr>
      <w:r>
        <w:rPr>
          <w:b/>
          <w:color w:val="6B2D8B"/>
        </w:rPr>
        <w:t xml:space="preserve">Version Drift Risk: </w:t>
      </w:r>
      <w:r>
        <w:t>Healthcare organisations manage 10–50 active policy versions simultaneously. Detecting changes between annual or quarterly revisions is fully manual, creating coverage-gap and compliance risk.</w:t>
      </w:r>
    </w:p>
    <w:p>
      <w:pPr>
        <w:spacing w:after="120"/>
        <w:ind w:left="360"/>
      </w:pPr>
      <w:r>
        <w:rPr>
          <w:b/>
          <w:color w:val="6B2D8B"/>
        </w:rPr>
        <w:t xml:space="preserve">Absence of Audit Trails: </w:t>
      </w:r>
      <w:r>
        <w:t>Existing workflows produce no structured record of which policy evidence supported a coverage decision, exposing organisations to appeal and regulatory liability.</w:t>
      </w:r>
    </w:p>
    <w:p>
      <w:pPr>
        <w:pStyle w:val="Heading1"/>
      </w:pPr>
      <w:r>
        <w:rPr>
          <w:color w:val="6B2D8B"/>
        </w:rPr>
        <w:t>3. System Architecture</w:t>
      </w:r>
    </w:p>
    <w:p>
      <w:pPr>
        <w:pStyle w:val="Heading2"/>
      </w:pPr>
      <w:r>
        <w:rPr>
          <w:color w:val="6B2D8B"/>
        </w:rPr>
        <w:t>3.1 High-Level Overview</w:t>
      </w:r>
    </w:p>
    <w:p>
      <w:pPr>
        <w:spacing w:after="160"/>
      </w:pPr>
      <w:r>
        <w:t>The platform follows a three-tier architecture: a Next.js 14 frontend communicates with a FastAPI backend via a RESTful JSON API. The backend manages five specialised agents, a shared in-memory vector store, and a persisted LLM configuration file.</w:t>
      </w:r>
    </w:p>
    <w:p>
      <w:pPr>
        <w:pStyle w:val="Heading2"/>
      </w:pPr>
      <w:r>
        <w:rPr>
          <w:color w:val="6B2D8B"/>
        </w:rPr>
        <w:t>3.2 Document Ingestion Pipeline</w:t>
      </w:r>
    </w:p>
    <w:p>
      <w:pPr>
        <w:spacing w:after="160"/>
      </w:pPr>
      <w:r>
        <w:t>When a PDF is uploaded, the Intake Agent extracts text using pdfplumber, which preserves layout metadata including page numbers and column structure. The text is segmented into 512-token chunks with a 64-token sliding overlap to preserve inter-sentence context. Each chunk is embedded using the BAAI/bge-small-en-v1.5 sentence-transformer model, producing a 384-dimensional dense vector. Vectors are stored in an InMemoryVectorStore alongside metadata (document_id, page_number, document_name, relevance_score).</w:t>
      </w:r>
    </w:p>
    <w:p>
      <w:pPr>
        <w:spacing w:after="160"/>
      </w:pPr>
      <w:r>
        <w:t>To eliminate cold-start latency, the BAAI model is pre-downloaded into the Docker image at build time and pre-warmed during FastAPI's lifespan startup hook. This ensures the first query after deployment is as fast as all subsequent queries.</w:t>
      </w:r>
    </w:p>
    <w:p>
      <w:pPr>
        <w:pStyle w:val="Heading2"/>
      </w:pPr>
      <w:r>
        <w:rPr>
          <w:color w:val="6B2D8B"/>
        </w:rPr>
        <w:t>3.3 Retrieval-Augmented Generation (RAG) Pipeline</w:t>
      </w:r>
    </w:p>
    <w:p>
      <w:pPr>
        <w:spacing w:after="100"/>
        <w:ind w:left="360"/>
      </w:pPr>
      <w:r>
        <w:rPr>
          <w:b/>
        </w:rPr>
        <w:t xml:space="preserve">Step 1 — Query Analysis: </w:t>
      </w:r>
      <w:r>
        <w:t>Incoming question keywords are extracted, stopwords removed, and the question classified as overview-type or specific-type to tune retrieval depth (top_k=20 for overviews, top_k=10 for specific queries).</w:t>
      </w:r>
    </w:p>
    <w:p>
      <w:pPr>
        <w:spacing w:after="100"/>
        <w:ind w:left="360"/>
      </w:pPr>
      <w:r>
        <w:rPr>
          <w:b/>
        </w:rPr>
        <w:t xml:space="preserve">Step 2 — Hybrid Retrieval: </w:t>
      </w:r>
      <w:r>
        <w:t>Cosine similarity search (semantic) is fused with BM25 keyword scoring in a 70/30 ratio to balance semantic recall with exact-term precision.</w:t>
      </w:r>
    </w:p>
    <w:p>
      <w:pPr>
        <w:spacing w:after="100"/>
        <w:ind w:left="360"/>
      </w:pPr>
      <w:r>
        <w:rPr>
          <w:b/>
        </w:rPr>
        <w:t xml:space="preserve">Step 3 — Reranking: </w:t>
      </w:r>
      <w:r>
        <w:t>The top-10 fused results are reranked and trimmed to 5 chunks using a relevance threshold of 0.35.</w:t>
      </w:r>
    </w:p>
    <w:p>
      <w:pPr>
        <w:spacing w:after="100"/>
        <w:ind w:left="360"/>
      </w:pPr>
      <w:r>
        <w:rPr>
          <w:b/>
        </w:rPr>
        <w:t xml:space="preserve">Step 4 — Sentence Filtering: </w:t>
      </w:r>
      <w:r>
        <w:t>Each chunk is split into sentences. A two-stage filter removes: (a) table-of-contents entries and run-on section-number lines detected by _TOC_RUNON_PAT, and (b) boilerplate sentences (transmittal headers, contact information, revision-history lines) matched by _BOILERPLATE_PAT.</w:t>
      </w:r>
    </w:p>
    <w:p>
      <w:pPr>
        <w:spacing w:after="100"/>
        <w:ind w:left="360"/>
      </w:pPr>
      <w:r>
        <w:rPr>
          <w:b/>
        </w:rPr>
        <w:t xml:space="preserve">Step 5 — LLM Generation: </w:t>
      </w:r>
      <w:r>
        <w:t>The 3–5 filtered, sentence-scored chunks are assembled into a structured prompt. The prompt enforces required answer openers ('The document states…', 'The uploaded document does not explicitly mention this…') and forbids hallucinating prior-authorisation requirements unless the evidence explicitly uses those words.</w:t>
      </w:r>
    </w:p>
    <w:p>
      <w:pPr>
        <w:spacing w:after="100"/>
        <w:ind w:left="360"/>
      </w:pPr>
      <w:r>
        <w:rPr>
          <w:b/>
        </w:rPr>
        <w:t xml:space="preserve">Step 6 — Structured Response: </w:t>
      </w:r>
      <w:r>
        <w:t>The LLM returns a JSON object with: answer, key_points, confidence, confidence_label (High/Medium/Low), evidence, supporting_evidence (document + page + quote), recommended_action, follow_up_questions, and reasoning_steps.</w:t>
      </w:r>
    </w:p>
    <w:p>
      <w:pPr>
        <w:pStyle w:val="Heading1"/>
      </w:pPr>
      <w:r>
        <w:rPr>
          <w:color w:val="6B2D8B"/>
        </w:rPr>
        <w:t>4. Platform Features</w:t>
      </w:r>
    </w:p>
    <w:p>
      <w:pPr>
        <w:pStyle w:val="Heading2"/>
      </w:pPr>
      <w:r>
        <w:rPr>
          <w:color w:val="6B2D8B"/>
        </w:rPr>
        <w:t>4.1 Document Upload &amp; Ingestion</w:t>
      </w:r>
    </w:p>
    <w:p>
      <w:pPr>
        <w:spacing w:after="160"/>
      </w:pPr>
      <w:r>
        <w:t>The Upload Documents page accepts PDF files up to 50 MB. Files are processed server-side via the /upload endpoint, which invokes the Intake Agent. The UI displays chunk count, page count, and document status. Six sample policy documents are bundled with the deployment and can be loaded without a file upload.</w:t>
      </w:r>
    </w:p>
    <w:p>
      <w:pPr>
        <w:pStyle w:val="Heading2"/>
      </w:pPr>
      <w:r>
        <w:rPr>
          <w:color w:val="6B2D8B"/>
        </w:rPr>
        <w:t>4.2 AI Assistant</w:t>
      </w:r>
    </w:p>
    <w:p>
      <w:pPr>
        <w:spacing w:after="160"/>
      </w:pPr>
      <w:r>
        <w:t>The AI Assistant accepts natural-language questions and returns grounded, citation-backed answers. The interface displays: the structured answer with required opener, confidence badge (High/Medium/Low), key-points bullets, page-level citations with relevance scores, recommended next action, and AI reasoning steps. Without an LLM API key the system falls back to extractive QA using sentence scoring, which is fully functional for most queries.</w:t>
      </w:r>
    </w:p>
    <w:p>
      <w:pPr>
        <w:pStyle w:val="Heading2"/>
      </w:pPr>
      <w:r>
        <w:rPr>
          <w:color w:val="6B2D8B"/>
        </w:rPr>
        <w:t>4.3 Policy Compare</w:t>
      </w:r>
    </w:p>
    <w:p>
      <w:pPr>
        <w:spacing w:after="160"/>
      </w:pPr>
      <w:r>
        <w:t>The Policy Compare feature accepts two document IDs and invokes the Comparison Agent. The agent retrieves the top 15 chunks from each document and sends them to the LLM with a structured diff prompt. Each detected change is returned as a PolicyChange object with: area, old_value, new_value, impact description, risk_level (High/Medium/Low), and change_type (Added/Modified/Removed). A summary card shows total changes and high-risk count.</w:t>
      </w:r>
    </w:p>
    <w:p>
      <w:pPr>
        <w:pStyle w:val="Heading2"/>
      </w:pPr>
      <w:r>
        <w:rPr>
          <w:color w:val="6B2D8B"/>
        </w:rPr>
        <w:t>4.4 Rule Extraction</w:t>
      </w:r>
    </w:p>
    <w:p>
      <w:pPr>
        <w:spacing w:after="160"/>
      </w:pPr>
      <w:r>
        <w:t>The Rule Extraction engine processes raw policy text or an indexed document and returns structured BusinessRule objects. Each rule includes: procedure name, CPT code, ICD code, plan type, prior-authorisation flag, documentation requirements, authorization timing, emergency exception window, source page, confidence score, and rule type. Twelve rule types are supported: Prior Authorization, Billing, Coverage, Documentation, Provider Restriction, Supervision, Coding, Frequency Limits, Time Windows, Eligibility, Exceptions, and Prohibitions. Rules are deduplicated by CPT-key and actor+restriction fingerprinting. IF/THEN logic is auto-generated from actor, restriction, and allowed_action fields for human-readable validation display.</w:t>
      </w:r>
    </w:p>
    <w:p>
      <w:pPr>
        <w:pStyle w:val="Heading2"/>
      </w:pPr>
      <w:r>
        <w:rPr>
          <w:color w:val="6B2D8B"/>
        </w:rPr>
        <w:t>4.5 Claims Validator</w:t>
      </w:r>
    </w:p>
    <w:p>
      <w:pPr>
        <w:spacing w:after="160"/>
      </w:pPr>
      <w:r>
        <w:t>The Claims Validator accepts CPT code, ICD-10 diagnosis code, plan type, procedure name, and service date. Validation proceeds in two stages: first a rule-store lookup for a CPT/plan-type match, then a RAG document fallback if no rule is found. The decision engine returns: Approved, Denied, or Needs Review, with reason, policy_source, source_page, confidence score, missing_info list, and next_steps. Every validation is written to the claim audit store. The Claims Validator is integrated with Rule Extraction via URL search params: clicking 'Send to Claims Validator' from the rules page pre-fills cpt_code, procedure, and plan_type fields automatically.</w:t>
      </w:r>
    </w:p>
    <w:p>
      <w:pPr>
        <w:pStyle w:val="Heading2"/>
      </w:pPr>
      <w:r>
        <w:rPr>
          <w:color w:val="6B2D8B"/>
        </w:rPr>
        <w:t>4.6 Audit Trail</w:t>
      </w:r>
    </w:p>
    <w:p>
      <w:pPr>
        <w:spacing w:after="160"/>
      </w:pPr>
      <w:r>
        <w:t>Every AI Assistant query creates an AuditRecord in the server-side audit_store. Each record contains: session_id, question, list of retrieved page numbers, reasoning_summary, final_answer, confidence score, source citations (with page numbers and verbatim text), and a timestamped steps array covering every pipeline stage from Intake through LLM Generation. The Audit Trail page displays the 50 most recent records with full expandable detail for compliance review and decision appeal support.</w:t>
      </w:r>
    </w:p>
    <w:p>
      <w:pPr>
        <w:pStyle w:val="Heading1"/>
      </w:pPr>
      <w:r>
        <w:rPr>
          <w:color w:val="6B2D8B"/>
        </w:rPr>
        <w:t>5. Technical Implementation Details</w:t>
      </w:r>
    </w:p>
    <w:p>
      <w:pPr>
        <w:pStyle w:val="Heading2"/>
      </w:pPr>
      <w:r>
        <w:rPr>
          <w:color w:val="6B2D8B"/>
        </w:rPr>
        <w:t>5.1 Frontend</w:t>
      </w:r>
    </w:p>
    <w:tbl>
      <w:tblPr>
        <w:tblStyle w:val="TableGrid"/>
        <w:tblW w:type="auto" w:w="0"/>
        <w:tblLook w:firstColumn="1" w:firstRow="1" w:lastColumn="0" w:lastRow="0" w:noHBand="0" w:noVBand="1" w:val="04A0"/>
      </w:tblPr>
      <w:tblGrid>
        <w:gridCol w:w="2880"/>
        <w:gridCol w:w="2880"/>
        <w:gridCol w:w="2880"/>
      </w:tblGrid>
      <w:tr>
        <w:tc>
          <w:tcPr>
            <w:tcW w:type="dxa" w:w="2880"/>
            <w:shd w:fill="6B2D8B" w:color="auto" w:val="clear"/>
          </w:tcPr>
          <w:p>
            <w:r>
              <w:rPr>
                <w:b/>
                <w:color w:val="FFFFFF"/>
              </w:rPr>
              <w:t>Technology</w:t>
            </w:r>
          </w:p>
        </w:tc>
        <w:tc>
          <w:tcPr>
            <w:tcW w:type="dxa" w:w="2880"/>
            <w:shd w:fill="6B2D8B" w:color="auto" w:val="clear"/>
          </w:tcPr>
          <w:p>
            <w:r>
              <w:rPr>
                <w:b/>
                <w:color w:val="FFFFFF"/>
              </w:rPr>
              <w:t>Version</w:t>
            </w:r>
          </w:p>
        </w:tc>
        <w:tc>
          <w:tcPr>
            <w:tcW w:type="dxa" w:w="2880"/>
            <w:shd w:fill="6B2D8B" w:color="auto" w:val="clear"/>
          </w:tcPr>
          <w:p>
            <w:r>
              <w:rPr>
                <w:b/>
                <w:color w:val="FFFFFF"/>
              </w:rPr>
              <w:t>Purpose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Next.js</w:t>
            </w:r>
          </w:p>
        </w:tc>
        <w:tc>
          <w:tcPr>
            <w:tcW w:type="dxa" w:w="2880"/>
          </w:tcPr>
          <w:p>
            <w:r>
              <w:t>14 (App Router)</w:t>
            </w:r>
          </w:p>
        </w:tc>
        <w:tc>
          <w:tcPr>
            <w:tcW w:type="dxa" w:w="2880"/>
          </w:tcPr>
          <w:p>
            <w:r>
              <w:t>Full-stack React framework, RSC + client components</w:t>
            </w:r>
          </w:p>
        </w:tc>
      </w:tr>
      <w:tr>
        <w:tc>
          <w:tcPr>
            <w:tcW w:type="dxa" w:w="2880"/>
          </w:tcPr>
          <w:p>
            <w:r>
              <w:t>Tailwind CSS</w:t>
            </w:r>
          </w:p>
        </w:tc>
        <w:tc>
          <w:tcPr>
            <w:tcW w:type="dxa" w:w="2880"/>
          </w:tcPr>
          <w:p>
            <w:r>
              <w:t>3.x</w:t>
            </w:r>
          </w:p>
        </w:tc>
        <w:tc>
          <w:tcPr>
            <w:tcW w:type="dxa" w:w="2880"/>
          </w:tcPr>
          <w:p>
            <w:r>
              <w:t>Utility-first CSS, cascade layer architecture</w:t>
            </w:r>
          </w:p>
        </w:tc>
      </w:tr>
      <w:tr>
        <w:tc>
          <w:tcPr>
            <w:tcW w:type="dxa" w:w="2880"/>
          </w:tcPr>
          <w:p>
            <w:r>
              <w:t>Framer Motion</w:t>
            </w:r>
          </w:p>
        </w:tc>
        <w:tc>
          <w:tcPr>
            <w:tcW w:type="dxa" w:w="2880"/>
          </w:tcPr>
          <w:p>
            <w:r>
              <w:t>11.x</w:t>
            </w:r>
          </w:p>
        </w:tc>
        <w:tc>
          <w:tcPr>
            <w:tcW w:type="dxa" w:w="2880"/>
          </w:tcPr>
          <w:p>
            <w:r>
              <w:t>Page transitions, card animations, AnimatePresence</w:t>
            </w:r>
          </w:p>
        </w:tc>
      </w:tr>
      <w:tr>
        <w:tc>
          <w:tcPr>
            <w:tcW w:type="dxa" w:w="2880"/>
          </w:tcPr>
          <w:p>
            <w:r>
              <w:t>TypeScript</w:t>
            </w:r>
          </w:p>
        </w:tc>
        <w:tc>
          <w:tcPr>
            <w:tcW w:type="dxa" w:w="2880"/>
          </w:tcPr>
          <w:p>
            <w:r>
              <w:t>5.x</w:t>
            </w:r>
          </w:p>
        </w:tc>
        <w:tc>
          <w:tcPr>
            <w:tcW w:type="dxa" w:w="2880"/>
          </w:tcPr>
          <w:p>
            <w:r>
              <w:t>Full type safety across all components and API calls</w:t>
            </w:r>
          </w:p>
        </w:tc>
      </w:tr>
      <w:tr>
        <w:tc>
          <w:tcPr>
            <w:tcW w:type="dxa" w:w="2880"/>
          </w:tcPr>
          <w:p>
            <w:r>
              <w:t>Lucide React</w:t>
            </w:r>
          </w:p>
        </w:tc>
        <w:tc>
          <w:tcPr>
            <w:tcW w:type="dxa" w:w="2880"/>
          </w:tcPr>
          <w:p>
            <w:r>
              <w:t>0.x</w:t>
            </w:r>
          </w:p>
        </w:tc>
        <w:tc>
          <w:tcPr>
            <w:tcW w:type="dxa" w:w="2880"/>
          </w:tcPr>
          <w:p>
            <w:r>
              <w:t>Consistent icon system</w:t>
            </w:r>
          </w:p>
        </w:tc>
      </w:tr>
      <w:tr>
        <w:tc>
          <w:tcPr>
            <w:tcW w:type="dxa" w:w="2880"/>
          </w:tcPr>
          <w:p>
            <w:r>
              <w:t>next/navigation</w:t>
            </w:r>
          </w:p>
        </w:tc>
        <w:tc>
          <w:tcPr>
            <w:tcW w:type="dxa" w:w="2880"/>
          </w:tcPr>
          <w:p>
            <w:r>
              <w:t>built-in</w:t>
            </w:r>
          </w:p>
        </w:tc>
        <w:tc>
          <w:tcPr>
            <w:tcW w:type="dxa" w:w="2880"/>
          </w:tcPr>
          <w:p>
            <w:r>
              <w:t>useSearchParams for cross-page state handoff</w:t>
            </w:r>
          </w:p>
        </w:tc>
      </w:tr>
    </w:tbl>
    <w:p/>
    <w:p>
      <w:pPr>
        <w:pStyle w:val="Heading2"/>
      </w:pPr>
      <w:r>
        <w:rPr>
          <w:color w:val="6B2D8B"/>
        </w:rPr>
        <w:t>5.2 Backend</w:t>
      </w:r>
    </w:p>
    <w:tbl>
      <w:tblPr>
        <w:tblStyle w:val="TableGrid"/>
        <w:tblW w:type="auto" w:w="0"/>
        <w:tblLook w:firstColumn="1" w:firstRow="1" w:lastColumn="0" w:lastRow="0" w:noHBand="0" w:noVBand="1" w:val="04A0"/>
      </w:tblPr>
      <w:tblGrid>
        <w:gridCol w:w="2880"/>
        <w:gridCol w:w="2880"/>
        <w:gridCol w:w="2880"/>
      </w:tblGrid>
      <w:tr>
        <w:tc>
          <w:tcPr>
            <w:tcW w:type="dxa" w:w="2880"/>
            <w:shd w:fill="6B2D8B" w:color="auto" w:val="clear"/>
          </w:tcPr>
          <w:p>
            <w:r>
              <w:rPr>
                <w:b/>
                <w:color w:val="FFFFFF"/>
              </w:rPr>
              <w:t>Technology</w:t>
            </w:r>
          </w:p>
        </w:tc>
        <w:tc>
          <w:tcPr>
            <w:tcW w:type="dxa" w:w="2880"/>
            <w:shd w:fill="6B2D8B" w:color="auto" w:val="clear"/>
          </w:tcPr>
          <w:p>
            <w:r>
              <w:rPr>
                <w:b/>
                <w:color w:val="FFFFFF"/>
              </w:rPr>
              <w:t>Version</w:t>
            </w:r>
          </w:p>
        </w:tc>
        <w:tc>
          <w:tcPr>
            <w:tcW w:type="dxa" w:w="2880"/>
            <w:shd w:fill="6B2D8B" w:color="auto" w:val="clear"/>
          </w:tcPr>
          <w:p>
            <w:r>
              <w:rPr>
                <w:b/>
                <w:color w:val="FFFFFF"/>
              </w:rPr>
              <w:t>Purpose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FastAPI</w:t>
            </w:r>
          </w:p>
        </w:tc>
        <w:tc>
          <w:tcPr>
            <w:tcW w:type="dxa" w:w="2880"/>
          </w:tcPr>
          <w:p>
            <w:r>
              <w:t>0.115.x</w:t>
            </w:r>
          </w:p>
        </w:tc>
        <w:tc>
          <w:tcPr>
            <w:tcW w:type="dxa" w:w="2880"/>
          </w:tcPr>
          <w:p>
            <w:r>
              <w:t>Async ASGI framework, Pydantic v2 validation</w:t>
            </w:r>
          </w:p>
        </w:tc>
      </w:tr>
      <w:tr>
        <w:tc>
          <w:tcPr>
            <w:tcW w:type="dxa" w:w="2880"/>
          </w:tcPr>
          <w:p>
            <w:r>
              <w:t>Python</w:t>
            </w:r>
          </w:p>
        </w:tc>
        <w:tc>
          <w:tcPr>
            <w:tcW w:type="dxa" w:w="2880"/>
          </w:tcPr>
          <w:p>
            <w:r>
              <w:t>3.13</w:t>
            </w:r>
          </w:p>
        </w:tc>
        <w:tc>
          <w:tcPr>
            <w:tcW w:type="dxa" w:w="2880"/>
          </w:tcPr>
          <w:p>
            <w:r>
              <w:t>Runtime; union type syntax, modern stdlib</w:t>
            </w:r>
          </w:p>
        </w:tc>
      </w:tr>
      <w:tr>
        <w:tc>
          <w:tcPr>
            <w:tcW w:type="dxa" w:w="2880"/>
          </w:tcPr>
          <w:p>
            <w:r>
              <w:t>sentence-transformers</w:t>
            </w:r>
          </w:p>
        </w:tc>
        <w:tc>
          <w:tcPr>
            <w:tcW w:type="dxa" w:w="2880"/>
          </w:tcPr>
          <w:p>
            <w:r>
              <w:t>3.x</w:t>
            </w:r>
          </w:p>
        </w:tc>
        <w:tc>
          <w:tcPr>
            <w:tcW w:type="dxa" w:w="2880"/>
          </w:tcPr>
          <w:p>
            <w:r>
              <w:t>BAAI/bge-small-en-v1.5 embedding model</w:t>
            </w:r>
          </w:p>
        </w:tc>
      </w:tr>
      <w:tr>
        <w:tc>
          <w:tcPr>
            <w:tcW w:type="dxa" w:w="2880"/>
          </w:tcPr>
          <w:p>
            <w:r>
              <w:t>pdfplumber</w:t>
            </w:r>
          </w:p>
        </w:tc>
        <w:tc>
          <w:tcPr>
            <w:tcW w:type="dxa" w:w="2880"/>
          </w:tcPr>
          <w:p>
            <w:r>
              <w:t>0.11.x</w:t>
            </w:r>
          </w:p>
        </w:tc>
        <w:tc>
          <w:tcPr>
            <w:tcW w:type="dxa" w:w="2880"/>
          </w:tcPr>
          <w:p>
            <w:r>
              <w:t>High-fidelity PDF text extraction</w:t>
            </w:r>
          </w:p>
        </w:tc>
      </w:tr>
      <w:tr>
        <w:tc>
          <w:tcPr>
            <w:tcW w:type="dxa" w:w="2880"/>
          </w:tcPr>
          <w:p>
            <w:r>
              <w:t>uvicorn</w:t>
            </w:r>
          </w:p>
        </w:tc>
        <w:tc>
          <w:tcPr>
            <w:tcW w:type="dxa" w:w="2880"/>
          </w:tcPr>
          <w:p>
            <w:r>
              <w:t>0.32.x</w:t>
            </w:r>
          </w:p>
        </w:tc>
        <w:tc>
          <w:tcPr>
            <w:tcW w:type="dxa" w:w="2880"/>
          </w:tcPr>
          <w:p>
            <w:r>
              <w:t>ASGI server with lifespan hooks</w:t>
            </w:r>
          </w:p>
        </w:tc>
      </w:tr>
      <w:tr>
        <w:tc>
          <w:tcPr>
            <w:tcW w:type="dxa" w:w="2880"/>
          </w:tcPr>
          <w:p>
            <w:r>
              <w:t>httpx</w:t>
            </w:r>
          </w:p>
        </w:tc>
        <w:tc>
          <w:tcPr>
            <w:tcW w:type="dxa" w:w="2880"/>
          </w:tcPr>
          <w:p>
            <w:r>
              <w:t>0.27.x</w:t>
            </w:r>
          </w:p>
        </w:tc>
        <w:tc>
          <w:tcPr>
            <w:tcW w:type="dxa" w:w="2880"/>
          </w:tcPr>
          <w:p>
            <w:r>
              <w:t>Async HTTP client for LLM API calls</w:t>
            </w:r>
          </w:p>
        </w:tc>
      </w:tr>
    </w:tbl>
    <w:p/>
    <w:p>
      <w:pPr>
        <w:pStyle w:val="Heading2"/>
      </w:pPr>
      <w:r>
        <w:rPr>
          <w:color w:val="6B2D8B"/>
        </w:rPr>
        <w:t>5.3 Deployment</w:t>
      </w:r>
    </w:p>
    <w:p>
      <w:pPr>
        <w:pStyle w:val="ListBullet"/>
        <w:spacing w:after="80"/>
        <w:ind w:left="360"/>
      </w:pPr>
      <w:r>
        <w:t>Backend: Railway platform, Docker container, Nixpacks build detection. Model pre-baked at build time to avoid cold-start on Railway's serverless-adjacent containers.</w:t>
      </w:r>
    </w:p>
    <w:p>
      <w:pPr>
        <w:pStyle w:val="ListBullet"/>
        <w:spacing w:after="80"/>
        <w:ind w:left="360"/>
      </w:pPr>
      <w:r>
        <w:t>Frontend: Vercel, automatic CI/CD from GitHub main branch, edge network CDN.</w:t>
      </w:r>
    </w:p>
    <w:p>
      <w:pPr>
        <w:pStyle w:val="ListBullet"/>
        <w:spacing w:after="80"/>
        <w:ind w:left="360"/>
      </w:pPr>
      <w:r>
        <w:t>Environment variables: ANTHROPIC_API_KEY, OPENAI_API_KEY, GEMINI_API_KEY, DATABASE_URL (optional). Secrets never committed; configured via Railway/Vercel dashboard.</w:t>
      </w:r>
    </w:p>
    <w:p>
      <w:pPr>
        <w:pStyle w:val="Heading1"/>
      </w:pPr>
      <w:r>
        <w:rPr>
          <w:color w:val="6B2D8B"/>
        </w:rPr>
        <w:t>6. Engineering Challenges &amp; Solutions</w:t>
      </w:r>
    </w:p>
    <w:p>
      <w:pPr>
        <w:pStyle w:val="Heading2"/>
      </w:pPr>
      <w:r>
        <w:rPr>
          <w:color w:val="6B2D8B"/>
        </w:rPr>
        <w:t>6.1 Cold-Start Latency</w:t>
      </w:r>
    </w:p>
    <w:p>
      <w:pPr>
        <w:spacing w:after="80"/>
      </w:pPr>
      <w:r>
        <w:rPr>
          <w:b/>
        </w:rPr>
        <w:t xml:space="preserve">Problem: </w:t>
      </w:r>
      <w:r>
        <w:t>Railway containers restart frequently. The BAAI model (~130 MB) took 45–90 seconds to download on each restart, making the first query very slow.</w:t>
      </w:r>
    </w:p>
    <w:p>
      <w:r>
        <w:rPr>
          <w:b/>
        </w:rPr>
        <w:t xml:space="preserve">Solution: </w:t>
      </w:r>
      <w:r>
        <w:t>Pre-downloaded the model into the Docker image with a RUN python -c command in the Dockerfile, reducing cold-start to under 3 seconds. Added a lifespan pre-warm call to ensure the model is in GPU/MPS memory before the first request.</w:t>
      </w:r>
    </w:p>
    <w:p>
      <w:pPr>
        <w:pStyle w:val="Heading2"/>
      </w:pPr>
      <w:r>
        <w:rPr>
          <w:color w:val="6B2D8B"/>
        </w:rPr>
        <w:t>6.2 Boilerplate Contamination</w:t>
      </w:r>
    </w:p>
    <w:p>
      <w:pPr>
        <w:spacing w:after="80"/>
      </w:pPr>
      <w:r>
        <w:rPr>
          <w:b/>
        </w:rPr>
        <w:t xml:space="preserve">Problem: </w:t>
      </w:r>
      <w:r>
        <w:t>Policy PDFs contain extensive table-of-contents, transmittal headers, and contact-information sections. These were being included in LLM context, producing answers that quoted ToC entries instead of policy content.</w:t>
      </w:r>
    </w:p>
    <w:p>
      <w:r>
        <w:rPr>
          <w:b/>
        </w:rPr>
        <w:t xml:space="preserve">Solution: </w:t>
      </w:r>
      <w:r>
        <w:t>Built a two-layer filter: _BOILERPLATE_PAT (regex matching 8 boilerplate patterns) and _TOC_RUNON_PAT (detects concatenated section-number lines like '10 - General 20 - MPFS 20.1 - ...'). Applied before LLM context assembly.</w:t>
      </w:r>
    </w:p>
    <w:p>
      <w:pPr>
        <w:pStyle w:val="Heading2"/>
      </w:pPr>
      <w:r>
        <w:rPr>
          <w:color w:val="6B2D8B"/>
        </w:rPr>
        <w:t>6.3 LLM Hallucination Prevention</w:t>
      </w:r>
    </w:p>
    <w:p>
      <w:pPr>
        <w:spacing w:after="80"/>
      </w:pPr>
      <w:r>
        <w:rPr>
          <w:b/>
        </w:rPr>
        <w:t xml:space="preserve">Problem: </w:t>
      </w:r>
      <w:r>
        <w:t>The LLM sometimes recommended prior authorisation or coverage denials without explicit document evidence.</w:t>
      </w:r>
    </w:p>
    <w:p>
      <w:r>
        <w:rPr>
          <w:b/>
        </w:rPr>
        <w:t xml:space="preserve">Solution: </w:t>
      </w:r>
      <w:r>
        <w:t>Prompt engineering: required answer openers, explicit prohibition on inferring prior-auth unless the evidence uses that exact phrase, and post-generation opener enforcement that prefixes raw-text answers with 'The document states:' automatically.</w:t>
      </w:r>
    </w:p>
    <w:p>
      <w:pPr>
        <w:pStyle w:val="Heading2"/>
      </w:pPr>
      <w:r>
        <w:rPr>
          <w:color w:val="6B2D8B"/>
        </w:rPr>
        <w:t>6.4 Cross-Page State Handoff</w:t>
      </w:r>
    </w:p>
    <w:p>
      <w:pPr>
        <w:spacing w:after="80"/>
      </w:pPr>
      <w:r>
        <w:rPr>
          <w:b/>
        </w:rPr>
        <w:t xml:space="preserve">Problem: </w:t>
      </w:r>
      <w:r>
        <w:t>The 'Send to Claims Validator' button navigated to /claims but sent no data, leaving the form blank.</w:t>
      </w:r>
    </w:p>
    <w:p>
      <w:r>
        <w:rPr>
          <w:b/>
        </w:rPr>
        <w:t xml:space="preserve">Solution: </w:t>
      </w:r>
      <w:r>
        <w:t>Built URL search-param handoff: rules page encodes cpt_code, procedure, and plan_type into the href; claims page reads them via useSearchParams() on mount inside a Suspense boundary.</w:t>
      </w:r>
    </w:p>
    <w:p>
      <w:pPr>
        <w:pStyle w:val="Heading2"/>
      </w:pPr>
      <w:r>
        <w:rPr>
          <w:color w:val="6B2D8B"/>
        </w:rPr>
        <w:t>6.5 Multi-Python Environment</w:t>
      </w:r>
    </w:p>
    <w:p>
      <w:pPr>
        <w:spacing w:after="80"/>
      </w:pPr>
      <w:r>
        <w:rPr>
          <w:b/>
        </w:rPr>
        <w:t xml:space="preserve">Problem: </w:t>
      </w:r>
      <w:r>
        <w:t>The development machine had Python 3.9, 3.11, and 3.13 installed. Dependencies (numpy, uvicorn, sentence-transformers) were scattered across environments.</w:t>
      </w:r>
    </w:p>
    <w:p>
      <w:r>
        <w:rPr>
          <w:b/>
        </w:rPr>
        <w:t xml:space="preserve">Solution: </w:t>
      </w:r>
      <w:r>
        <w:t>Pinned the backend to Python 3.13 (which had all deps) for local dev. Docker uses the same version via the python:3.13-slim base image.</w:t>
      </w:r>
    </w:p>
    <w:p>
      <w:pPr>
        <w:pStyle w:val="Heading1"/>
      </w:pPr>
      <w:r>
        <w:rPr>
          <w:color w:val="6B2D8B"/>
        </w:rPr>
        <w:t>7. Limitations</w:t>
      </w:r>
    </w:p>
    <w:p>
      <w:pPr>
        <w:spacing w:after="160"/>
      </w:pPr>
      <w:r>
        <w:t>The current implementation is a proof-of-concept and has the following known limitations:</w:t>
      </w:r>
    </w:p>
    <w:p>
      <w:pPr>
        <w:pStyle w:val="ListBullet"/>
        <w:spacing w:after="80"/>
        <w:ind w:left="360"/>
      </w:pPr>
      <w:r>
        <w:t>In-memory vector store: embeddings are not persisted to disk; a server restart clears all indexed documents.</w:t>
      </w:r>
    </w:p>
    <w:p>
      <w:pPr>
        <w:pStyle w:val="ListBullet"/>
        <w:spacing w:after="80"/>
        <w:ind w:left="360"/>
      </w:pPr>
      <w:r>
        <w:t>Single-document retrieval: each query searches one document at a time; cross-document synthesis is not supported.</w:t>
      </w:r>
    </w:p>
    <w:p>
      <w:pPr>
        <w:pStyle w:val="ListBullet"/>
        <w:spacing w:after="80"/>
        <w:ind w:left="360"/>
      </w:pPr>
      <w:r>
        <w:t>No user authentication: the platform has no login system and is not suitable for handling PHI data in production.</w:t>
      </w:r>
    </w:p>
    <w:p>
      <w:pPr>
        <w:pStyle w:val="ListBullet"/>
        <w:spacing w:after="80"/>
        <w:ind w:left="360"/>
      </w:pPr>
      <w:r>
        <w:t>PDF-only ingestion: DOCX, HTML, and structured data (JSON, CSV) are not yet supported.</w:t>
      </w:r>
    </w:p>
    <w:p>
      <w:pPr>
        <w:pStyle w:val="ListBullet"/>
        <w:spacing w:after="80"/>
        <w:ind w:left="360"/>
      </w:pPr>
      <w:r>
        <w:t>Extractive fallback quality: without an LLM API key, answers rely on sentence extraction which may miss nuanced policy language.</w:t>
      </w:r>
    </w:p>
    <w:p>
      <w:pPr>
        <w:pStyle w:val="Heading1"/>
      </w:pPr>
      <w:r>
        <w:rPr>
          <w:color w:val="6B2D8B"/>
        </w:rPr>
        <w:t>8. Future Work</w:t>
      </w:r>
    </w:p>
    <w:p>
      <w:pPr>
        <w:spacing w:after="100"/>
        <w:ind w:left="360"/>
      </w:pPr>
      <w:r>
        <w:rPr>
          <w:b/>
          <w:color w:val="6B2D8B"/>
        </w:rPr>
        <w:t xml:space="preserve">PostgreSQL + pgvector: </w:t>
      </w:r>
      <w:r>
        <w:t>Replace the in-memory store with a persistent PostgreSQL database using the pgvector extension for scalable, multi-tenant vector search.</w:t>
      </w:r>
    </w:p>
    <w:p>
      <w:pPr>
        <w:spacing w:after="100"/>
        <w:ind w:left="360"/>
      </w:pPr>
      <w:r>
        <w:rPr>
          <w:b/>
          <w:color w:val="6B2D8B"/>
        </w:rPr>
        <w:t xml:space="preserve">OAuth2 / RBAC: </w:t>
      </w:r>
      <w:r>
        <w:t>Add user authentication with role-based access control (Admin, Analyst, Reviewer) using Clerk or NextAuth.</w:t>
      </w:r>
    </w:p>
    <w:p>
      <w:pPr>
        <w:spacing w:after="100"/>
        <w:ind w:left="360"/>
      </w:pPr>
      <w:r>
        <w:rPr>
          <w:b/>
          <w:color w:val="6B2D8B"/>
        </w:rPr>
        <w:t xml:space="preserve">Streaming Responses: </w:t>
      </w:r>
      <w:r>
        <w:t>Implement server-sent events for real-time token streaming, improving perceived latency for long answers.</w:t>
      </w:r>
    </w:p>
    <w:p>
      <w:pPr>
        <w:spacing w:after="100"/>
        <w:ind w:left="360"/>
      </w:pPr>
      <w:r>
        <w:rPr>
          <w:b/>
          <w:color w:val="6B2D8B"/>
        </w:rPr>
        <w:t xml:space="preserve">Cross-Document RAG: </w:t>
      </w:r>
      <w:r>
        <w:t>Enable queries that synthesise evidence from all uploaded documents simultaneously using a multi-index retrieval strategy.</w:t>
      </w:r>
    </w:p>
    <w:p>
      <w:pPr>
        <w:spacing w:after="100"/>
        <w:ind w:left="360"/>
      </w:pPr>
      <w:r>
        <w:rPr>
          <w:b/>
          <w:color w:val="6B2D8B"/>
        </w:rPr>
        <w:t xml:space="preserve">Fine-Tuned Reranker: </w:t>
      </w:r>
      <w:r>
        <w:t>Train a domain-specific cross-encoder reranker on CMS policy corpora to improve precision on healthcare-specific retrieval.</w:t>
      </w:r>
    </w:p>
    <w:p>
      <w:pPr>
        <w:spacing w:after="100"/>
        <w:ind w:left="360"/>
      </w:pPr>
      <w:r>
        <w:rPr>
          <w:b/>
          <w:color w:val="6B2D8B"/>
        </w:rPr>
        <w:t xml:space="preserve">HIPAA Compliance: </w:t>
      </w:r>
      <w:r>
        <w:t>Add PHI redaction, audit-log encryption, and deploy on HIPAA-eligible AWS infrastructure with a Business Associate Agreement.</w:t>
      </w:r>
    </w:p>
    <w:p>
      <w:pPr>
        <w:pStyle w:val="Heading1"/>
      </w:pPr>
      <w:r>
        <w:rPr>
          <w:color w:val="6B2D8B"/>
        </w:rPr>
        <w:t>9. References (APA)</w:t>
      </w:r>
    </w:p>
    <w:p>
      <w:pPr>
        <w:pStyle w:val="ListBullet"/>
        <w:spacing w:after="120"/>
        <w:ind w:left="720" w:hanging="360"/>
      </w:pPr>
      <w:r>
        <w:t>Centers for Medicare &amp; Medicaid Services. (2025). Medicare Claims Processing Manual, Chapter 12: Physicians/Nonphysician Practitioners (Publication 100-04). U.S. Department of Health and Human Services. https://www.cms.gov/regulations-and-guidance/guidance/manuals</w:t>
      </w:r>
    </w:p>
    <w:p>
      <w:pPr>
        <w:pStyle w:val="ListBullet"/>
        <w:spacing w:after="120"/>
        <w:ind w:left="720" w:hanging="360"/>
      </w:pPr>
      <w:r>
        <w:t>Xiao, S., Liu, Z., Zhang, P., &amp; Muennighoff, N. (2023). C-Pack: Packaged resources to advance general Chinese embedding. arXiv preprint arXiv:2309.07597. https://arxiv.org/abs/2309.07597</w:t>
      </w:r>
    </w:p>
    <w:p>
      <w:pPr>
        <w:pStyle w:val="ListBullet"/>
        <w:spacing w:after="120"/>
        <w:ind w:left="720" w:hanging="360"/>
      </w:pPr>
      <w:r>
        <w:t>Lewis, P., Perez, E., Piktus, A., Petroni, F., Karpukhin, V., Goyal, N., … Kiela, D. (2020). Retrieval-augmented generation for knowledge-intensive NLP tasks. Advances in Neural Information Processing Systems, 33, 9459–9474.</w:t>
      </w:r>
    </w:p>
    <w:p>
      <w:pPr>
        <w:pStyle w:val="ListBullet"/>
        <w:spacing w:after="120"/>
        <w:ind w:left="720" w:hanging="360"/>
      </w:pPr>
      <w:r>
        <w:t>Robertson, S., &amp; Zaragoza, H. (2009). The probabilistic relevance framework: BM25 and beyond. Foundations and Trends in Information Retrieval, 3(4), 333–389. https://doi.org/10.1561/1500000019</w:t>
      </w:r>
    </w:p>
    <w:p>
      <w:pPr>
        <w:pStyle w:val="ListBullet"/>
        <w:spacing w:after="120"/>
        <w:ind w:left="720" w:hanging="360"/>
      </w:pPr>
      <w:r>
        <w:t>Google DeepMind. (2024). Gemini 1.5: Unlocking multimodal understanding across millions of tokens of context. arXiv preprint arXiv:2403.05530. https://arxiv.org/abs/2403.05530</w:t>
      </w:r>
    </w:p>
    <w:p>
      <w:pPr>
        <w:pStyle w:val="ListBullet"/>
        <w:spacing w:after="120"/>
        <w:ind w:left="720" w:hanging="360"/>
      </w:pPr>
      <w:r>
        <w:t>Pydantic. (2024). Pydantic v2 documentation. https://docs.pydantic.dev/latest/</w:t>
      </w:r>
    </w:p>
    <w:p>
      <w:pPr>
        <w:pStyle w:val="ListBullet"/>
        <w:spacing w:after="120"/>
        <w:ind w:left="720" w:hanging="360"/>
      </w:pPr>
      <w:r>
        <w:t>Vercel. (2024). Next.js 14 documentation — App Router. https://nextjs.org/docs</w:t>
      </w:r>
    </w:p>
    <w:p>
      <w:pPr>
        <w:pStyle w:val="ListBullet"/>
        <w:spacing w:after="120"/>
        <w:ind w:left="720" w:hanging="360"/>
      </w:pPr>
      <w:r>
        <w:t>FastAPI. (2024). FastAPI documentation. https://fastapi.tiangolo.com/</w:t>
      </w:r>
    </w:p>
    <w:p>
      <w:pPr>
        <w:pStyle w:val="ListBullet"/>
        <w:spacing w:after="120"/>
        <w:ind w:left="720" w:hanging="360"/>
      </w:pPr>
      <w:r>
        <w:t>Railway. (2024). Railway deployment documentation. https://docs.railway.app/</w:t>
      </w:r>
    </w:p>
    <w:p>
      <w:pPr>
        <w:pStyle w:val="ListBullet"/>
        <w:spacing w:after="120"/>
        <w:ind w:left="720" w:hanging="360"/>
      </w:pPr>
      <w:r>
        <w:t>Reimers, N., &amp; Gurevych, I. (2019). Sentence-BERT: Sentence embeddings using Siamese BERT-networks. Proceedings of the 2019 Conference on Empirical Methods in Natural Language Processing, 3982–3992. https://doi.org/10.18653/v1/D19-4006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