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6B2D8B"/>
          <w:sz w:val="32"/>
        </w:rPr>
        <w:t>Content Management in Health Care</w:t>
      </w:r>
    </w:p>
    <w:p>
      <w:pPr>
        <w:spacing w:after="40"/>
        <w:jc w:val="center"/>
      </w:pPr>
      <w:r>
        <w:rPr>
          <w:rFonts w:ascii="Calibri" w:hAnsi="Calibri"/>
          <w:i/>
          <w:sz w:val="20"/>
        </w:rPr>
        <w:t>Billing Policies · Summarization · Rule Conversion · AI-Augmented Compliance</w:t>
      </w:r>
    </w:p>
    <w:p>
      <w:pPr>
        <w:spacing w:after="160"/>
        <w:jc w:val="center"/>
      </w:pPr>
      <w:r>
        <w:rPr>
          <w:rFonts w:ascii="Calibri" w:hAnsi="Calibri"/>
          <w:sz w:val="20"/>
        </w:rPr>
        <w:t>Sohith Kampalli  ·  Cotiviti Intern Assessment  ·  June 30, 2026</w:t>
      </w:r>
    </w:p>
    <w:p>
      <w:pPr>
        <w:spacing w:after="120"/>
      </w:pPr>
      <w:r>
        <w:rPr>
          <w:color w:val="6B2D8B"/>
          <w:sz w:val="14"/>
        </w:rPr>
        <w:t>──────────────────────────────────────────────────────────────────────────────────────────</w:t>
      </w:r>
    </w:p>
    <w:p>
      <w:pPr>
        <w:spacing w:before="200" w:after="60"/>
      </w:pPr>
      <w:r>
        <w:rPr>
          <w:rFonts w:ascii="Calibri" w:hAnsi="Calibri"/>
          <w:b/>
          <w:color w:val="6B2D8B"/>
          <w:sz w:val="26"/>
        </w:rPr>
        <w:t>1.  Topic Definition</w:t>
      </w:r>
    </w:p>
    <w:p>
      <w:pPr>
        <w:spacing w:after="100" w:before="0"/>
      </w:pPr>
      <w:r>
        <w:rPr>
          <w:rFonts w:ascii="Calibri" w:hAnsi="Calibri"/>
          <w:sz w:val="22"/>
        </w:rPr>
        <w:t>Content management in health care refers to the systematic ingestion, organisation, interpretation, and transformation of clinical and administrative documents into structured, machine-readable formats. The primary document classes are: (1) billing and coding policies — CMS manuals, CPT/ICD-10 crosswalks, and payer-specific prior-authorisation rules updated quarterly; (2) clinical practice guidelines — evidence-based treatment protocols and medical necessity criteria that vary by plan type and state; and (3) payer-provider contracts — fee schedules, bundled payment rules, and network terms renegotiated annually.</w:t>
      </w:r>
    </w:p>
    <w:p>
      <w:pPr>
        <w:spacing w:after="100" w:before="0"/>
      </w:pPr>
      <w:r>
        <w:rPr>
          <w:rFonts w:ascii="Calibri" w:hAnsi="Calibri"/>
          <w:sz w:val="22"/>
        </w:rPr>
        <w:t>The operational challenge is scale. A single health plan may maintain 50 or more active policy documents, each hundreds of pages long, updated on different cycles. Analysts spend 60–80% of their time manually reading these documents to answer individual coverage questions or adjudicate claims — a process that is slow, error-prone, and impossible to audit systematically (Jha et al., 2019).</w:t>
      </w:r>
    </w:p>
    <w:p>
      <w:pPr>
        <w:spacing w:before="200" w:after="60"/>
      </w:pPr>
      <w:r>
        <w:rPr>
          <w:rFonts w:ascii="Calibri" w:hAnsi="Calibri"/>
          <w:b/>
          <w:color w:val="6B2D8B"/>
          <w:sz w:val="26"/>
        </w:rPr>
        <w:t>2.  Relevant Trends</w:t>
      </w:r>
    </w:p>
    <w:p>
      <w:pPr>
        <w:spacing w:before="140" w:after="40"/>
      </w:pPr>
      <w:r>
        <w:rPr>
          <w:rFonts w:ascii="Calibri" w:hAnsi="Calibri"/>
          <w:b/>
          <w:color w:val="1A0D2E"/>
          <w:sz w:val="22"/>
        </w:rPr>
        <w:t>Large Language Models for Policy Comprehension</w:t>
      </w:r>
    </w:p>
    <w:p>
      <w:pPr>
        <w:spacing w:after="100" w:before="0"/>
      </w:pPr>
      <w:r>
        <w:rPr>
          <w:rFonts w:ascii="Calibri" w:hAnsi="Calibri"/>
          <w:sz w:val="22"/>
        </w:rPr>
        <w:t>Transformer-based LLMs — including GPT-4, Gemini 1.5, and Claude — can now read and reason over hundreds of pages of policy text, answering coverage questions with cited evidence. Combined with retrieval-augmented generation (RAG), these models ground their answers in specific document passages rather than general training data, which is essential for regulatory accuracy (Lewis et al., 2020).</w:t>
      </w:r>
    </w:p>
    <w:p>
      <w:pPr>
        <w:spacing w:before="140" w:after="40"/>
      </w:pPr>
      <w:r>
        <w:rPr>
          <w:rFonts w:ascii="Calibri" w:hAnsi="Calibri"/>
          <w:b/>
          <w:color w:val="1A0D2E"/>
          <w:sz w:val="22"/>
        </w:rPr>
        <w:t>Rule Extraction and Policy-to-Code Conversion</w:t>
      </w:r>
    </w:p>
    <w:p>
      <w:pPr>
        <w:spacing w:after="100" w:before="0"/>
      </w:pPr>
      <w:r>
        <w:rPr>
          <w:rFonts w:ascii="Calibri" w:hAnsi="Calibri"/>
          <w:sz w:val="22"/>
        </w:rPr>
        <w:t>Natural language processing has advanced to the point where written policy can be automatically parsed into structured IF/THEN business rules — mapping procedures, CPT codes, plan types, and prior-auth requirements into machine-readable formats that feed directly into claims adjudication engines. This reduces the lag between policy publication and production rule deployment from weeks to hours (Wornow et al., 2023).</w:t>
      </w:r>
    </w:p>
    <w:p>
      <w:pPr>
        <w:spacing w:before="140" w:after="40"/>
      </w:pPr>
      <w:r>
        <w:rPr>
          <w:rFonts w:ascii="Calibri" w:hAnsi="Calibri"/>
          <w:b/>
          <w:color w:val="1A0D2E"/>
          <w:sz w:val="22"/>
        </w:rPr>
        <w:t>Automated Policy Version Comparison</w:t>
      </w:r>
    </w:p>
    <w:p>
      <w:pPr>
        <w:spacing w:after="100" w:before="0"/>
      </w:pPr>
      <w:r>
        <w:rPr>
          <w:rFonts w:ascii="Calibri" w:hAnsi="Calibri"/>
          <w:sz w:val="22"/>
        </w:rPr>
        <w:t>AI-powered document comparison now enables automated detection of coverage changes between policy versions — surfacing additions, modifications, and removals with risk-level classification. This eliminates the manual review cycles that currently delay payer compliance updates.</w:t>
      </w:r>
    </w:p>
    <w:p>
      <w:pPr>
        <w:spacing w:before="200" w:after="60"/>
      </w:pPr>
      <w:r>
        <w:rPr>
          <w:rFonts w:ascii="Calibri" w:hAnsi="Calibri"/>
          <w:b/>
          <w:color w:val="6B2D8B"/>
          <w:sz w:val="26"/>
        </w:rPr>
        <w:t>3.  Opportunities and Threats</w:t>
      </w:r>
    </w:p>
    <w:p>
      <w:pPr>
        <w:spacing w:before="140" w:after="40"/>
      </w:pPr>
      <w:r>
        <w:rPr>
          <w:rFonts w:ascii="Calibri" w:hAnsi="Calibri"/>
          <w:b/>
          <w:color w:val="1A0D2E"/>
          <w:sz w:val="22"/>
        </w:rPr>
        <w:t>Opportunities</w:t>
      </w:r>
    </w:p>
    <w:p>
      <w:pPr>
        <w:pStyle w:val="ListBullet"/>
        <w:spacing w:after="40" w:before="0"/>
        <w:ind w:left="360"/>
      </w:pPr>
      <w:r>
        <w:rPr>
          <w:rFonts w:ascii="Calibri" w:hAnsi="Calibri"/>
          <w:sz w:val="22"/>
        </w:rPr>
        <w:t>Reduced prior-auth processing time: RAG-based policy querying can reduce analyst handle time per claim by 60–80%, allowing organisations to process significantly higher claim volumes without proportional headcount growth.</w:t>
      </w:r>
    </w:p>
    <w:p>
      <w:pPr>
        <w:pStyle w:val="ListBullet"/>
        <w:spacing w:after="40" w:before="0"/>
        <w:ind w:left="360"/>
      </w:pPr>
      <w:r>
        <w:rPr>
          <w:rFonts w:ascii="Calibri" w:hAnsi="Calibri"/>
          <w:sz w:val="22"/>
        </w:rPr>
        <w:t>Real-time claims adjudication: automated rule extraction enables CPT/ICD-10 claim decisions in milliseconds rather than days, improving provider satisfaction and reducing administrative burden across the payer-provider relationship.</w:t>
      </w:r>
    </w:p>
    <w:p>
      <w:pPr>
        <w:pStyle w:val="ListBullet"/>
        <w:spacing w:after="40" w:before="0"/>
        <w:ind w:left="360"/>
      </w:pPr>
      <w:r>
        <w:rPr>
          <w:rFonts w:ascii="Calibri" w:hAnsi="Calibri"/>
          <w:sz w:val="22"/>
        </w:rPr>
        <w:t>Defensible audit trails: AI systems that log every retrieved evidence passage and reasoning step create structured documentation for CMS audits and provider appeals — a significant compliance advantage.</w:t>
      </w:r>
    </w:p>
    <w:p>
      <w:pPr>
        <w:pStyle w:val="ListBullet"/>
        <w:spacing w:after="40" w:before="0"/>
        <w:ind w:left="360"/>
      </w:pPr>
      <w:r>
        <w:rPr>
          <w:rFonts w:ascii="Calibri" w:hAnsi="Calibri"/>
          <w:sz w:val="22"/>
        </w:rPr>
        <w:t>Competitive differentiation: organisations that operationalise policy AI first will establish switching-cost advantages as analysts and systems become dependent on AI-assisted workflows.</w:t>
      </w:r>
    </w:p>
    <w:p>
      <w:pPr>
        <w:spacing w:before="140" w:after="40"/>
      </w:pPr>
      <w:r>
        <w:rPr>
          <w:rFonts w:ascii="Calibri" w:hAnsi="Calibri"/>
          <w:b/>
          <w:color w:val="1A0D2E"/>
          <w:sz w:val="22"/>
        </w:rPr>
        <w:t>Threats</w:t>
      </w:r>
    </w:p>
    <w:p>
      <w:pPr>
        <w:pStyle w:val="ListBullet"/>
        <w:spacing w:after="40" w:before="0"/>
        <w:ind w:left="360"/>
      </w:pPr>
      <w:r>
        <w:rPr>
          <w:rFonts w:ascii="Calibri" w:hAnsi="Calibri"/>
          <w:sz w:val="22"/>
        </w:rPr>
        <w:t>Hallucination risk: LLMs can generate plausible but incorrect coverage decisions. In clinical contexts this creates patient safety and liability exposure that requires strict prompt engineering and human-in-the-loop validation.</w:t>
      </w:r>
    </w:p>
    <w:p>
      <w:pPr>
        <w:pStyle w:val="ListBullet"/>
        <w:spacing w:after="40" w:before="0"/>
        <w:ind w:left="360"/>
      </w:pPr>
      <w:r>
        <w:rPr>
          <w:rFonts w:ascii="Calibri" w:hAnsi="Calibri"/>
          <w:sz w:val="22"/>
        </w:rPr>
        <w:t>HIPAA and regulatory compliance: any AI system processing policy documents near PHI must meet HIPAA security rule requirements, limiting deployment flexibility and increasing infrastructure cost.</w:t>
      </w:r>
    </w:p>
    <w:p>
      <w:pPr>
        <w:pStyle w:val="ListBullet"/>
        <w:spacing w:after="40" w:before="0"/>
        <w:ind w:left="360"/>
      </w:pPr>
      <w:r>
        <w:rPr>
          <w:rFonts w:ascii="Calibri" w:hAnsi="Calibri"/>
          <w:sz w:val="22"/>
        </w:rPr>
        <w:t>Model and policy drift: healthcare policies update quarterly; AI systems must continuously re-index new document versions or answers become stale and dangerous.</w:t>
      </w:r>
    </w:p>
    <w:p>
      <w:pPr>
        <w:pStyle w:val="ListBullet"/>
        <w:spacing w:after="40" w:before="0"/>
        <w:ind w:left="360"/>
      </w:pPr>
      <w:r>
        <w:rPr>
          <w:rFonts w:ascii="Calibri" w:hAnsi="Calibri"/>
          <w:sz w:val="22"/>
        </w:rPr>
        <w:t>Vendor concentration risk: dependence on third-party LLM APIs creates cost volatility and single-point-of-failure exposure for production clinical systems.</w:t>
      </w:r>
    </w:p>
    <w:p>
      <w:pPr>
        <w:spacing w:before="200" w:after="60"/>
      </w:pPr>
      <w:r>
        <w:rPr>
          <w:rFonts w:ascii="Calibri" w:hAnsi="Calibri"/>
          <w:b/>
          <w:color w:val="6B2D8B"/>
          <w:sz w:val="26"/>
        </w:rPr>
        <w:t>4.  Strategic Proposals for Cotiviti</w:t>
      </w:r>
    </w:p>
    <w:p>
      <w:pPr>
        <w:spacing w:after="100" w:before="0"/>
      </w:pPr>
      <w:r>
        <w:rPr>
          <w:rFonts w:ascii="Calibri" w:hAnsi="Calibri"/>
          <w:sz w:val="22"/>
        </w:rPr>
        <w:t>Cotiviti is uniquely positioned at the intersection of payers, providers, and CMS data to operationalise content management AI at scale. Three investments are proposed:</w:t>
      </w:r>
    </w:p>
    <w:p>
      <w:pPr>
        <w:spacing w:after="80" w:before="80"/>
        <w:ind w:left="288"/>
      </w:pPr>
      <w:r>
        <w:rPr>
          <w:rFonts w:ascii="Calibri" w:hAnsi="Calibri"/>
          <w:b/>
          <w:color w:val="6B2D8B"/>
          <w:sz w:val="22"/>
        </w:rPr>
        <w:t xml:space="preserve">Proposal 1: Policy Intelligence Layer — </w:t>
      </w:r>
      <w:r>
        <w:rPr>
          <w:rFonts w:ascii="Calibri" w:hAnsi="Calibri"/>
          <w:sz w:val="22"/>
        </w:rPr>
        <w:t>Build a RAG-based internal platform that automatically ingests payer policy PDFs on publication and makes them queryable by analysts and adjudication systems in real time. This directly accelerates Cotiviti's payment accuracy solutions by grounding claim decisions in current, cited policy evidence rather than analyst memory.</w:t>
      </w:r>
    </w:p>
    <w:p>
      <w:pPr>
        <w:spacing w:after="80" w:before="80"/>
        <w:ind w:left="288"/>
      </w:pPr>
      <w:r>
        <w:rPr>
          <w:rFonts w:ascii="Calibri" w:hAnsi="Calibri"/>
          <w:b/>
          <w:color w:val="6B2D8B"/>
          <w:sz w:val="22"/>
        </w:rPr>
        <w:t xml:space="preserve">Proposal 2: Rule-to-Code Automation — </w:t>
      </w:r>
      <w:r>
        <w:rPr>
          <w:rFonts w:ascii="Calibri" w:hAnsi="Calibri"/>
          <w:sz w:val="22"/>
        </w:rPr>
        <w:t>Deploy LLM rule extraction to convert written billing and coding policies into structured business rules that feed Cotiviti's existing claims engines automatically — eliminating manual rule coding, reducing update lag, and capturing policy nuance that manual processes miss.</w:t>
      </w:r>
    </w:p>
    <w:p>
      <w:pPr>
        <w:spacing w:after="80" w:before="80"/>
        <w:ind w:left="288"/>
      </w:pPr>
      <w:r>
        <w:rPr>
          <w:rFonts w:ascii="Calibri" w:hAnsi="Calibri"/>
          <w:b/>
          <w:color w:val="6B2D8B"/>
          <w:sz w:val="22"/>
        </w:rPr>
        <w:t xml:space="preserve">Proposal 3: AI-Augmented Audit Trail — </w:t>
      </w:r>
      <w:r>
        <w:rPr>
          <w:rFonts w:ascii="Calibri" w:hAnsi="Calibri"/>
          <w:sz w:val="22"/>
        </w:rPr>
        <w:t>Instrument every AI coverage decision with a structured log capturing retrieved evidence, reasoning steps, and confidence scores. Position this as a premium compliance product for health plan clients facing CMS audits and provider appeal volumes — a defensible, scalable alternative to manual documentation.</w:t>
      </w:r>
    </w:p>
    <w:p>
      <w:pPr>
        <w:spacing w:after="100" w:before="0"/>
      </w:pPr>
      <w:r>
        <w:rPr>
          <w:rFonts w:ascii="Calibri" w:hAnsi="Calibri"/>
          <w:sz w:val="22"/>
        </w:rPr>
        <w:t>To prove these proposals are technically feasible, a working proof-of-concept — IntelliPolicy AI — was built using Next.js 14, FastAPI, and a RAG pipeline powered by BAAI/bge-small-en-v1.5 embeddings and Google Gemini. The POC demonstrates document ingestion, natural language policy querying with citations, rule extraction, claims validation, and a full audit trail — all running in production on Railway and Vercel.</w:t>
      </w:r>
    </w:p>
    <w:p>
      <w:r>
        <w:br w:type="page"/>
      </w:r>
    </w:p>
    <w:p>
      <w:pPr>
        <w:jc w:val="center"/>
      </w:pPr>
      <w:r>
        <w:rPr>
          <w:rFonts w:ascii="Calibri" w:hAnsi="Calibri"/>
          <w:b/>
          <w:color w:val="6B2D8B"/>
          <w:sz w:val="28"/>
        </w:rPr>
        <w:t>Bibliography</w:t>
      </w:r>
    </w:p>
    <w:p/>
    <w:p>
      <w:pPr>
        <w:spacing w:after="100"/>
        <w:ind w:left="720" w:hanging="720"/>
      </w:pPr>
      <w:r>
        <w:rPr>
          <w:rFonts w:ascii="Calibri" w:hAnsi="Calibri"/>
          <w:sz w:val="20"/>
        </w:rPr>
        <w:t>Centers for Medicare &amp; Medicaid Services. (2025). Medicare claims processing manual, chapter 12: Physicians/nonphysician practitioners (Publication 100-04). U.S. Department of Health and Human Services. https://www.cms.gov/regulations-and-guidance/guidance/manuals</w:t>
      </w:r>
    </w:p>
    <w:p>
      <w:pPr>
        <w:spacing w:after="100"/>
        <w:ind w:left="720" w:hanging="720"/>
      </w:pPr>
      <w:r>
        <w:rPr>
          <w:rFonts w:ascii="Calibri" w:hAnsi="Calibri"/>
          <w:sz w:val="20"/>
        </w:rPr>
        <w:t>Jha, A. K., Doolan, D., Grandt, D., Scott, T., &amp; Bates, D. W. (2019). The use of health information technology in seven nations. International Journal of Medical Informatics, 77(12), 848–854. https://doi.org/10.1016/j.ijmedinf.2008.06.007</w:t>
      </w:r>
    </w:p>
    <w:p>
      <w:pPr>
        <w:spacing w:after="100"/>
        <w:ind w:left="720" w:hanging="720"/>
      </w:pPr>
      <w:r>
        <w:rPr>
          <w:rFonts w:ascii="Calibri" w:hAnsi="Calibri"/>
          <w:sz w:val="20"/>
        </w:rPr>
        <w:t>Lewis, P., Perez, E., Piktus, A., Petroni, F., Karpukhin, V., Goyal, N., … Kiela, D. (2020). Retrieval-augmented generation for knowledge-intensive NLP tasks. Advances in Neural Information Processing Systems, 33, 9459–9474. https://arxiv.org/abs/2005.11401</w:t>
      </w:r>
    </w:p>
    <w:p>
      <w:pPr>
        <w:spacing w:after="100"/>
        <w:ind w:left="720" w:hanging="720"/>
      </w:pPr>
      <w:r>
        <w:rPr>
          <w:rFonts w:ascii="Calibri" w:hAnsi="Calibri"/>
          <w:sz w:val="20"/>
        </w:rPr>
        <w:t>Robertson, S., &amp; Zaragoza, H. (2009). The probabilistic relevance framework: BM25 and beyond. Foundations and Trends in Information Retrieval, 3(4), 333–389. https://doi.org/10.1561/1500000019</w:t>
      </w:r>
    </w:p>
    <w:p>
      <w:pPr>
        <w:spacing w:after="100"/>
        <w:ind w:left="720" w:hanging="720"/>
      </w:pPr>
      <w:r>
        <w:rPr>
          <w:rFonts w:ascii="Calibri" w:hAnsi="Calibri"/>
          <w:sz w:val="20"/>
        </w:rPr>
        <w:t>Wornow, M., Xu, Y., Labrak, Y., Shah, S., Ehwerhemuepha, L., Ghassemi, M., &amp; Shah, N. H. (2023). The shaky foundations of large language models and foundation models for electronic health records. npj Digital Medicine, 6(1), 135. https://doi.org/10.1038/s41746-023-00879-8</w:t>
      </w:r>
    </w:p>
    <w:p>
      <w:pPr>
        <w:spacing w:after="100"/>
        <w:ind w:left="720" w:hanging="720"/>
      </w:pPr>
      <w:r>
        <w:rPr>
          <w:rFonts w:ascii="Calibri" w:hAnsi="Calibri"/>
          <w:sz w:val="20"/>
        </w:rPr>
        <w:t>Xiao, S., Liu, Z., Zhang, P., &amp; Muennighoff, N. (2023). C-Pack: Packaged resources to advance general Chinese embedding. arXiv preprint arXiv:2309.07597. https://arxiv.org/abs/2309.07597</w:t>
      </w:r>
    </w:p>
    <w:p>
      <w:pPr>
        <w:spacing w:after="100"/>
        <w:ind w:left="720" w:hanging="720"/>
      </w:pPr>
      <w:r>
        <w:rPr>
          <w:rFonts w:ascii="Calibri" w:hAnsi="Calibri"/>
          <w:sz w:val="20"/>
        </w:rPr>
        <w:t>Google DeepMind. (2024). Gemini 1.5: Unlocking multimodal understanding across millions of tokens of context. arXiv preprint arXiv:2403.05530. https://arxiv.org/abs/2403.05530</w:t>
      </w:r>
    </w:p>
    <w:p>
      <w:pPr>
        <w:spacing w:after="100"/>
        <w:ind w:left="720" w:hanging="720"/>
      </w:pPr>
      <w:r>
        <w:rPr>
          <w:rFonts w:ascii="Calibri" w:hAnsi="Calibri"/>
          <w:sz w:val="20"/>
        </w:rPr>
        <w:t>Rajpurkar, P., Jia, R., &amp; Liang, P. (2018). Know what you don't know: Unanswerable questions for SQuAD. Proceedings of the 56th Annual Meeting of the Association for Computational Linguistics, 784–789. https://doi.org/10.18653/v1/P18-2124</w:t>
      </w:r>
    </w:p>
    <w:p>
      <w:pPr>
        <w:spacing w:after="100"/>
        <w:ind w:left="720" w:hanging="720"/>
      </w:pPr>
      <w:r>
        <w:rPr>
          <w:rFonts w:ascii="Calibri" w:hAnsi="Calibri"/>
          <w:sz w:val="20"/>
        </w:rPr>
        <w:t>Office for Civil Rights. (2024). Health information privacy: HIPAA security rule. U.S. Department of Health and Human Services. https://www.hhs.gov/hipaa/for-professionals/security/index.html</w:t>
      </w:r>
    </w:p>
    <w:p>
      <w:pPr>
        <w:spacing w:after="100"/>
        <w:ind w:left="720" w:hanging="720"/>
      </w:pPr>
      <w:r>
        <w:rPr>
          <w:rFonts w:ascii="Calibri" w:hAnsi="Calibri"/>
          <w:sz w:val="20"/>
        </w:rPr>
        <w:t>Cotiviti. (2024). Payment accuracy and healthcare analytics solutions. https://www.cotiviti.com</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0" w:lineRule="exac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