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A7DC9" w14:textId="77777777" w:rsidR="00EE0670" w:rsidRPr="00EE5D1E" w:rsidRDefault="00EE5D1E">
      <w:pPr>
        <w:rPr>
          <w:b/>
        </w:rPr>
      </w:pPr>
      <w:r w:rsidRPr="00EE5D1E">
        <w:rPr>
          <w:b/>
        </w:rPr>
        <w:t>HBV Case study</w:t>
      </w:r>
    </w:p>
    <w:p w14:paraId="3E486F92" w14:textId="77777777" w:rsidR="00EE5D1E" w:rsidRDefault="00EE5D1E" w:rsidP="00EE5D1E">
      <w:pPr>
        <w:pStyle w:val="ListParagraph"/>
        <w:numPr>
          <w:ilvl w:val="0"/>
          <w:numId w:val="1"/>
        </w:numPr>
      </w:pPr>
      <w:r>
        <w:t xml:space="preserve">Overall prevalence rate is: 0.4% (Source: </w:t>
      </w:r>
      <w:r w:rsidRPr="00EE5D1E">
        <w:t>Epidemiology of Hepatitis B in the United States</w:t>
      </w:r>
      <w:r>
        <w:t>)</w:t>
      </w:r>
    </w:p>
    <w:p w14:paraId="7BED0EEC" w14:textId="77777777" w:rsidR="00EE5D1E" w:rsidRDefault="00EE5D1E" w:rsidP="00EE5D1E">
      <w:pPr>
        <w:pStyle w:val="ListParagraph"/>
        <w:numPr>
          <w:ilvl w:val="0"/>
          <w:numId w:val="1"/>
        </w:numPr>
      </w:pPr>
      <w:r>
        <w:t>Age distribution by case is given by</w:t>
      </w:r>
      <w:r w:rsidR="009371CC">
        <w:t xml:space="preserve"> (Year 2017, United States)</w:t>
      </w:r>
      <w:r>
        <w:t xml:space="preserve">:  </w:t>
      </w:r>
      <w:hyperlink r:id="rId5" w:history="1">
        <w:r>
          <w:rPr>
            <w:rStyle w:val="Hyperlink"/>
          </w:rPr>
          <w:t>https://gis.cdc.gov/grasp/nchhstpatlas/tables.html</w:t>
        </w:r>
      </w:hyperlink>
    </w:p>
    <w:tbl>
      <w:tblPr>
        <w:tblW w:w="4978" w:type="dxa"/>
        <w:tblInd w:w="739" w:type="dxa"/>
        <w:tblLook w:val="04A0" w:firstRow="1" w:lastRow="0" w:firstColumn="1" w:lastColumn="0" w:noHBand="0" w:noVBand="1"/>
      </w:tblPr>
      <w:tblGrid>
        <w:gridCol w:w="960"/>
        <w:gridCol w:w="960"/>
        <w:gridCol w:w="1218"/>
        <w:gridCol w:w="1840"/>
      </w:tblGrid>
      <w:tr w:rsidR="00EE5D1E" w:rsidRPr="00EE5D1E" w14:paraId="338E72BD" w14:textId="77777777" w:rsidTr="00EE5D1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8099"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EC5A00"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Cases</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1F45ABD6"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Population</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EDDF1B4"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Calibrated risk</w:t>
            </w:r>
          </w:p>
        </w:tc>
      </w:tr>
      <w:tr w:rsidR="00EE5D1E" w:rsidRPr="00EE5D1E" w14:paraId="649AED84" w14:textId="77777777" w:rsidTr="00EE5D1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D48929"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0-14</w:t>
            </w:r>
          </w:p>
        </w:tc>
        <w:tc>
          <w:tcPr>
            <w:tcW w:w="960" w:type="dxa"/>
            <w:tcBorders>
              <w:top w:val="nil"/>
              <w:left w:val="nil"/>
              <w:bottom w:val="single" w:sz="4" w:space="0" w:color="auto"/>
              <w:right w:val="single" w:sz="4" w:space="0" w:color="auto"/>
            </w:tcBorders>
            <w:shd w:val="clear" w:color="auto" w:fill="auto"/>
            <w:noWrap/>
            <w:vAlign w:val="bottom"/>
            <w:hideMark/>
          </w:tcPr>
          <w:p w14:paraId="469ED531"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0</w:t>
            </w:r>
          </w:p>
        </w:tc>
        <w:tc>
          <w:tcPr>
            <w:tcW w:w="1218" w:type="dxa"/>
            <w:tcBorders>
              <w:top w:val="nil"/>
              <w:left w:val="nil"/>
              <w:bottom w:val="single" w:sz="4" w:space="0" w:color="auto"/>
              <w:right w:val="single" w:sz="4" w:space="0" w:color="auto"/>
            </w:tcBorders>
            <w:shd w:val="clear" w:color="auto" w:fill="auto"/>
            <w:noWrap/>
            <w:vAlign w:val="bottom"/>
            <w:hideMark/>
          </w:tcPr>
          <w:p w14:paraId="566596D6"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60,628,386</w:t>
            </w:r>
          </w:p>
        </w:tc>
        <w:tc>
          <w:tcPr>
            <w:tcW w:w="1840" w:type="dxa"/>
            <w:tcBorders>
              <w:top w:val="nil"/>
              <w:left w:val="nil"/>
              <w:bottom w:val="single" w:sz="4" w:space="0" w:color="auto"/>
              <w:right w:val="single" w:sz="4" w:space="0" w:color="auto"/>
            </w:tcBorders>
            <w:shd w:val="clear" w:color="auto" w:fill="auto"/>
            <w:noWrap/>
            <w:vAlign w:val="bottom"/>
            <w:hideMark/>
          </w:tcPr>
          <w:p w14:paraId="12586803"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0.00%</w:t>
            </w:r>
          </w:p>
        </w:tc>
      </w:tr>
      <w:tr w:rsidR="00EE5D1E" w:rsidRPr="00EE5D1E" w14:paraId="49F3B00E" w14:textId="77777777" w:rsidTr="00EE5D1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96C429"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15-24</w:t>
            </w:r>
          </w:p>
        </w:tc>
        <w:tc>
          <w:tcPr>
            <w:tcW w:w="960" w:type="dxa"/>
            <w:tcBorders>
              <w:top w:val="nil"/>
              <w:left w:val="nil"/>
              <w:bottom w:val="single" w:sz="4" w:space="0" w:color="auto"/>
              <w:right w:val="single" w:sz="4" w:space="0" w:color="auto"/>
            </w:tcBorders>
            <w:shd w:val="clear" w:color="auto" w:fill="auto"/>
            <w:noWrap/>
            <w:vAlign w:val="bottom"/>
            <w:hideMark/>
          </w:tcPr>
          <w:p w14:paraId="00F01F42"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99</w:t>
            </w:r>
          </w:p>
        </w:tc>
        <w:tc>
          <w:tcPr>
            <w:tcW w:w="1218" w:type="dxa"/>
            <w:tcBorders>
              <w:top w:val="nil"/>
              <w:left w:val="nil"/>
              <w:bottom w:val="single" w:sz="4" w:space="0" w:color="auto"/>
              <w:right w:val="single" w:sz="4" w:space="0" w:color="auto"/>
            </w:tcBorders>
            <w:shd w:val="clear" w:color="auto" w:fill="auto"/>
            <w:noWrap/>
            <w:vAlign w:val="bottom"/>
            <w:hideMark/>
          </w:tcPr>
          <w:p w14:paraId="16EBC999"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42,934,115</w:t>
            </w:r>
          </w:p>
        </w:tc>
        <w:tc>
          <w:tcPr>
            <w:tcW w:w="1840" w:type="dxa"/>
            <w:tcBorders>
              <w:top w:val="nil"/>
              <w:left w:val="nil"/>
              <w:bottom w:val="single" w:sz="4" w:space="0" w:color="auto"/>
              <w:right w:val="single" w:sz="4" w:space="0" w:color="auto"/>
            </w:tcBorders>
            <w:shd w:val="clear" w:color="auto" w:fill="auto"/>
            <w:noWrap/>
            <w:vAlign w:val="bottom"/>
            <w:hideMark/>
          </w:tcPr>
          <w:p w14:paraId="6EA1A2E9"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0.09%</w:t>
            </w:r>
          </w:p>
        </w:tc>
      </w:tr>
      <w:tr w:rsidR="00EE5D1E" w:rsidRPr="00EE5D1E" w14:paraId="459052EB" w14:textId="77777777" w:rsidTr="00EE5D1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B5DE6E"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25-34</w:t>
            </w:r>
          </w:p>
        </w:tc>
        <w:tc>
          <w:tcPr>
            <w:tcW w:w="960" w:type="dxa"/>
            <w:tcBorders>
              <w:top w:val="nil"/>
              <w:left w:val="nil"/>
              <w:bottom w:val="single" w:sz="4" w:space="0" w:color="auto"/>
              <w:right w:val="single" w:sz="4" w:space="0" w:color="auto"/>
            </w:tcBorders>
            <w:shd w:val="clear" w:color="auto" w:fill="auto"/>
            <w:noWrap/>
            <w:vAlign w:val="bottom"/>
            <w:hideMark/>
          </w:tcPr>
          <w:p w14:paraId="7022F787"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572</w:t>
            </w:r>
          </w:p>
        </w:tc>
        <w:tc>
          <w:tcPr>
            <w:tcW w:w="1218" w:type="dxa"/>
            <w:tcBorders>
              <w:top w:val="nil"/>
              <w:left w:val="nil"/>
              <w:bottom w:val="single" w:sz="4" w:space="0" w:color="auto"/>
              <w:right w:val="single" w:sz="4" w:space="0" w:color="auto"/>
            </w:tcBorders>
            <w:shd w:val="clear" w:color="auto" w:fill="auto"/>
            <w:noWrap/>
            <w:vAlign w:val="bottom"/>
            <w:hideMark/>
          </w:tcPr>
          <w:p w14:paraId="087EE085"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44,955,410</w:t>
            </w:r>
          </w:p>
        </w:tc>
        <w:tc>
          <w:tcPr>
            <w:tcW w:w="1840" w:type="dxa"/>
            <w:tcBorders>
              <w:top w:val="nil"/>
              <w:left w:val="nil"/>
              <w:bottom w:val="single" w:sz="4" w:space="0" w:color="auto"/>
              <w:right w:val="single" w:sz="4" w:space="0" w:color="auto"/>
            </w:tcBorders>
            <w:shd w:val="clear" w:color="auto" w:fill="auto"/>
            <w:noWrap/>
            <w:vAlign w:val="bottom"/>
            <w:hideMark/>
          </w:tcPr>
          <w:p w14:paraId="06780624"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0.48%</w:t>
            </w:r>
          </w:p>
        </w:tc>
      </w:tr>
      <w:tr w:rsidR="00EE5D1E" w:rsidRPr="00EE5D1E" w14:paraId="642D8DE6" w14:textId="77777777" w:rsidTr="00EE5D1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C9D1EB"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35-44</w:t>
            </w:r>
          </w:p>
        </w:tc>
        <w:tc>
          <w:tcPr>
            <w:tcW w:w="960" w:type="dxa"/>
            <w:tcBorders>
              <w:top w:val="nil"/>
              <w:left w:val="nil"/>
              <w:bottom w:val="single" w:sz="4" w:space="0" w:color="auto"/>
              <w:right w:val="single" w:sz="4" w:space="0" w:color="auto"/>
            </w:tcBorders>
            <w:shd w:val="clear" w:color="auto" w:fill="auto"/>
            <w:noWrap/>
            <w:vAlign w:val="bottom"/>
            <w:hideMark/>
          </w:tcPr>
          <w:p w14:paraId="75870853"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1,138</w:t>
            </w:r>
          </w:p>
        </w:tc>
        <w:tc>
          <w:tcPr>
            <w:tcW w:w="1218" w:type="dxa"/>
            <w:tcBorders>
              <w:top w:val="nil"/>
              <w:left w:val="nil"/>
              <w:bottom w:val="single" w:sz="4" w:space="0" w:color="auto"/>
              <w:right w:val="single" w:sz="4" w:space="0" w:color="auto"/>
            </w:tcBorders>
            <w:shd w:val="clear" w:color="auto" w:fill="auto"/>
            <w:noWrap/>
            <w:vAlign w:val="bottom"/>
            <w:hideMark/>
          </w:tcPr>
          <w:p w14:paraId="58573DD4"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40,578,221</w:t>
            </w:r>
          </w:p>
        </w:tc>
        <w:tc>
          <w:tcPr>
            <w:tcW w:w="1840" w:type="dxa"/>
            <w:tcBorders>
              <w:top w:val="nil"/>
              <w:left w:val="nil"/>
              <w:bottom w:val="single" w:sz="4" w:space="0" w:color="auto"/>
              <w:right w:val="single" w:sz="4" w:space="0" w:color="auto"/>
            </w:tcBorders>
            <w:shd w:val="clear" w:color="auto" w:fill="auto"/>
            <w:noWrap/>
            <w:vAlign w:val="bottom"/>
            <w:hideMark/>
          </w:tcPr>
          <w:p w14:paraId="25EBDA97"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1.07%</w:t>
            </w:r>
          </w:p>
        </w:tc>
      </w:tr>
      <w:tr w:rsidR="00EE5D1E" w:rsidRPr="00EE5D1E" w14:paraId="7D49031D" w14:textId="77777777" w:rsidTr="00EE5D1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98F7D"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45-54</w:t>
            </w:r>
          </w:p>
        </w:tc>
        <w:tc>
          <w:tcPr>
            <w:tcW w:w="960" w:type="dxa"/>
            <w:tcBorders>
              <w:top w:val="nil"/>
              <w:left w:val="nil"/>
              <w:bottom w:val="single" w:sz="4" w:space="0" w:color="auto"/>
              <w:right w:val="single" w:sz="4" w:space="0" w:color="auto"/>
            </w:tcBorders>
            <w:shd w:val="clear" w:color="auto" w:fill="auto"/>
            <w:noWrap/>
            <w:vAlign w:val="bottom"/>
            <w:hideMark/>
          </w:tcPr>
          <w:p w14:paraId="7DF28D91"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896</w:t>
            </w:r>
          </w:p>
        </w:tc>
        <w:tc>
          <w:tcPr>
            <w:tcW w:w="1218" w:type="dxa"/>
            <w:tcBorders>
              <w:top w:val="nil"/>
              <w:left w:val="nil"/>
              <w:bottom w:val="single" w:sz="4" w:space="0" w:color="auto"/>
              <w:right w:val="single" w:sz="4" w:space="0" w:color="auto"/>
            </w:tcBorders>
            <w:shd w:val="clear" w:color="auto" w:fill="auto"/>
            <w:noWrap/>
            <w:vAlign w:val="bottom"/>
            <w:hideMark/>
          </w:tcPr>
          <w:p w14:paraId="5D2DE7BD"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42,088,638</w:t>
            </w:r>
          </w:p>
        </w:tc>
        <w:tc>
          <w:tcPr>
            <w:tcW w:w="1840" w:type="dxa"/>
            <w:tcBorders>
              <w:top w:val="nil"/>
              <w:left w:val="nil"/>
              <w:bottom w:val="single" w:sz="4" w:space="0" w:color="auto"/>
              <w:right w:val="single" w:sz="4" w:space="0" w:color="auto"/>
            </w:tcBorders>
            <w:shd w:val="clear" w:color="auto" w:fill="auto"/>
            <w:noWrap/>
            <w:vAlign w:val="bottom"/>
            <w:hideMark/>
          </w:tcPr>
          <w:p w14:paraId="45202570"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0.81%</w:t>
            </w:r>
          </w:p>
        </w:tc>
      </w:tr>
      <w:tr w:rsidR="00EE5D1E" w:rsidRPr="00EE5D1E" w14:paraId="1333AAB9" w14:textId="77777777" w:rsidTr="00EE5D1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097009"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55-64</w:t>
            </w:r>
          </w:p>
        </w:tc>
        <w:tc>
          <w:tcPr>
            <w:tcW w:w="960" w:type="dxa"/>
            <w:tcBorders>
              <w:top w:val="nil"/>
              <w:left w:val="nil"/>
              <w:bottom w:val="single" w:sz="4" w:space="0" w:color="auto"/>
              <w:right w:val="single" w:sz="4" w:space="0" w:color="auto"/>
            </w:tcBorders>
            <w:shd w:val="clear" w:color="auto" w:fill="auto"/>
            <w:noWrap/>
            <w:vAlign w:val="bottom"/>
            <w:hideMark/>
          </w:tcPr>
          <w:p w14:paraId="061BF6E5"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457</w:t>
            </w:r>
          </w:p>
        </w:tc>
        <w:tc>
          <w:tcPr>
            <w:tcW w:w="1218" w:type="dxa"/>
            <w:tcBorders>
              <w:top w:val="nil"/>
              <w:left w:val="nil"/>
              <w:bottom w:val="single" w:sz="4" w:space="0" w:color="auto"/>
              <w:right w:val="single" w:sz="4" w:space="0" w:color="auto"/>
            </w:tcBorders>
            <w:shd w:val="clear" w:color="auto" w:fill="auto"/>
            <w:noWrap/>
            <w:vAlign w:val="bottom"/>
            <w:hideMark/>
          </w:tcPr>
          <w:p w14:paraId="79DB58C6"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41,696,099</w:t>
            </w:r>
          </w:p>
        </w:tc>
        <w:tc>
          <w:tcPr>
            <w:tcW w:w="1840" w:type="dxa"/>
            <w:tcBorders>
              <w:top w:val="nil"/>
              <w:left w:val="nil"/>
              <w:bottom w:val="single" w:sz="4" w:space="0" w:color="auto"/>
              <w:right w:val="single" w:sz="4" w:space="0" w:color="auto"/>
            </w:tcBorders>
            <w:shd w:val="clear" w:color="auto" w:fill="auto"/>
            <w:noWrap/>
            <w:vAlign w:val="bottom"/>
            <w:hideMark/>
          </w:tcPr>
          <w:p w14:paraId="6EE99CDD"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0.42%</w:t>
            </w:r>
          </w:p>
        </w:tc>
      </w:tr>
      <w:tr w:rsidR="00EE5D1E" w:rsidRPr="00EE5D1E" w14:paraId="283A3DC4" w14:textId="77777777" w:rsidTr="00EE5D1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2925FE" w14:textId="77777777" w:rsidR="00EE5D1E" w:rsidRPr="00EE5D1E" w:rsidRDefault="00EE5D1E" w:rsidP="00EE5D1E">
            <w:pPr>
              <w:spacing w:after="0" w:line="240" w:lineRule="auto"/>
              <w:rPr>
                <w:rFonts w:ascii="Calibri" w:eastAsia="Times New Roman" w:hAnsi="Calibri" w:cs="Calibri"/>
                <w:color w:val="000000"/>
              </w:rPr>
            </w:pPr>
            <w:r w:rsidRPr="00EE5D1E">
              <w:rPr>
                <w:rFonts w:ascii="Calibri" w:eastAsia="Times New Roman" w:hAnsi="Calibri" w:cs="Calibri"/>
                <w:color w:val="000000"/>
              </w:rPr>
              <w:t>65+</w:t>
            </w:r>
          </w:p>
        </w:tc>
        <w:tc>
          <w:tcPr>
            <w:tcW w:w="960" w:type="dxa"/>
            <w:tcBorders>
              <w:top w:val="nil"/>
              <w:left w:val="nil"/>
              <w:bottom w:val="single" w:sz="4" w:space="0" w:color="auto"/>
              <w:right w:val="single" w:sz="4" w:space="0" w:color="auto"/>
            </w:tcBorders>
            <w:shd w:val="clear" w:color="auto" w:fill="auto"/>
            <w:noWrap/>
            <w:vAlign w:val="bottom"/>
            <w:hideMark/>
          </w:tcPr>
          <w:p w14:paraId="05A35040"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242</w:t>
            </w:r>
          </w:p>
        </w:tc>
        <w:tc>
          <w:tcPr>
            <w:tcW w:w="1218" w:type="dxa"/>
            <w:tcBorders>
              <w:top w:val="nil"/>
              <w:left w:val="nil"/>
              <w:bottom w:val="single" w:sz="4" w:space="0" w:color="auto"/>
              <w:right w:val="single" w:sz="4" w:space="0" w:color="auto"/>
            </w:tcBorders>
            <w:shd w:val="clear" w:color="auto" w:fill="auto"/>
            <w:noWrap/>
            <w:vAlign w:val="bottom"/>
            <w:hideMark/>
          </w:tcPr>
          <w:p w14:paraId="654A6BF5"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50,505,383</w:t>
            </w:r>
          </w:p>
        </w:tc>
        <w:tc>
          <w:tcPr>
            <w:tcW w:w="1840" w:type="dxa"/>
            <w:tcBorders>
              <w:top w:val="nil"/>
              <w:left w:val="nil"/>
              <w:bottom w:val="single" w:sz="4" w:space="0" w:color="auto"/>
              <w:right w:val="single" w:sz="4" w:space="0" w:color="auto"/>
            </w:tcBorders>
            <w:shd w:val="clear" w:color="auto" w:fill="auto"/>
            <w:noWrap/>
            <w:vAlign w:val="bottom"/>
            <w:hideMark/>
          </w:tcPr>
          <w:p w14:paraId="731C857F" w14:textId="77777777" w:rsidR="00EE5D1E" w:rsidRPr="00EE5D1E" w:rsidRDefault="00EE5D1E" w:rsidP="00EE5D1E">
            <w:pPr>
              <w:spacing w:after="0" w:line="240" w:lineRule="auto"/>
              <w:jc w:val="right"/>
              <w:rPr>
                <w:rFonts w:ascii="Calibri" w:eastAsia="Times New Roman" w:hAnsi="Calibri" w:cs="Calibri"/>
                <w:color w:val="000000"/>
              </w:rPr>
            </w:pPr>
            <w:r w:rsidRPr="00EE5D1E">
              <w:rPr>
                <w:rFonts w:ascii="Calibri" w:eastAsia="Times New Roman" w:hAnsi="Calibri" w:cs="Calibri"/>
                <w:color w:val="000000"/>
              </w:rPr>
              <w:t>0.18%</w:t>
            </w:r>
          </w:p>
        </w:tc>
      </w:tr>
    </w:tbl>
    <w:p w14:paraId="5D605FF1" w14:textId="77777777" w:rsidR="00EE5D1E" w:rsidRDefault="00EE5D1E" w:rsidP="00C55685">
      <w:pPr>
        <w:pStyle w:val="ListParagraph"/>
        <w:numPr>
          <w:ilvl w:val="0"/>
          <w:numId w:val="2"/>
        </w:numPr>
      </w:pPr>
      <w:r>
        <w:t>Calibrate the CDC data by multiplying with a constant for it to match the overall prevalence rate of the US, i.e., 0.4%.</w:t>
      </w:r>
      <w:r w:rsidR="00C55685">
        <w:t xml:space="preserve"> Assumption: </w:t>
      </w:r>
      <w:r w:rsidR="00C55685" w:rsidRPr="00C55685">
        <w:t>Underreporting is uniform across age groups</w:t>
      </w:r>
      <w:r w:rsidR="00C55685">
        <w:t>.</w:t>
      </w:r>
    </w:p>
    <w:p w14:paraId="554D954A" w14:textId="77777777" w:rsidR="00EE5D1E" w:rsidRDefault="00EE5D1E" w:rsidP="00EE5D1E">
      <w:pPr>
        <w:pStyle w:val="ListParagraph"/>
        <w:numPr>
          <w:ilvl w:val="0"/>
          <w:numId w:val="2"/>
        </w:numPr>
        <w:ind w:left="720"/>
      </w:pPr>
      <w:r>
        <w:t>The calibrated risk</w:t>
      </w:r>
      <w:r w:rsidR="007913C2">
        <w:t xml:space="preserve"> is shown in the table and is plotted below (highly heterogeneous).</w:t>
      </w:r>
    </w:p>
    <w:p w14:paraId="1C651193" w14:textId="21EA0570" w:rsidR="007913C2" w:rsidRDefault="007913C2" w:rsidP="007913C2">
      <w:bookmarkStart w:id="0" w:name="_GoBack"/>
      <w:r>
        <w:rPr>
          <w:noProof/>
        </w:rPr>
        <w:drawing>
          <wp:anchor distT="0" distB="0" distL="114300" distR="114300" simplePos="0" relativeHeight="251658240" behindDoc="0" locked="0" layoutInCell="1" allowOverlap="1" wp14:anchorId="23F3C03B" wp14:editId="63AD7C14">
            <wp:simplePos x="914400" y="4053840"/>
            <wp:positionH relativeFrom="column">
              <wp:align>left</wp:align>
            </wp:positionH>
            <wp:positionV relativeFrom="paragraph">
              <wp:align>top</wp:align>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bookmarkEnd w:id="0"/>
      <w:r w:rsidR="00260ECE">
        <w:br w:type="textWrapping" w:clear="all"/>
      </w:r>
    </w:p>
    <w:p w14:paraId="6C5FF823" w14:textId="77777777" w:rsidR="007913C2" w:rsidRDefault="007913C2" w:rsidP="007913C2">
      <w:pPr>
        <w:pStyle w:val="ListParagraph"/>
        <w:numPr>
          <w:ilvl w:val="0"/>
          <w:numId w:val="2"/>
        </w:numPr>
      </w:pPr>
      <w:r>
        <w:t>The paper by “Comparative analysis of triplex nucleic acid test assays in United States blood donors” gives data on fully infected pools for HBV (shown below):</w:t>
      </w:r>
    </w:p>
    <w:tbl>
      <w:tblPr>
        <w:tblW w:w="2880" w:type="dxa"/>
        <w:tblInd w:w="1099" w:type="dxa"/>
        <w:tblLook w:val="04A0" w:firstRow="1" w:lastRow="0" w:firstColumn="1" w:lastColumn="0" w:noHBand="0" w:noVBand="1"/>
      </w:tblPr>
      <w:tblGrid>
        <w:gridCol w:w="960"/>
        <w:gridCol w:w="960"/>
        <w:gridCol w:w="960"/>
      </w:tblGrid>
      <w:tr w:rsidR="007913C2" w:rsidRPr="007913C2" w14:paraId="42291D5A" w14:textId="77777777" w:rsidTr="007913C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F3859"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AE17BE3"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k</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75A66DD"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Se_tilde</w:t>
            </w:r>
          </w:p>
        </w:tc>
      </w:tr>
      <w:tr w:rsidR="007913C2" w:rsidRPr="007913C2" w14:paraId="000DFB37" w14:textId="77777777" w:rsidTr="007913C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57E335"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4CB4361B"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388C7915"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0.94</w:t>
            </w:r>
          </w:p>
        </w:tc>
      </w:tr>
      <w:tr w:rsidR="007913C2" w:rsidRPr="007913C2" w14:paraId="2AAC0C57" w14:textId="77777777" w:rsidTr="007913C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6B25A1"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14:paraId="308F5141"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14:paraId="052D01D5"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0.90</w:t>
            </w:r>
          </w:p>
        </w:tc>
      </w:tr>
      <w:tr w:rsidR="007913C2" w:rsidRPr="007913C2" w14:paraId="4C2B1EAB" w14:textId="77777777" w:rsidTr="007913C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6235C8"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14:paraId="43B5FAC5"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14:paraId="37622B7D"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0.83</w:t>
            </w:r>
          </w:p>
        </w:tc>
      </w:tr>
      <w:tr w:rsidR="007913C2" w:rsidRPr="007913C2" w14:paraId="64AD6CAD" w14:textId="77777777" w:rsidTr="007913C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44722B"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center"/>
            <w:hideMark/>
          </w:tcPr>
          <w:p w14:paraId="35DCB29D"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center"/>
            <w:hideMark/>
          </w:tcPr>
          <w:p w14:paraId="6EBD0673" w14:textId="77777777" w:rsidR="007913C2" w:rsidRPr="007913C2" w:rsidRDefault="007913C2" w:rsidP="007913C2">
            <w:pPr>
              <w:spacing w:after="0" w:line="240" w:lineRule="auto"/>
              <w:jc w:val="center"/>
              <w:rPr>
                <w:rFonts w:ascii="Calibri" w:eastAsia="Times New Roman" w:hAnsi="Calibri" w:cs="Calibri"/>
                <w:color w:val="000000"/>
              </w:rPr>
            </w:pPr>
            <w:r w:rsidRPr="007913C2">
              <w:rPr>
                <w:rFonts w:ascii="Calibri" w:eastAsia="Times New Roman" w:hAnsi="Calibri" w:cs="Calibri"/>
                <w:color w:val="000000"/>
              </w:rPr>
              <w:t>0.75</w:t>
            </w:r>
          </w:p>
        </w:tc>
      </w:tr>
    </w:tbl>
    <w:p w14:paraId="6C2F0F46" w14:textId="77777777" w:rsidR="007913C2" w:rsidRPr="00AB5664" w:rsidRDefault="007913C2" w:rsidP="00AB5664">
      <w:pPr>
        <w:pStyle w:val="ListParagraph"/>
        <w:numPr>
          <w:ilvl w:val="0"/>
          <w:numId w:val="2"/>
        </w:numPr>
      </w:pPr>
      <w:r>
        <w:t xml:space="preserve">Assuming a specificity of 0.95 </w:t>
      </w:r>
      <w:r w:rsidRPr="007913C2">
        <w:rPr>
          <w:color w:val="FF0000"/>
        </w:rPr>
        <w:t xml:space="preserve">(a source for </w:t>
      </w:r>
      <w:proofErr w:type="spellStart"/>
      <w:r w:rsidRPr="007913C2">
        <w:rPr>
          <w:color w:val="FF0000"/>
        </w:rPr>
        <w:t>Sp</w:t>
      </w:r>
      <w:proofErr w:type="spellEnd"/>
      <w:r w:rsidRPr="007913C2">
        <w:rPr>
          <w:color w:val="FF0000"/>
        </w:rPr>
        <w:t xml:space="preserve"> needs to be found)</w:t>
      </w:r>
      <w:r>
        <w:rPr>
          <w:color w:val="FF0000"/>
        </w:rPr>
        <w:t xml:space="preserve"> </w:t>
      </w:r>
      <w:r w:rsidR="00C55685">
        <w:rPr>
          <w:color w:val="000000" w:themeColor="text1"/>
        </w:rPr>
        <w:t>using the linear regression method.</w:t>
      </w:r>
    </w:p>
    <w:p w14:paraId="6469D5E1" w14:textId="77777777" w:rsidR="00AB5664" w:rsidRDefault="00AB5664" w:rsidP="00AB5664"/>
    <w:p w14:paraId="4B3F16D8" w14:textId="77777777" w:rsidR="00AB5664" w:rsidRPr="00AB5664" w:rsidRDefault="00AB5664" w:rsidP="00AB5664"/>
    <w:p w14:paraId="4E5C2AD8" w14:textId="77777777" w:rsidR="00AB5664" w:rsidRDefault="00AB5664" w:rsidP="00AB5664">
      <w:pPr>
        <w:pStyle w:val="ListParagraph"/>
        <w:ind w:left="1080"/>
      </w:pPr>
    </w:p>
    <w:p w14:paraId="40E47A28" w14:textId="77777777" w:rsidR="00414A61" w:rsidRDefault="00C55685" w:rsidP="00414A61">
      <w:pPr>
        <w:pStyle w:val="ListParagraph"/>
        <w:numPr>
          <w:ilvl w:val="0"/>
          <w:numId w:val="2"/>
        </w:numPr>
      </w:pPr>
      <w:r>
        <w:t xml:space="preserve">(This examples is for </w:t>
      </w:r>
      <w:r>
        <w:rPr>
          <w:color w:val="000000" w:themeColor="text1"/>
        </w:rPr>
        <w:t>alpha=</w:t>
      </w:r>
      <w:r w:rsidRPr="00AB5664">
        <w:rPr>
          <w:color w:val="000000" w:themeColor="text1"/>
        </w:rPr>
        <w:t>0.031117374</w:t>
      </w:r>
      <w:r>
        <w:rPr>
          <w:color w:val="000000" w:themeColor="text1"/>
        </w:rPr>
        <w:t>, gamma=</w:t>
      </w:r>
      <w:r w:rsidRPr="00AB5664">
        <w:rPr>
          <w:color w:val="000000" w:themeColor="text1"/>
        </w:rPr>
        <w:t>1.327264196</w:t>
      </w:r>
      <w:r>
        <w:rPr>
          <w:color w:val="000000" w:themeColor="text1"/>
        </w:rPr>
        <w:t xml:space="preserve">) </w:t>
      </w:r>
      <w:r w:rsidR="00414A61">
        <w:t>For the calibrated alpha and gamma parameters we can have a plot (x-axis=</w:t>
      </w:r>
      <w:proofErr w:type="spellStart"/>
      <w:r w:rsidR="00414A61">
        <w:t>pmin</w:t>
      </w:r>
      <w:proofErr w:type="spellEnd"/>
      <w:r w:rsidR="00414A61">
        <w:t xml:space="preserve"> and y-axis=</w:t>
      </w:r>
      <w:proofErr w:type="spellStart"/>
      <w:r w:rsidR="00414A61">
        <w:t>pmax</w:t>
      </w:r>
      <w:proofErr w:type="spellEnd"/>
      <w:r w:rsidR="00414A61">
        <w:t>) that displays that region the will satisfy the condition. The plot is shown below:</w:t>
      </w:r>
    </w:p>
    <w:p w14:paraId="182F3AA2" w14:textId="77777777" w:rsidR="00414A61" w:rsidRDefault="00414A61" w:rsidP="00414A61">
      <w:pPr>
        <w:ind w:left="720"/>
      </w:pPr>
      <w:r>
        <w:rPr>
          <w:noProof/>
        </w:rPr>
        <w:drawing>
          <wp:inline distT="0" distB="0" distL="0" distR="0" wp14:anchorId="13A93DEE" wp14:editId="5EB9A07C">
            <wp:extent cx="3642360" cy="280035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E9141E" w14:textId="77777777" w:rsidR="00EE5D1E" w:rsidRDefault="00414A61" w:rsidP="00414A61">
      <w:pPr>
        <w:pStyle w:val="ListParagraph"/>
        <w:ind w:left="1080"/>
      </w:pPr>
      <w:r>
        <w:t xml:space="preserve"> Notice that all relevant points are above the y=x line (as </w:t>
      </w:r>
      <w:proofErr w:type="spellStart"/>
      <w:r>
        <w:t>pmax</w:t>
      </w:r>
      <w:proofErr w:type="spellEnd"/>
      <w:r>
        <w:t>&gt;=</w:t>
      </w:r>
      <w:proofErr w:type="spellStart"/>
      <w:r>
        <w:t>pmin</w:t>
      </w:r>
      <w:proofErr w:type="spellEnd"/>
      <w:r>
        <w:t xml:space="preserve">).  The green region is when it is satisfied while the red is when it is not satisfied. The figure reveals that the condition is satisfied for the vast majority of cases .The only cases is does not satisfies is when we have a huge disparity between </w:t>
      </w:r>
      <w:proofErr w:type="spellStart"/>
      <w:r>
        <w:t>pmin</w:t>
      </w:r>
      <w:proofErr w:type="spellEnd"/>
      <w:r>
        <w:t xml:space="preserve"> and </w:t>
      </w:r>
      <w:proofErr w:type="spellStart"/>
      <w:r>
        <w:t>pmax</w:t>
      </w:r>
      <w:proofErr w:type="spellEnd"/>
      <w:r>
        <w:t xml:space="preserve">, which is unlikely to occur in most realistic settings. In our case study, we have that </w:t>
      </w:r>
      <w:proofErr w:type="spellStart"/>
      <w:r>
        <w:t>p_min</w:t>
      </w:r>
      <w:proofErr w:type="spellEnd"/>
      <w:r>
        <w:t xml:space="preserve">=0% and </w:t>
      </w:r>
      <w:proofErr w:type="spellStart"/>
      <w:r>
        <w:t>p_max</w:t>
      </w:r>
      <w:proofErr w:type="spellEnd"/>
      <w:r>
        <w:t>=1.07%, which is part of the green region</w:t>
      </w:r>
    </w:p>
    <w:p w14:paraId="16B5B6BE" w14:textId="77777777" w:rsidR="00BF761E" w:rsidRDefault="00BF761E" w:rsidP="00414A61">
      <w:pPr>
        <w:pStyle w:val="ListParagraph"/>
        <w:ind w:left="1080"/>
      </w:pPr>
    </w:p>
    <w:p w14:paraId="54304374" w14:textId="77777777" w:rsidR="00BF761E" w:rsidRDefault="00BF761E" w:rsidP="00C55685">
      <w:pPr>
        <w:pStyle w:val="ListParagraph"/>
        <w:numPr>
          <w:ilvl w:val="0"/>
          <w:numId w:val="3"/>
        </w:numPr>
        <w:ind w:left="630"/>
      </w:pPr>
      <w:r>
        <w:t>A new calibration based on linear regression (see screenshot on linear regression). Doing see gives: alpha=</w:t>
      </w:r>
      <w:r w:rsidRPr="00BF761E">
        <w:t>0.053460023</w:t>
      </w:r>
      <w:r>
        <w:t xml:space="preserve"> and gamma=</w:t>
      </w:r>
      <w:r w:rsidRPr="00BF761E">
        <w:t>1.2467</w:t>
      </w:r>
      <w:r>
        <w:t>.</w:t>
      </w:r>
      <w:r w:rsidR="0020756B">
        <w:t xml:space="preserve"> The plot for the linear regression is (almost a perfect fit):</w:t>
      </w:r>
    </w:p>
    <w:p w14:paraId="5A98AE54" w14:textId="77777777" w:rsidR="0020756B" w:rsidRDefault="0020756B" w:rsidP="00414A61">
      <w:pPr>
        <w:pStyle w:val="ListParagraph"/>
        <w:ind w:left="1080"/>
      </w:pPr>
      <w:r>
        <w:rPr>
          <w:noProof/>
        </w:rPr>
        <w:lastRenderedPageBreak/>
        <w:drawing>
          <wp:inline distT="0" distB="0" distL="0" distR="0" wp14:anchorId="124EAAC3" wp14:editId="6EF9BC06">
            <wp:extent cx="5937348" cy="3280703"/>
            <wp:effectExtent l="0" t="0" r="63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64A9A7" w14:textId="77777777" w:rsidR="00BF761E" w:rsidRDefault="00BF761E" w:rsidP="00414A61">
      <w:pPr>
        <w:pStyle w:val="ListParagraph"/>
        <w:ind w:left="1080"/>
      </w:pPr>
    </w:p>
    <w:p w14:paraId="66CD3D0A" w14:textId="77777777" w:rsidR="00BF761E" w:rsidRDefault="00BF761E" w:rsidP="00414A61">
      <w:pPr>
        <w:pStyle w:val="ListParagraph"/>
        <w:ind w:left="1080"/>
      </w:pPr>
    </w:p>
    <w:p w14:paraId="6AAB8C83" w14:textId="77777777" w:rsidR="00414A61" w:rsidRDefault="0020756B" w:rsidP="0020756B">
      <w:r>
        <w:tab/>
      </w:r>
    </w:p>
    <w:p w14:paraId="523A5C4C" w14:textId="77777777" w:rsidR="0020756B" w:rsidRDefault="0020756B" w:rsidP="0020756B"/>
    <w:sectPr w:rsidR="0020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429"/>
    <w:multiLevelType w:val="hybridMultilevel"/>
    <w:tmpl w:val="5322A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7A663F1"/>
    <w:multiLevelType w:val="hybridMultilevel"/>
    <w:tmpl w:val="15B08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CF0B9C"/>
    <w:multiLevelType w:val="hybridMultilevel"/>
    <w:tmpl w:val="1B80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D1E"/>
    <w:rsid w:val="0020756B"/>
    <w:rsid w:val="00260ECE"/>
    <w:rsid w:val="00414A61"/>
    <w:rsid w:val="007913C2"/>
    <w:rsid w:val="009371CC"/>
    <w:rsid w:val="0098521C"/>
    <w:rsid w:val="00AB5664"/>
    <w:rsid w:val="00BF761E"/>
    <w:rsid w:val="00C55685"/>
    <w:rsid w:val="00E7002F"/>
    <w:rsid w:val="00EA36FD"/>
    <w:rsid w:val="00EE0670"/>
    <w:rsid w:val="00EE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585A"/>
  <w15:chartTrackingRefBased/>
  <w15:docId w15:val="{FEE157D9-83D5-46A0-A731-3C10045B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5D1E"/>
    <w:rPr>
      <w:color w:val="0000FF"/>
      <w:u w:val="single"/>
    </w:rPr>
  </w:style>
  <w:style w:type="paragraph" w:styleId="ListParagraph">
    <w:name w:val="List Paragraph"/>
    <w:basedOn w:val="Normal"/>
    <w:uiPriority w:val="34"/>
    <w:qFormat/>
    <w:rsid w:val="00EE5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986061">
      <w:bodyDiv w:val="1"/>
      <w:marLeft w:val="0"/>
      <w:marRight w:val="0"/>
      <w:marTop w:val="0"/>
      <w:marBottom w:val="0"/>
      <w:divBdr>
        <w:top w:val="none" w:sz="0" w:space="0" w:color="auto"/>
        <w:left w:val="none" w:sz="0" w:space="0" w:color="auto"/>
        <w:bottom w:val="none" w:sz="0" w:space="0" w:color="auto"/>
        <w:right w:val="none" w:sz="0" w:space="0" w:color="auto"/>
      </w:divBdr>
    </w:div>
    <w:div w:id="1624844413">
      <w:bodyDiv w:val="1"/>
      <w:marLeft w:val="0"/>
      <w:marRight w:val="0"/>
      <w:marTop w:val="0"/>
      <w:marBottom w:val="0"/>
      <w:divBdr>
        <w:top w:val="none" w:sz="0" w:space="0" w:color="auto"/>
        <w:left w:val="none" w:sz="0" w:space="0" w:color="auto"/>
        <w:bottom w:val="none" w:sz="0" w:space="0" w:color="auto"/>
        <w:right w:val="none" w:sz="0" w:space="0" w:color="auto"/>
      </w:divBdr>
    </w:div>
    <w:div w:id="199040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s.cdc.gov/grasp/nchhstpatlas/tab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e-fs.engr.tamu.edu\Faculty\hrayer\Desktop\Hrayer\4-Texas%20A&amp;M\1-Research\Capturing%20the%20dilution%20effect%20heterogeneous\Region_of_prevalenc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oe-fs.engr.tamu.edu\Faculty\hrayer\Desktop\Hrayer\4-Texas%20A&amp;M\1-Research\Capturing%20the%20dilution%20effect%20heterogeneous\Region_of_prevalenc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levels for HBV with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188670166229222"/>
          <c:y val="0.20875000000000005"/>
          <c:w val="0.81977996500437444"/>
          <c:h val="0.62271617089530473"/>
        </c:manualLayout>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7030A0"/>
              </a:solidFill>
              <a:ln>
                <a:noFill/>
              </a:ln>
              <a:effectLst/>
            </c:spPr>
            <c:extLst>
              <c:ext xmlns:c16="http://schemas.microsoft.com/office/drawing/2014/chart" uri="{C3380CC4-5D6E-409C-BE32-E72D297353CC}">
                <c16:uniqueId val="{00000004-27DE-441E-A7B0-8CCB491E4D4A}"/>
              </c:ext>
            </c:extLst>
          </c:dPt>
          <c:dPt>
            <c:idx val="2"/>
            <c:invertIfNegative val="0"/>
            <c:bubble3D val="0"/>
            <c:spPr>
              <a:solidFill>
                <a:srgbClr val="FF0000"/>
              </a:solidFill>
              <a:ln>
                <a:noFill/>
              </a:ln>
              <a:effectLst/>
            </c:spPr>
            <c:extLst>
              <c:ext xmlns:c16="http://schemas.microsoft.com/office/drawing/2014/chart" uri="{C3380CC4-5D6E-409C-BE32-E72D297353CC}">
                <c16:uniqueId val="{00000003-27DE-441E-A7B0-8CCB491E4D4A}"/>
              </c:ext>
            </c:extLst>
          </c:dPt>
          <c:dPt>
            <c:idx val="3"/>
            <c:invertIfNegative val="0"/>
            <c:bubble3D val="0"/>
            <c:spPr>
              <a:solidFill>
                <a:srgbClr val="002060"/>
              </a:solidFill>
              <a:ln>
                <a:noFill/>
              </a:ln>
              <a:effectLst/>
            </c:spPr>
            <c:extLst>
              <c:ext xmlns:c16="http://schemas.microsoft.com/office/drawing/2014/chart" uri="{C3380CC4-5D6E-409C-BE32-E72D297353CC}">
                <c16:uniqueId val="{00000002-27DE-441E-A7B0-8CCB491E4D4A}"/>
              </c:ext>
            </c:extLst>
          </c:dPt>
          <c:dPt>
            <c:idx val="5"/>
            <c:invertIfNegative val="0"/>
            <c:bubble3D val="0"/>
            <c:spPr>
              <a:solidFill>
                <a:srgbClr val="92D050"/>
              </a:solidFill>
              <a:ln>
                <a:noFill/>
              </a:ln>
              <a:effectLst/>
            </c:spPr>
            <c:extLst>
              <c:ext xmlns:c16="http://schemas.microsoft.com/office/drawing/2014/chart" uri="{C3380CC4-5D6E-409C-BE32-E72D297353CC}">
                <c16:uniqueId val="{00000001-27DE-441E-A7B0-8CCB491E4D4A}"/>
              </c:ext>
            </c:extLst>
          </c:dPt>
          <c:dPt>
            <c:idx val="6"/>
            <c:invertIfNegative val="0"/>
            <c:bubble3D val="0"/>
            <c:spPr>
              <a:solidFill>
                <a:srgbClr val="FFC000"/>
              </a:solidFill>
              <a:ln>
                <a:noFill/>
              </a:ln>
              <a:effectLst/>
            </c:spPr>
            <c:extLst>
              <c:ext xmlns:c16="http://schemas.microsoft.com/office/drawing/2014/chart" uri="{C3380CC4-5D6E-409C-BE32-E72D297353CC}">
                <c16:uniqueId val="{00000000-27DE-441E-A7B0-8CCB491E4D4A}"/>
              </c:ext>
            </c:extLst>
          </c:dPt>
          <c:cat>
            <c:strRef>
              <c:f>Sheet2!$E$2:$E$8</c:f>
              <c:strCache>
                <c:ptCount val="7"/>
                <c:pt idx="0">
                  <c:v>0-14</c:v>
                </c:pt>
                <c:pt idx="1">
                  <c:v>15-24</c:v>
                </c:pt>
                <c:pt idx="2">
                  <c:v>25-34</c:v>
                </c:pt>
                <c:pt idx="3">
                  <c:v>35-44</c:v>
                </c:pt>
                <c:pt idx="4">
                  <c:v>45-54</c:v>
                </c:pt>
                <c:pt idx="5">
                  <c:v>55-64</c:v>
                </c:pt>
                <c:pt idx="6">
                  <c:v>65+</c:v>
                </c:pt>
              </c:strCache>
            </c:strRef>
          </c:cat>
          <c:val>
            <c:numRef>
              <c:f>Sheet2!$L$2:$L$8</c:f>
              <c:numCache>
                <c:formatCode>0.0%</c:formatCode>
                <c:ptCount val="7"/>
                <c:pt idx="0">
                  <c:v>0</c:v>
                </c:pt>
                <c:pt idx="1">
                  <c:v>8.7624322333065168E-4</c:v>
                </c:pt>
                <c:pt idx="2">
                  <c:v>4.8351066597851367E-3</c:v>
                </c:pt>
                <c:pt idx="3">
                  <c:v>1.0657154252495117E-2</c:v>
                </c:pt>
                <c:pt idx="4">
                  <c:v>8.0897505545153292E-3</c:v>
                </c:pt>
                <c:pt idx="5">
                  <c:v>4.1649785371889701E-3</c:v>
                </c:pt>
                <c:pt idx="6">
                  <c:v>1.8208312149527056E-3</c:v>
                </c:pt>
              </c:numCache>
            </c:numRef>
          </c:val>
          <c:extLst>
            <c:ext xmlns:c16="http://schemas.microsoft.com/office/drawing/2014/chart" uri="{C3380CC4-5D6E-409C-BE32-E72D297353CC}">
              <c16:uniqueId val="{00000000-CF60-4A3F-9CA0-B37A8B0F8460}"/>
            </c:ext>
          </c:extLst>
        </c:ser>
        <c:dLbls>
          <c:showLegendKey val="0"/>
          <c:showVal val="0"/>
          <c:showCatName val="0"/>
          <c:showSerName val="0"/>
          <c:showPercent val="0"/>
          <c:showBubbleSize val="0"/>
        </c:dLbls>
        <c:gapWidth val="219"/>
        <c:overlap val="-27"/>
        <c:axId val="684905304"/>
        <c:axId val="684904648"/>
      </c:barChart>
      <c:catAx>
        <c:axId val="684905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 groups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904648"/>
        <c:crosses val="autoZero"/>
        <c:auto val="1"/>
        <c:lblAlgn val="ctr"/>
        <c:lblOffset val="100"/>
        <c:noMultiLvlLbl val="0"/>
      </c:catAx>
      <c:valAx>
        <c:axId val="6849046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Risk levels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905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 of prevalence rate for calibrated parameter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2"/>
          <c:order val="2"/>
          <c:tx>
            <c:strRef>
              <c:f>Sheet1!$M$7</c:f>
              <c:strCache>
                <c:ptCount val="1"/>
                <c:pt idx="0">
                  <c:v>Bottom</c:v>
                </c:pt>
              </c:strCache>
            </c:strRef>
          </c:tx>
          <c:spPr>
            <a:solidFill>
              <a:srgbClr val="FF0000"/>
            </a:solidFill>
            <a:ln>
              <a:noFill/>
            </a:ln>
            <a:effectLst/>
          </c:spPr>
          <c:cat>
            <c:numRef>
              <c:f>Sheet1!$L$8:$L$22</c:f>
              <c:numCache>
                <c:formatCode>General</c:formatCode>
                <c:ptCount val="15"/>
                <c:pt idx="0">
                  <c:v>0</c:v>
                </c:pt>
                <c:pt idx="1">
                  <c:v>0</c:v>
                </c:pt>
                <c:pt idx="2">
                  <c:v>0</c:v>
                </c:pt>
                <c:pt idx="3">
                  <c:v>100</c:v>
                </c:pt>
                <c:pt idx="4">
                  <c:v>200</c:v>
                </c:pt>
                <c:pt idx="5">
                  <c:v>300</c:v>
                </c:pt>
                <c:pt idx="6">
                  <c:v>400</c:v>
                </c:pt>
                <c:pt idx="7">
                  <c:v>500</c:v>
                </c:pt>
                <c:pt idx="8">
                  <c:v>600</c:v>
                </c:pt>
                <c:pt idx="9">
                  <c:v>700</c:v>
                </c:pt>
                <c:pt idx="10">
                  <c:v>800</c:v>
                </c:pt>
                <c:pt idx="11">
                  <c:v>900</c:v>
                </c:pt>
                <c:pt idx="12">
                  <c:v>1000</c:v>
                </c:pt>
                <c:pt idx="13">
                  <c:v>1000</c:v>
                </c:pt>
                <c:pt idx="14">
                  <c:v>1000</c:v>
                </c:pt>
              </c:numCache>
            </c:numRef>
          </c:cat>
          <c:val>
            <c:numRef>
              <c:f>Sheet1!$M$8:$M$22</c:f>
              <c:numCache>
                <c:formatCode>General</c:formatCode>
                <c:ptCount val="15"/>
                <c:pt idx="0">
                  <c:v>0</c:v>
                </c:pt>
                <c:pt idx="1">
                  <c:v>0</c:v>
                </c:pt>
                <c:pt idx="2">
                  <c:v>0</c:v>
                </c:pt>
                <c:pt idx="3">
                  <c:v>0.1</c:v>
                </c:pt>
                <c:pt idx="4">
                  <c:v>0.2</c:v>
                </c:pt>
                <c:pt idx="5">
                  <c:v>0.3</c:v>
                </c:pt>
                <c:pt idx="6">
                  <c:v>0.4</c:v>
                </c:pt>
                <c:pt idx="7">
                  <c:v>0.5</c:v>
                </c:pt>
                <c:pt idx="8">
                  <c:v>0.6</c:v>
                </c:pt>
                <c:pt idx="9">
                  <c:v>0.7</c:v>
                </c:pt>
                <c:pt idx="10">
                  <c:v>0.8</c:v>
                </c:pt>
                <c:pt idx="11">
                  <c:v>0.9</c:v>
                </c:pt>
                <c:pt idx="12">
                  <c:v>1</c:v>
                </c:pt>
                <c:pt idx="13">
                  <c:v>0</c:v>
                </c:pt>
                <c:pt idx="14">
                  <c:v>0</c:v>
                </c:pt>
              </c:numCache>
            </c:numRef>
          </c:val>
          <c:extLst>
            <c:ext xmlns:c16="http://schemas.microsoft.com/office/drawing/2014/chart" uri="{C3380CC4-5D6E-409C-BE32-E72D297353CC}">
              <c16:uniqueId val="{00000000-204B-4060-8BAA-362A2F4FBC68}"/>
            </c:ext>
          </c:extLst>
        </c:ser>
        <c:ser>
          <c:idx val="3"/>
          <c:order val="3"/>
          <c:tx>
            <c:strRef>
              <c:f>Sheet1!$N$7</c:f>
              <c:strCache>
                <c:ptCount val="1"/>
                <c:pt idx="0">
                  <c:v>Delta</c:v>
                </c:pt>
              </c:strCache>
            </c:strRef>
          </c:tx>
          <c:spPr>
            <a:solidFill>
              <a:srgbClr val="92D050"/>
            </a:solidFill>
            <a:ln>
              <a:noFill/>
            </a:ln>
            <a:effectLst/>
          </c:spPr>
          <c:cat>
            <c:numRef>
              <c:f>Sheet1!$L$8:$L$22</c:f>
              <c:numCache>
                <c:formatCode>General</c:formatCode>
                <c:ptCount val="15"/>
                <c:pt idx="0">
                  <c:v>0</c:v>
                </c:pt>
                <c:pt idx="1">
                  <c:v>0</c:v>
                </c:pt>
                <c:pt idx="2">
                  <c:v>0</c:v>
                </c:pt>
                <c:pt idx="3">
                  <c:v>100</c:v>
                </c:pt>
                <c:pt idx="4">
                  <c:v>200</c:v>
                </c:pt>
                <c:pt idx="5">
                  <c:v>300</c:v>
                </c:pt>
                <c:pt idx="6">
                  <c:v>400</c:v>
                </c:pt>
                <c:pt idx="7">
                  <c:v>500</c:v>
                </c:pt>
                <c:pt idx="8">
                  <c:v>600</c:v>
                </c:pt>
                <c:pt idx="9">
                  <c:v>700</c:v>
                </c:pt>
                <c:pt idx="10">
                  <c:v>800</c:v>
                </c:pt>
                <c:pt idx="11">
                  <c:v>900</c:v>
                </c:pt>
                <c:pt idx="12">
                  <c:v>1000</c:v>
                </c:pt>
                <c:pt idx="13">
                  <c:v>1000</c:v>
                </c:pt>
                <c:pt idx="14">
                  <c:v>1000</c:v>
                </c:pt>
              </c:numCache>
            </c:numRef>
          </c:cat>
          <c:val>
            <c:numRef>
              <c:f>Sheet1!$N$8:$N$22</c:f>
              <c:numCache>
                <c:formatCode>General</c:formatCode>
                <c:ptCount val="15"/>
                <c:pt idx="0">
                  <c:v>0</c:v>
                </c:pt>
                <c:pt idx="1">
                  <c:v>0</c:v>
                </c:pt>
                <c:pt idx="2">
                  <c:v>0.88990603416367908</c:v>
                </c:pt>
                <c:pt idx="3">
                  <c:v>0.80160123704962505</c:v>
                </c:pt>
                <c:pt idx="4">
                  <c:v>0.71459425683748656</c:v>
                </c:pt>
                <c:pt idx="5">
                  <c:v>0.62911381213341899</c:v>
                </c:pt>
                <c:pt idx="6">
                  <c:v>0.54544571952441645</c:v>
                </c:pt>
                <c:pt idx="7">
                  <c:v>0.46395189724436037</c:v>
                </c:pt>
                <c:pt idx="8">
                  <c:v>0.38509749997641862</c:v>
                </c:pt>
                <c:pt idx="9">
                  <c:v>0.30000000000000004</c:v>
                </c:pt>
                <c:pt idx="10">
                  <c:v>0.19999999999999996</c:v>
                </c:pt>
                <c:pt idx="11">
                  <c:v>9.9999999999999978E-2</c:v>
                </c:pt>
                <c:pt idx="12">
                  <c:v>0</c:v>
                </c:pt>
                <c:pt idx="13">
                  <c:v>0</c:v>
                </c:pt>
                <c:pt idx="14">
                  <c:v>0</c:v>
                </c:pt>
              </c:numCache>
            </c:numRef>
          </c:val>
          <c:extLst>
            <c:ext xmlns:c16="http://schemas.microsoft.com/office/drawing/2014/chart" uri="{C3380CC4-5D6E-409C-BE32-E72D297353CC}">
              <c16:uniqueId val="{00000001-204B-4060-8BAA-362A2F4FBC68}"/>
            </c:ext>
          </c:extLst>
        </c:ser>
        <c:dLbls>
          <c:showLegendKey val="0"/>
          <c:showVal val="0"/>
          <c:showCatName val="0"/>
          <c:showSerName val="0"/>
          <c:showPercent val="0"/>
          <c:showBubbleSize val="0"/>
        </c:dLbls>
        <c:axId val="673593864"/>
        <c:axId val="673603376"/>
      </c:areaChart>
      <c:scatterChart>
        <c:scatterStyle val="smoothMarker"/>
        <c:varyColors val="0"/>
        <c:ser>
          <c:idx val="0"/>
          <c:order val="0"/>
          <c:spPr>
            <a:ln w="12700" cap="rnd">
              <a:solidFill>
                <a:schemeClr val="tx1"/>
              </a:solidFill>
              <a:round/>
            </a:ln>
            <a:effectLst/>
          </c:spPr>
          <c:marker>
            <c:symbol val="none"/>
          </c:marker>
          <c:xVal>
            <c:numRef>
              <c:f>Sheet1!$H$9:$H$19</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Sheet1!$I$9:$I$19</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yVal>
          <c:smooth val="1"/>
          <c:extLst>
            <c:ext xmlns:c16="http://schemas.microsoft.com/office/drawing/2014/chart" uri="{C3380CC4-5D6E-409C-BE32-E72D297353CC}">
              <c16:uniqueId val="{00000002-204B-4060-8BAA-362A2F4FBC68}"/>
            </c:ext>
          </c:extLst>
        </c:ser>
        <c:ser>
          <c:idx val="1"/>
          <c:order val="1"/>
          <c:spPr>
            <a:ln w="3175" cap="rnd">
              <a:solidFill>
                <a:sysClr val="windowText" lastClr="000000"/>
              </a:solidFill>
              <a:prstDash val="sysDot"/>
              <a:round/>
            </a:ln>
            <a:effectLst/>
          </c:spPr>
          <c:marker>
            <c:symbol val="none"/>
          </c:marker>
          <c:xVal>
            <c:numRef>
              <c:f>Sheet1!$H$9:$H$19</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Sheet1!$J$9:$J$19</c:f>
              <c:numCache>
                <c:formatCode>General</c:formatCode>
                <c:ptCount val="11"/>
                <c:pt idx="0">
                  <c:v>0.88990603416367908</c:v>
                </c:pt>
                <c:pt idx="1">
                  <c:v>0.90160123704962503</c:v>
                </c:pt>
                <c:pt idx="2">
                  <c:v>0.91459425683748652</c:v>
                </c:pt>
                <c:pt idx="3">
                  <c:v>0.92911381213341893</c:v>
                </c:pt>
                <c:pt idx="4">
                  <c:v>0.94544571952441647</c:v>
                </c:pt>
                <c:pt idx="5">
                  <c:v>0.96395189724436037</c:v>
                </c:pt>
                <c:pt idx="6">
                  <c:v>0.9850974999764186</c:v>
                </c:pt>
                <c:pt idx="7">
                  <c:v>1</c:v>
                </c:pt>
                <c:pt idx="8">
                  <c:v>1</c:v>
                </c:pt>
                <c:pt idx="9">
                  <c:v>1</c:v>
                </c:pt>
                <c:pt idx="10">
                  <c:v>1</c:v>
                </c:pt>
              </c:numCache>
            </c:numRef>
          </c:yVal>
          <c:smooth val="1"/>
          <c:extLst>
            <c:ext xmlns:c16="http://schemas.microsoft.com/office/drawing/2014/chart" uri="{C3380CC4-5D6E-409C-BE32-E72D297353CC}">
              <c16:uniqueId val="{00000003-204B-4060-8BAA-362A2F4FBC68}"/>
            </c:ext>
          </c:extLst>
        </c:ser>
        <c:dLbls>
          <c:showLegendKey val="0"/>
          <c:showVal val="0"/>
          <c:showCatName val="0"/>
          <c:showSerName val="0"/>
          <c:showPercent val="0"/>
          <c:showBubbleSize val="0"/>
        </c:dLbls>
        <c:axId val="459927456"/>
        <c:axId val="459929096"/>
      </c:scatterChart>
      <c:valAx>
        <c:axId val="459927456"/>
        <c:scaling>
          <c:orientation val="minMax"/>
          <c:max val="1"/>
        </c:scaling>
        <c:delete val="0"/>
        <c:axPos val="b"/>
        <c:majorGridlines>
          <c:spPr>
            <a:ln w="9525" cap="flat" cmpd="sng" algn="ctr">
              <a:solidFill>
                <a:schemeClr val="tx1">
                  <a:lumMod val="15000"/>
                  <a:lumOff val="85000"/>
                </a:schemeClr>
              </a:solidFill>
              <a:prstDash val="sysDot"/>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prevalence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in"/>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929096"/>
        <c:crosses val="autoZero"/>
        <c:crossBetween val="midCat"/>
      </c:valAx>
      <c:valAx>
        <c:axId val="459929096"/>
        <c:scaling>
          <c:orientation val="minMax"/>
          <c:max val="1"/>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prevalence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in"/>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927456"/>
        <c:crosses val="autoZero"/>
        <c:crossBetween val="midCat"/>
        <c:majorUnit val="0.2"/>
      </c:valAx>
      <c:valAx>
        <c:axId val="673603376"/>
        <c:scaling>
          <c:orientation val="minMax"/>
          <c:max val="1"/>
        </c:scaling>
        <c:delete val="0"/>
        <c:axPos val="r"/>
        <c:numFmt formatCode="General" sourceLinked="1"/>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593864"/>
        <c:crosses val="max"/>
        <c:crossBetween val="between"/>
      </c:valAx>
      <c:dateAx>
        <c:axId val="673593864"/>
        <c:scaling>
          <c:orientation val="minMax"/>
        </c:scaling>
        <c:delete val="0"/>
        <c:axPos val="t"/>
        <c:numFmt formatCode="General" sourceLinked="1"/>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603376"/>
        <c:crosses val="max"/>
        <c:auto val="0"/>
        <c:lblOffset val="100"/>
        <c:baseTimeUnit val="days"/>
      </c:date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Calbiration_Regression!$E$11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Calbiration_Regression!$D$12:$D$15</c:f>
              <c:numCache>
                <c:formatCode>General</c:formatCode>
                <c:ptCount val="4"/>
                <c:pt idx="0">
                  <c:v>0</c:v>
                </c:pt>
                <c:pt idx="1">
                  <c:v>-1.791759469228055</c:v>
                </c:pt>
                <c:pt idx="2">
                  <c:v>-2.0794415416798357</c:v>
                </c:pt>
                <c:pt idx="3">
                  <c:v>-2.7725887222397811</c:v>
                </c:pt>
              </c:numCache>
            </c:numRef>
          </c:xVal>
          <c:yVal>
            <c:numRef>
              <c:f>Calbiration_Regression!$E$12:$E$15</c:f>
              <c:numCache>
                <c:formatCode>General</c:formatCode>
                <c:ptCount val="4"/>
                <c:pt idx="0">
                  <c:v>1.0159975676143762</c:v>
                </c:pt>
                <c:pt idx="1">
                  <c:v>-0.98025528504885862</c:v>
                </c:pt>
                <c:pt idx="2">
                  <c:v>-1.5367315417937757</c:v>
                </c:pt>
                <c:pt idx="3">
                  <c:v>-2.4836566313374457</c:v>
                </c:pt>
              </c:numCache>
            </c:numRef>
          </c:yVal>
          <c:smooth val="0"/>
          <c:extLst>
            <c:ext xmlns:c16="http://schemas.microsoft.com/office/drawing/2014/chart" uri="{C3380CC4-5D6E-409C-BE32-E72D297353CC}">
              <c16:uniqueId val="{00000000-619A-4155-ACF5-46899162CFC0}"/>
            </c:ext>
          </c:extLst>
        </c:ser>
        <c:dLbls>
          <c:showLegendKey val="0"/>
          <c:showVal val="0"/>
          <c:showCatName val="0"/>
          <c:showSerName val="0"/>
          <c:showPercent val="0"/>
          <c:showBubbleSize val="0"/>
        </c:dLbls>
        <c:axId val="730928336"/>
        <c:axId val="730934568"/>
      </c:scatterChart>
      <c:valAx>
        <c:axId val="730928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934568"/>
        <c:crosses val="autoZero"/>
        <c:crossBetween val="midCat"/>
      </c:valAx>
      <c:valAx>
        <c:axId val="730934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928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2935</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Aprahamian, Hrayer</dc:creator>
  <cp:keywords/>
  <dc:description/>
  <cp:lastModifiedBy>Sohom Chatterjee</cp:lastModifiedBy>
  <cp:revision>8</cp:revision>
  <dcterms:created xsi:type="dcterms:W3CDTF">2020-06-17T16:28:00Z</dcterms:created>
  <dcterms:modified xsi:type="dcterms:W3CDTF">2020-10-13T19:47:00Z</dcterms:modified>
</cp:coreProperties>
</file>