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deepest and most sincere gratitude to my project supervisor, Dr. Htay Htay Yi, for her exceptional guidance, continuous encouragement, and invaluable technical insights throughout every phase of this project. Her constructive feedback and unwavering support were instrumental in shaping the direction and quality of this work.</w:t>
      </w:r>
    </w:p>
    <w:p>
      <w:pPr>
        <w:spacing w:after="120" w:line="360" w:lineRule="exact"/>
        <w:ind w:firstLine="709"/>
      </w:pPr>
      <w:r>
        <w:rPr>
          <w:rFonts w:ascii="Times New Roman" w:hAnsi="Times New Roman"/>
          <w:sz w:val="24"/>
        </w:rPr>
        <w:t>I am also profoundly grateful to Dr. Thiri Thitsar Khaing for her dedicated teaching, academic mentorship, and patient guidance in helping me understand the theoretical foundations of network security and system design that underpin this project.</w:t>
      </w:r>
    </w:p>
    <w:p>
      <w:pPr>
        <w:spacing w:after="120" w:line="360" w:lineRule="exact"/>
        <w:ind w:firstLine="709"/>
      </w:pPr>
      <w:r>
        <w:rPr>
          <w:rFonts w:ascii="Times New Roman" w:hAnsi="Times New Roman"/>
          <w:sz w:val="24"/>
        </w:rPr>
        <w:t>My sincere appreciation also goes to Dr. Thu Zar San for her thoughtful advice, encouragement throughout the research process, and for sharing her expertise in cybersecurity concepts and best practices that greatly enriched the depth and rigor of this work.</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Pr>
        <w:spacing w:after="40"/>
      </w:pPr>
      <w:r>
        <w:rPr>
          <w:rFonts w:ascii="Times New Roman" w:hAnsi="Times New Roman"/>
          <w:b w:val="0"/>
          <w:sz w:val="22"/>
        </w:rPr>
        <w:t xml:space="preserve">  1.6  Research Methodology</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Pr>
        <w:spacing w:after="40"/>
      </w:pPr>
      <w:r>
        <w:rPr>
          <w:rFonts w:ascii="Times New Roman" w:hAnsi="Times New Roman"/>
          <w:b w:val="0"/>
          <w:sz w:val="22"/>
        </w:rPr>
        <w:t xml:space="preserve">  6.3  Ethical Considerations and Data Privacy</w:t>
      </w:r>
      <w:r>
        <w:rPr>
          <w:rFonts w:ascii="Times New Roman" w:hAnsi="Times New Roman"/>
          <w:sz w:val="22"/>
        </w:rPr>
        <w:t xml:space="preserve"> ................. </w:t>
      </w:r>
      <w:r>
        <w:rPr>
          <w:rFonts w:ascii="Times New Roman" w:hAnsi="Times New Roman"/>
          <w:b w:val="0"/>
          <w:sz w:val="22"/>
        </w:rPr>
        <w:t>52</w:t>
      </w:r>
    </w:p>
    <w:p>
      <w:pPr>
        <w:spacing w:after="40"/>
      </w:pPr>
      <w:r>
        <w:rPr>
          <w:rFonts w:ascii="Times New Roman" w:hAnsi="Times New Roman"/>
          <w:b w:val="0"/>
          <w:sz w:val="22"/>
        </w:rPr>
        <w:t xml:space="preserve">  6.4  Scalability and Maintenance</w:t>
      </w:r>
      <w:r>
        <w:rPr>
          <w:rFonts w:ascii="Times New Roman" w:hAnsi="Times New Roman"/>
          <w:sz w:val="22"/>
        </w:rPr>
        <w:t xml:space="preserve"> ............................. </w:t>
      </w:r>
      <w:r>
        <w:rPr>
          <w:rFonts w:ascii="Times New Roman" w:hAnsi="Times New Roman"/>
          <w:b w:val="0"/>
          <w:sz w:val="22"/>
        </w:rPr>
        <w:t>53</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54</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pPr>
        <w:spacing w:after="40"/>
      </w:pPr>
      <w:r>
        <w:rPr>
          <w:rFonts w:ascii="Times New Roman" w:hAnsi="Times New Roman"/>
          <w:sz w:val="22"/>
        </w:rPr>
        <w:t>Table 6.3  Data Retention Policy</w:t>
      </w:r>
      <w:r>
        <w:rPr>
          <w:rFonts w:ascii="Times New Roman" w:hAnsi="Times New Roman"/>
          <w:sz w:val="22"/>
        </w:rPr>
        <w:t xml:space="preserve"> ............................ 52</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pPr>
        <w:pStyle w:val="Heading2"/>
        <w:spacing w:before="240" w:after="120"/>
      </w:pPr>
      <w:r>
        <w:t>1.6  Research Methodology</w:t>
      </w:r>
    </w:p>
    <w:p>
      <w:pPr>
        <w:spacing w:after="120" w:line="360" w:lineRule="exact"/>
        <w:ind w:firstLine="709"/>
      </w:pPr>
      <w:r>
        <w:rPr>
          <w:rFonts w:ascii="Times New Roman" w:hAnsi="Times New Roman"/>
          <w:sz w:val="24"/>
        </w:rPr>
        <w:t>The development of AEGIS followed a structured research and development methodology to ensure technical rigor and system reliability:</w:t>
      </w:r>
    </w:p>
    <w:p>
      <w:pPr>
        <w:pStyle w:val="ListBullet"/>
        <w:spacing w:after="60"/>
        <w:ind w:left="709"/>
      </w:pPr>
      <w:r>
        <w:rPr>
          <w:rFonts w:ascii="Times New Roman" w:hAnsi="Times New Roman"/>
          <w:sz w:val="22"/>
        </w:rPr>
        <w:t>Phase 1: Literature Review — Analyzing existing SOC/SIEM architectures and open-source security tools.</w:t>
      </w:r>
    </w:p>
    <w:p>
      <w:pPr>
        <w:pStyle w:val="ListBullet"/>
        <w:spacing w:after="60"/>
        <w:ind w:left="709"/>
      </w:pPr>
      <w:r>
        <w:rPr>
          <w:rFonts w:ascii="Times New Roman" w:hAnsi="Times New Roman"/>
          <w:sz w:val="22"/>
        </w:rPr>
        <w:t>Phase 2: Requirements Analysis — Defining functional and non-functional needs for a mid-sized corporate lab.</w:t>
      </w:r>
    </w:p>
    <w:p>
      <w:pPr>
        <w:pStyle w:val="ListBullet"/>
        <w:spacing w:after="60"/>
        <w:ind w:left="709"/>
      </w:pPr>
      <w:r>
        <w:rPr>
          <w:rFonts w:ascii="Times New Roman" w:hAnsi="Times New Roman"/>
          <w:sz w:val="22"/>
        </w:rPr>
        <w:t>Phase 3: Network Design — Designing a multi-zone GNS3 topology with DMZ, Internal, and Management VLANs.</w:t>
      </w:r>
    </w:p>
    <w:p>
      <w:pPr>
        <w:pStyle w:val="ListBullet"/>
        <w:spacing w:after="60"/>
        <w:ind w:left="709"/>
      </w:pPr>
      <w:r>
        <w:rPr>
          <w:rFonts w:ascii="Times New Roman" w:hAnsi="Times New Roman"/>
          <w:sz w:val="22"/>
        </w:rPr>
        <w:t>Phase 4: Implementation — Developing the full-stack dashboard, API server, and Python forwarder agent.</w:t>
      </w:r>
    </w:p>
    <w:p>
      <w:pPr>
        <w:pStyle w:val="ListBullet"/>
        <w:spacing w:after="60"/>
        <w:ind w:left="709"/>
      </w:pPr>
      <w:r>
        <w:rPr>
          <w:rFonts w:ascii="Times New Roman" w:hAnsi="Times New Roman"/>
          <w:sz w:val="22"/>
        </w:rPr>
        <w:t>Phase 5: Integration — Connecting the GNS3 virtual machines to the cloud-hosted AEGIS platform.</w:t>
      </w:r>
    </w:p>
    <w:p>
      <w:pPr>
        <w:pStyle w:val="ListBullet"/>
        <w:spacing w:after="60"/>
        <w:ind w:left="709"/>
      </w:pPr>
      <w:r>
        <w:rPr>
          <w:rFonts w:ascii="Times New Roman" w:hAnsi="Times New Roman"/>
          <w:sz w:val="22"/>
        </w:rPr>
        <w:t>Phase 6: Testing and Evaluation — Simulating real-world attacks using Kali Linux and validating the auto-defense response.</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jc w:val="center"/>
      </w:pPr>
      <w:r>
        <w:drawing>
          <wp:inline xmlns:a="http://schemas.openxmlformats.org/drawingml/2006/main" xmlns:pic="http://schemas.openxmlformats.org/drawingml/2006/picture">
            <wp:extent cx="5400000" cy="3773077"/>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00000" cy="3773077"/>
                    </a:xfrm>
                    <a:prstGeom prst="rect"/>
                  </pic:spPr>
                </pic:pic>
              </a:graphicData>
            </a:graphic>
          </wp:inline>
        </w:drawing>
      </w:r>
    </w:p>
    <w:p>
      <w:pPr>
        <w:spacing w:after="160"/>
        <w:jc w:val="center"/>
      </w:pPr>
      <w:r>
        <w:rPr>
          <w:rFonts w:ascii="Times New Roman" w:hAnsi="Times New Roman"/>
          <w:i/>
          <w:sz w:val="20"/>
        </w:rPr>
        <w:t>Figure 3.1: Overall AEGIS System Architecture</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jc w:val="center"/>
      </w:pPr>
      <w:r>
        <w:drawing>
          <wp:inline xmlns:a="http://schemas.openxmlformats.org/drawingml/2006/main" xmlns:pic="http://schemas.openxmlformats.org/drawingml/2006/picture">
            <wp:extent cx="5400000" cy="2934423"/>
            <wp:docPr id="2" name="Picture 2"/>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3.2: GNS3 Network Topology Diagram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p>
      <w:pPr>
        <w:jc w:val="center"/>
      </w:pPr>
      <w:r>
        <w:drawing>
          <wp:inline xmlns:a="http://schemas.openxmlformats.org/drawingml/2006/main" xmlns:pic="http://schemas.openxmlformats.org/drawingml/2006/picture">
            <wp:extent cx="5400000" cy="3350769"/>
            <wp:docPr id="3" name="Picture 3"/>
            <wp:cNvGraphicFramePr>
              <a:graphicFrameLocks noChangeAspect="1"/>
            </wp:cNvGraphicFramePr>
            <a:graphic>
              <a:graphicData uri="http://schemas.openxmlformats.org/drawingml/2006/picture">
                <pic:pic>
                  <pic:nvPicPr>
                    <pic:cNvPr id="0" name="database_erd.png"/>
                    <pic:cNvPicPr/>
                  </pic:nvPicPr>
                  <pic:blipFill>
                    <a:blip r:embed="rId11"/>
                    <a:stretch>
                      <a:fillRect/>
                    </a:stretch>
                  </pic:blipFill>
                  <pic:spPr>
                    <a:xfrm>
                      <a:off x="0" y="0"/>
                      <a:ext cx="5400000" cy="3350769"/>
                    </a:xfrm>
                    <a:prstGeom prst="rect"/>
                  </pic:spPr>
                </pic:pic>
              </a:graphicData>
            </a:graphic>
          </wp:inline>
        </w:drawing>
      </w:r>
    </w:p>
    <w:p>
      <w:pPr>
        <w:spacing w:after="160"/>
        <w:jc w:val="center"/>
      </w:pPr>
      <w:r>
        <w:rPr>
          <w:rFonts w:ascii="Times New Roman" w:hAnsi="Times New Roman"/>
          <w:i/>
          <w:sz w:val="20"/>
        </w:rPr>
        <w:t>Figure 3.3: Database Entity-Relationship Diagram</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jc w:val="center"/>
      </w:pPr>
      <w:r>
        <w:drawing>
          <wp:inline xmlns:a="http://schemas.openxmlformats.org/drawingml/2006/main" xmlns:pic="http://schemas.openxmlformats.org/drawingml/2006/picture">
            <wp:extent cx="5400000" cy="2319231"/>
            <wp:docPr id="4" name="Picture 4"/>
            <wp:cNvGraphicFramePr>
              <a:graphicFrameLocks noChangeAspect="1"/>
            </wp:cNvGraphicFramePr>
            <a:graphic>
              <a:graphicData uri="http://schemas.openxmlformats.org/drawingml/2006/picture">
                <pic:pic>
                  <pic:nvPicPr>
                    <pic:cNvPr id="0" name="api_flow.png"/>
                    <pic:cNvPicPr/>
                  </pic:nvPicPr>
                  <pic:blipFill>
                    <a:blip r:embed="rId12"/>
                    <a:stretch>
                      <a:fillRect/>
                    </a:stretch>
                  </pic:blipFill>
                  <pic:spPr>
                    <a:xfrm>
                      <a:off x="0" y="0"/>
                      <a:ext cx="5400000" cy="2319231"/>
                    </a:xfrm>
                    <a:prstGeom prst="rect"/>
                  </pic:spPr>
                </pic:pic>
              </a:graphicData>
            </a:graphic>
          </wp:inline>
        </w:drawing>
      </w:r>
    </w:p>
    <w:p>
      <w:pPr>
        <w:spacing w:after="160"/>
        <w:jc w:val="center"/>
      </w:pPr>
      <w:r>
        <w:rPr>
          <w:rFonts w:ascii="Times New Roman" w:hAnsi="Times New Roman"/>
          <w:i/>
          <w:sz w:val="20"/>
        </w:rPr>
        <w:t>Figure 3.4: API Server Request-Response Flow</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p>
      <w:pPr>
        <w:jc w:val="center"/>
      </w:pPr>
      <w:r>
        <w:drawing>
          <wp:inline xmlns:a="http://schemas.openxmlformats.org/drawingml/2006/main" xmlns:pic="http://schemas.openxmlformats.org/drawingml/2006/picture">
            <wp:extent cx="5400000" cy="2934423"/>
            <wp:docPr id="5" name="Picture 5"/>
            <wp:cNvGraphicFramePr>
              <a:graphicFrameLocks noChangeAspect="1"/>
            </wp:cNvGraphicFramePr>
            <a:graphic>
              <a:graphicData uri="http://schemas.openxmlformats.org/drawingml/2006/picture">
                <pic:pic>
                  <pic:nvPicPr>
                    <pic:cNvPr id="0" name="pasted_file_EPUsdN_image.png"/>
                    <pic:cNvPicPr/>
                  </pic:nvPicPr>
                  <pic:blipFill>
                    <a:blip r:embed="rId10"/>
                    <a:stretch>
                      <a:fillRect/>
                    </a:stretch>
                  </pic:blipFill>
                  <pic:spPr>
                    <a:xfrm>
                      <a:off x="0" y="0"/>
                      <a:ext cx="5400000" cy="2934423"/>
                    </a:xfrm>
                    <a:prstGeom prst="rect"/>
                  </pic:spPr>
                </pic:pic>
              </a:graphicData>
            </a:graphic>
          </wp:inline>
        </w:drawing>
      </w:r>
    </w:p>
    <w:p>
      <w:pPr>
        <w:spacing w:after="160"/>
        <w:jc w:val="center"/>
      </w:pPr>
      <w:r>
        <w:rPr>
          <w:rFonts w:ascii="Times New Roman" w:hAnsi="Times New Roman"/>
          <w:i/>
          <w:sz w:val="20"/>
        </w:rPr>
        <w:t>Figure 4.1: GNS3 Topology — v4 Final Layout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4.2: pfSense Interface Configuration Screenshot</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jc w:val="center"/>
      </w:pPr>
      <w:r>
        <w:drawing>
          <wp:inline xmlns:a="http://schemas.openxmlformats.org/drawingml/2006/main" xmlns:pic="http://schemas.openxmlformats.org/drawingml/2006/picture">
            <wp:extent cx="5400000" cy="2982688"/>
            <wp:docPr id="7" name="Picture 7"/>
            <wp:cNvGraphicFramePr>
              <a:graphicFrameLocks noChangeAspect="1"/>
            </wp:cNvGraphicFramePr>
            <a:graphic>
              <a:graphicData uri="http://schemas.openxmlformats.org/drawingml/2006/picture">
                <pic:pic>
                  <pic:nvPicPr>
                    <pic:cNvPr id="0" name="pasted_file_27v0Ix_image.png"/>
                    <pic:cNvPicPr/>
                  </pic:nvPicPr>
                  <pic:blipFill>
                    <a:blip r:embed="rId14"/>
                    <a:stretch>
                      <a:fillRect/>
                    </a:stretch>
                  </pic:blipFill>
                  <pic:spPr>
                    <a:xfrm>
                      <a:off x="0" y="0"/>
                      <a:ext cx="5400000" cy="2982688"/>
                    </a:xfrm>
                    <a:prstGeom prst="rect"/>
                  </pic:spPr>
                </pic:pic>
              </a:graphicData>
            </a:graphic>
          </wp:inline>
        </w:drawing>
      </w:r>
    </w:p>
    <w:p>
      <w:pPr>
        <w:spacing w:after="160"/>
        <w:jc w:val="center"/>
      </w:pPr>
      <w:r>
        <w:rPr>
          <w:rFonts w:ascii="Times New Roman" w:hAnsi="Times New Roman"/>
          <w:i/>
          <w:sz w:val="20"/>
        </w:rPr>
        <w:t>Figure 4.3: Company Web Server Apache2 Setup</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jc w:val="center"/>
      </w:pPr>
      <w:r>
        <w:drawing>
          <wp:inline xmlns:a="http://schemas.openxmlformats.org/drawingml/2006/main" xmlns:pic="http://schemas.openxmlformats.org/drawingml/2006/picture">
            <wp:extent cx="5400000" cy="2980567"/>
            <wp:docPr id="8" name="Picture 8"/>
            <wp:cNvGraphicFramePr>
              <a:graphicFrameLocks noChangeAspect="1"/>
            </wp:cNvGraphicFramePr>
            <a:graphic>
              <a:graphicData uri="http://schemas.openxmlformats.org/drawingml/2006/picture">
                <pic:pic>
                  <pic:nvPicPr>
                    <pic:cNvPr id="0" name="pasted_file_ZoNHl2_image.png"/>
                    <pic:cNvPicPr/>
                  </pic:nvPicPr>
                  <pic:blipFill>
                    <a:blip r:embed="rId15"/>
                    <a:stretch>
                      <a:fillRect/>
                    </a:stretch>
                  </pic:blipFill>
                  <pic:spPr>
                    <a:xfrm>
                      <a:off x="0" y="0"/>
                      <a:ext cx="5400000" cy="2980567"/>
                    </a:xfrm>
                    <a:prstGeom prst="rect"/>
                  </pic:spPr>
                </pic:pic>
              </a:graphicData>
            </a:graphic>
          </wp:inline>
        </w:drawing>
      </w:r>
    </w:p>
    <w:p>
      <w:pPr>
        <w:spacing w:after="160"/>
        <w:jc w:val="center"/>
      </w:pPr>
      <w:r>
        <w:rPr>
          <w:rFonts w:ascii="Times New Roman" w:hAnsi="Times New Roman"/>
          <w:i/>
          <w:sz w:val="20"/>
        </w:rPr>
        <w:t>Figure 4.4: BIND9 DNS Zone Configuration</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jc w:val="center"/>
      </w:pPr>
      <w:r>
        <w:drawing>
          <wp:inline xmlns:a="http://schemas.openxmlformats.org/drawingml/2006/main" xmlns:pic="http://schemas.openxmlformats.org/drawingml/2006/picture">
            <wp:extent cx="5400000" cy="2771405"/>
            <wp:docPr id="9" name="Picture 9"/>
            <wp:cNvGraphicFramePr>
              <a:graphicFrameLocks noChangeAspect="1"/>
            </wp:cNvGraphicFramePr>
            <a:graphic>
              <a:graphicData uri="http://schemas.openxmlformats.org/drawingml/2006/picture">
                <pic:pic>
                  <pic:nvPicPr>
                    <pic:cNvPr id="0" name="pasted_file_LAOEvP_image.png"/>
                    <pic:cNvPicPr/>
                  </pic:nvPicPr>
                  <pic:blipFill>
                    <a:blip r:embed="rId16"/>
                    <a:stretch>
                      <a:fillRect/>
                    </a:stretch>
                  </pic:blipFill>
                  <pic:spPr>
                    <a:xfrm>
                      <a:off x="0" y="0"/>
                      <a:ext cx="5400000" cy="2771405"/>
                    </a:xfrm>
                    <a:prstGeom prst="rect"/>
                  </pic:spPr>
                </pic:pic>
              </a:graphicData>
            </a:graphic>
          </wp:inline>
        </w:drawing>
      </w:r>
    </w:p>
    <w:p>
      <w:pPr>
        <w:spacing w:after="160"/>
        <w:jc w:val="center"/>
      </w:pPr>
      <w:r>
        <w:rPr>
          <w:rFonts w:ascii="Times New Roman" w:hAnsi="Times New Roman"/>
          <w:i/>
          <w:sz w:val="20"/>
        </w:rPr>
        <w:t>Figure 4.3.3: MySQL Database Tables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jc w:val="center"/>
      </w:pPr>
      <w:r>
        <w:drawing>
          <wp:inline xmlns:a="http://schemas.openxmlformats.org/drawingml/2006/main" xmlns:pic="http://schemas.openxmlformats.org/drawingml/2006/picture">
            <wp:extent cx="5400000" cy="2700000"/>
            <wp:docPr id="10" name="Picture 10"/>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4.3.4: OpenLDAP Directory Structure</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4.5: Fail2ban Jail Configuration on company-web-server</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jc w:val="center"/>
      </w:pPr>
      <w:r>
        <w:drawing>
          <wp:inline xmlns:a="http://schemas.openxmlformats.org/drawingml/2006/main" xmlns:pic="http://schemas.openxmlformats.org/drawingml/2006/picture">
            <wp:extent cx="5400000" cy="2700000"/>
            <wp:docPr id="12" name="Picture 12"/>
            <wp:cNvGraphicFramePr>
              <a:graphicFrameLocks noChangeAspect="1"/>
            </wp:cNvGraphicFramePr>
            <a:graphic>
              <a:graphicData uri="http://schemas.openxmlformats.org/drawingml/2006/picture">
                <pic:pic>
                  <pic:nvPicPr>
                    <pic:cNvPr id="0" name="placeholder.png"/>
                    <pic:cNvPicPr/>
                  </pic:nvPicPr>
                  <pic:blipFill>
                    <a:blip r:embed="rId13"/>
                    <a:stretch>
                      <a:fillRect/>
                    </a:stretch>
                  </pic:blipFill>
                  <pic:spPr>
                    <a:xfrm>
                      <a:off x="0" y="0"/>
                      <a:ext cx="5400000" cy="2700000"/>
                    </a:xfrm>
                    <a:prstGeom prst="rect"/>
                  </pic:spPr>
                </pic:pic>
              </a:graphicData>
            </a:graphic>
          </wp:inline>
        </w:drawing>
      </w:r>
    </w:p>
    <w:p>
      <w:pPr>
        <w:spacing w:after="160"/>
        <w:jc w:val="center"/>
      </w:pPr>
      <w:r>
        <w:rPr>
          <w:rFonts w:ascii="Times New Roman" w:hAnsi="Times New Roman"/>
          <w:i/>
          <w:sz w:val="20"/>
        </w:rPr>
        <w:t>Figure 4.6: Suricata IDS EVE JSON Output Sample</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jc w:val="center"/>
      </w:pPr>
      <w:r>
        <w:drawing>
          <wp:inline xmlns:a="http://schemas.openxmlformats.org/drawingml/2006/main" xmlns:pic="http://schemas.openxmlformats.org/drawingml/2006/picture">
            <wp:extent cx="5400000" cy="990000"/>
            <wp:docPr id="13" name="Picture 13"/>
            <wp:cNvGraphicFramePr>
              <a:graphicFrameLocks noChangeAspect="1"/>
            </wp:cNvGraphicFramePr>
            <a:graphic>
              <a:graphicData uri="http://schemas.openxmlformats.org/drawingml/2006/picture">
                <pic:pic>
                  <pic:nvPicPr>
                    <pic:cNvPr id="0" name="thread_arch.png"/>
                    <pic:cNvPicPr/>
                  </pic:nvPicPr>
                  <pic:blipFill>
                    <a:blip r:embed="rId17"/>
                    <a:stretch>
                      <a:fillRect/>
                    </a:stretch>
                  </pic:blipFill>
                  <pic:spPr>
                    <a:xfrm>
                      <a:off x="0" y="0"/>
                      <a:ext cx="5400000" cy="990000"/>
                    </a:xfrm>
                    <a:prstGeom prst="rect"/>
                  </pic:spPr>
                </pic:pic>
              </a:graphicData>
            </a:graphic>
          </wp:inline>
        </w:drawing>
      </w:r>
    </w:p>
    <w:p>
      <w:pPr>
        <w:spacing w:after="160"/>
        <w:jc w:val="center"/>
      </w:pPr>
      <w:r>
        <w:rPr>
          <w:rFonts w:ascii="Times New Roman" w:hAnsi="Times New Roman"/>
          <w:i/>
          <w:sz w:val="20"/>
        </w:rPr>
        <w:t>Figure 4.7: AEGIS Forwarder Agent Thread Architecture</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jc w:val="center"/>
      </w:pPr>
      <w:r>
        <w:drawing>
          <wp:inline xmlns:a="http://schemas.openxmlformats.org/drawingml/2006/main" xmlns:pic="http://schemas.openxmlformats.org/drawingml/2006/picture">
            <wp:extent cx="5400000" cy="726923"/>
            <wp:docPr id="14" name="Picture 14"/>
            <wp:cNvGraphicFramePr>
              <a:graphicFrameLocks noChangeAspect="1"/>
            </wp:cNvGraphicFramePr>
            <a:graphic>
              <a:graphicData uri="http://schemas.openxmlformats.org/drawingml/2006/picture">
                <pic:pic>
                  <pic:nvPicPr>
                    <pic:cNvPr id="0" name="defense_pipeline.png"/>
                    <pic:cNvPicPr/>
                  </pic:nvPicPr>
                  <pic:blipFill>
                    <a:blip r:embed="rId18"/>
                    <a:stretch>
                      <a:fillRect/>
                    </a:stretch>
                  </pic:blipFill>
                  <pic:spPr>
                    <a:xfrm>
                      <a:off x="0" y="0"/>
                      <a:ext cx="5400000" cy="726923"/>
                    </a:xfrm>
                    <a:prstGeom prst="rect"/>
                  </pic:spPr>
                </pic:pic>
              </a:graphicData>
            </a:graphic>
          </wp:inline>
        </w:drawing>
      </w:r>
    </w:p>
    <w:p>
      <w:pPr>
        <w:spacing w:after="160"/>
        <w:jc w:val="center"/>
      </w:pPr>
      <w:r>
        <w:rPr>
          <w:rFonts w:ascii="Times New Roman" w:hAnsi="Times New Roman"/>
          <w:i/>
          <w:sz w:val="20"/>
        </w:rPr>
        <w:t>Figure 4.8: Auto-Defense Engine Pipeline Diagram</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pPr>
        <w:pStyle w:val="Heading2"/>
        <w:spacing w:before="240" w:after="120"/>
      </w:pPr>
      <w:r>
        <w:t>6.3  Ethical Considerations and Data Privacy</w:t>
      </w:r>
    </w:p>
    <w:p>
      <w:pPr>
        <w:spacing w:after="120" w:line="360" w:lineRule="exact"/>
        <w:ind w:firstLine="709"/>
      </w:pPr>
      <w:r>
        <w:rPr>
          <w:rFonts w:ascii="Times New Roman" w:hAnsi="Times New Roman"/>
          <w:sz w:val="24"/>
        </w:rPr>
        <w:t>As a security monitoring system, AEGIS handles sensitive network data and log information. Ethical considerations were paramount during its development:</w:t>
      </w:r>
    </w:p>
    <w:p>
      <w:pPr>
        <w:pStyle w:val="ListBullet"/>
        <w:spacing w:after="60"/>
        <w:ind w:left="709"/>
      </w:pPr>
      <w:r>
        <w:rPr>
          <w:rFonts w:ascii="Times New Roman" w:hAnsi="Times New Roman"/>
          <w:sz w:val="22"/>
        </w:rPr>
        <w:t>Data Minimization: The system only collects security-relevant log data (auth failures, IDS alerts, firewall events) and does not inspect private user content.</w:t>
      </w:r>
    </w:p>
    <w:p>
      <w:pPr>
        <w:pStyle w:val="ListBullet"/>
        <w:spacing w:after="60"/>
        <w:ind w:left="709"/>
      </w:pPr>
      <w:r>
        <w:rPr>
          <w:rFonts w:ascii="Times New Roman" w:hAnsi="Times New Roman"/>
          <w:sz w:val="22"/>
        </w:rPr>
        <w:t>Secure Storage: All security events are stored in an encrypted PostgreSQL database on Supabase, with access restricted via JWT and API keys.</w:t>
      </w:r>
    </w:p>
    <w:p>
      <w:pPr>
        <w:pStyle w:val="ListBullet"/>
        <w:spacing w:after="60"/>
        <w:ind w:left="709"/>
      </w:pPr>
      <w:r>
        <w:rPr>
          <w:rFonts w:ascii="Times New Roman" w:hAnsi="Times New Roman"/>
          <w:sz w:val="22"/>
        </w:rPr>
        <w:t>Ethical Testing: All attack simulations were conducted in a strictly isolated GNS3 virtual environment. No external networks or unauthorized systems were targeted.</w:t>
      </w:r>
    </w:p>
    <w:p>
      <w:pPr>
        <w:pStyle w:val="ListBullet"/>
        <w:spacing w:after="60"/>
        <w:ind w:left="709"/>
      </w:pPr>
      <w:r>
        <w:rPr>
          <w:rFonts w:ascii="Times New Roman" w:hAnsi="Times New Roman"/>
          <w:sz w:val="22"/>
        </w:rPr>
        <w:t>Compliance: The system design follows principles of the General Data Protection Regulation (GDPR) regarding log retention and data access auditing.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701"/>
            <w:shd w:val="clear" w:color="auto" w:fill="003366"/>
          </w:tcPr>
          <w:p>
            <w:pPr>
              <w:jc w:val="center"/>
            </w:pPr>
            <w:r>
              <w:rPr>
                <w:rFonts w:ascii="Times New Roman" w:hAnsi="Times New Roman"/>
                <w:b/>
                <w:color w:val="FFFFFF"/>
                <w:sz w:val="20"/>
              </w:rPr>
              <w:t>Data Type</w:t>
            </w:r>
          </w:p>
        </w:tc>
        <w:tc>
          <w:tcPr>
            <w:tcW w:type="dxa" w:w="2268"/>
            <w:shd w:val="clear" w:color="auto" w:fill="003366"/>
          </w:tcPr>
          <w:p>
            <w:pPr>
              <w:jc w:val="center"/>
            </w:pPr>
            <w:r>
              <w:rPr>
                <w:rFonts w:ascii="Times New Roman" w:hAnsi="Times New Roman"/>
                <w:b/>
                <w:color w:val="FFFFFF"/>
                <w:sz w:val="20"/>
              </w:rPr>
              <w:t>Retention Period</w:t>
            </w:r>
          </w:p>
        </w:tc>
        <w:tc>
          <w:tcPr>
            <w:tcW w:type="dxa" w:w="2835"/>
            <w:shd w:val="clear" w:color="auto" w:fill="003366"/>
          </w:tcPr>
          <w:p>
            <w:pPr>
              <w:jc w:val="center"/>
            </w:pPr>
            <w:r>
              <w:rPr>
                <w:rFonts w:ascii="Times New Roman" w:hAnsi="Times New Roman"/>
                <w:b/>
                <w:color w:val="FFFFFF"/>
                <w:sz w:val="20"/>
              </w:rPr>
              <w:t>Purpose</w:t>
            </w:r>
          </w:p>
        </w:tc>
        <w:tc>
          <w:tcPr>
            <w:tcW w:type="dxa" w:w="2268"/>
            <w:shd w:val="clear" w:color="auto" w:fill="003366"/>
          </w:tcPr>
          <w:p>
            <w:pPr>
              <w:jc w:val="center"/>
            </w:pPr>
            <w:r>
              <w:rPr>
                <w:rFonts w:ascii="Times New Roman" w:hAnsi="Times New Roman"/>
                <w:b/>
                <w:color w:val="FFFFFF"/>
                <w:sz w:val="20"/>
              </w:rPr>
              <w:t>Access Level</w:t>
            </w:r>
          </w:p>
        </w:tc>
      </w:tr>
      <w:tr>
        <w:tc>
          <w:tcPr>
            <w:tcW w:type="dxa" w:w="1701"/>
          </w:tcPr>
          <w:p>
            <w:pPr>
              <w:jc w:val="left"/>
            </w:pPr>
            <w:r>
              <w:rPr>
                <w:rFonts w:ascii="Times New Roman" w:hAnsi="Times New Roman"/>
                <w:sz w:val="20"/>
              </w:rPr>
              <w:t>Security Events</w:t>
            </w:r>
          </w:p>
        </w:tc>
        <w:tc>
          <w:tcPr>
            <w:tcW w:type="dxa" w:w="2268"/>
          </w:tcPr>
          <w:p>
            <w:pPr>
              <w:jc w:val="left"/>
            </w:pPr>
            <w:r>
              <w:rPr>
                <w:rFonts w:ascii="Times New Roman" w:hAnsi="Times New Roman"/>
                <w:sz w:val="20"/>
              </w:rPr>
              <w:t>90 Days</w:t>
            </w:r>
          </w:p>
        </w:tc>
        <w:tc>
          <w:tcPr>
            <w:tcW w:type="dxa" w:w="2835"/>
          </w:tcPr>
          <w:p>
            <w:pPr>
              <w:jc w:val="left"/>
            </w:pPr>
            <w:r>
              <w:rPr>
                <w:rFonts w:ascii="Times New Roman" w:hAnsi="Times New Roman"/>
                <w:sz w:val="20"/>
              </w:rPr>
              <w:t>Threat analysis and auditing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System Health</w:t>
            </w:r>
          </w:p>
        </w:tc>
        <w:tc>
          <w:tcPr>
            <w:tcW w:type="dxa" w:w="2268"/>
          </w:tcPr>
          <w:p>
            <w:pPr>
              <w:jc w:val="left"/>
            </w:pPr>
            <w:r>
              <w:rPr>
                <w:rFonts w:ascii="Times New Roman" w:hAnsi="Times New Roman"/>
                <w:sz w:val="20"/>
              </w:rPr>
              <w:t>30 Days</w:t>
            </w:r>
          </w:p>
        </w:tc>
        <w:tc>
          <w:tcPr>
            <w:tcW w:type="dxa" w:w="2835"/>
          </w:tcPr>
          <w:p>
            <w:pPr>
              <w:jc w:val="left"/>
            </w:pPr>
            <w:r>
              <w:rPr>
                <w:rFonts w:ascii="Times New Roman" w:hAnsi="Times New Roman"/>
                <w:sz w:val="20"/>
              </w:rPr>
              <w:t>Performance monitoring</w:t>
            </w:r>
          </w:p>
        </w:tc>
        <w:tc>
          <w:tcPr>
            <w:tcW w:type="dxa" w:w="2268"/>
          </w:tcPr>
          <w:p>
            <w:pPr>
              <w:jc w:val="left"/>
            </w:pPr>
            <w:r>
              <w:rPr>
                <w:rFonts w:ascii="Times New Roman" w:hAnsi="Times New Roman"/>
                <w:sz w:val="20"/>
              </w:rPr>
              <w:t>Admin Only</w:t>
            </w:r>
          </w:p>
        </w:tc>
      </w:tr>
      <w:tr>
        <w:tc>
          <w:tcPr>
            <w:tcW w:type="dxa" w:w="1701"/>
          </w:tcPr>
          <w:p>
            <w:pPr>
              <w:jc w:val="left"/>
            </w:pPr>
            <w:r>
              <w:rPr>
                <w:rFonts w:ascii="Times New Roman" w:hAnsi="Times New Roman"/>
                <w:sz w:val="20"/>
              </w:rPr>
              <w:t>Audit Logs</w:t>
            </w:r>
          </w:p>
        </w:tc>
        <w:tc>
          <w:tcPr>
            <w:tcW w:type="dxa" w:w="2268"/>
          </w:tcPr>
          <w:p>
            <w:pPr>
              <w:jc w:val="left"/>
            </w:pPr>
            <w:r>
              <w:rPr>
                <w:rFonts w:ascii="Times New Roman" w:hAnsi="Times New Roman"/>
                <w:sz w:val="20"/>
              </w:rPr>
              <w:t>1 Year</w:t>
            </w:r>
          </w:p>
        </w:tc>
        <w:tc>
          <w:tcPr>
            <w:tcW w:type="dxa" w:w="2835"/>
          </w:tcPr>
          <w:p>
            <w:pPr>
              <w:jc w:val="left"/>
            </w:pPr>
            <w:r>
              <w:rPr>
                <w:rFonts w:ascii="Times New Roman" w:hAnsi="Times New Roman"/>
                <w:sz w:val="20"/>
              </w:rPr>
              <w:t>Compliance and accountability</w:t>
            </w:r>
          </w:p>
        </w:tc>
        <w:tc>
          <w:tcPr>
            <w:tcW w:type="dxa" w:w="2268"/>
          </w:tcPr>
          <w:p>
            <w:pPr>
              <w:jc w:val="left"/>
            </w:pPr>
            <w:r>
              <w:rPr>
                <w:rFonts w:ascii="Times New Roman" w:hAnsi="Times New Roman"/>
                <w:sz w:val="20"/>
              </w:rPr>
              <w:t>Super Admin</w:t>
            </w:r>
          </w:p>
        </w:tc>
      </w:tr>
    </w:tbl>
    <w:p/>
    <w:p>
      <w:pPr>
        <w:pStyle w:val="Heading2"/>
        <w:spacing w:before="240" w:after="120"/>
      </w:pPr>
      <w:r>
        <w:t>6.4  Scalability and Maintenance</w:t>
      </w:r>
    </w:p>
    <w:p>
      <w:pPr>
        <w:spacing w:after="120" w:line="360" w:lineRule="exact"/>
        <w:ind w:firstLine="709"/>
      </w:pPr>
      <w:r>
        <w:rPr>
          <w:rFonts w:ascii="Times New Roman" w:hAnsi="Times New Roman"/>
          <w:sz w:val="24"/>
        </w:rPr>
        <w:t>AEGIS is designed with scalability in mind to accommodate growing network environments:</w:t>
      </w:r>
    </w:p>
    <w:p>
      <w:pPr>
        <w:pStyle w:val="ListBullet"/>
        <w:spacing w:after="60"/>
        <w:ind w:left="709"/>
      </w:pPr>
      <w:r>
        <w:rPr>
          <w:rFonts w:ascii="Times New Roman" w:hAnsi="Times New Roman"/>
          <w:sz w:val="22"/>
        </w:rPr>
        <w:t>Horizontal Scaling: The Express.js API server can be deployed across multiple containers using a load balancer to handle increased event volume.</w:t>
      </w:r>
    </w:p>
    <w:p>
      <w:pPr>
        <w:pStyle w:val="ListBullet"/>
        <w:spacing w:after="60"/>
        <w:ind w:left="709"/>
      </w:pPr>
      <w:r>
        <w:rPr>
          <w:rFonts w:ascii="Times New Roman" w:hAnsi="Times New Roman"/>
          <w:sz w:val="22"/>
        </w:rPr>
        <w:t>Database Pooling: Drizzle ORM and Supabase connection pooling ensure efficient database performance under high concurrency.</w:t>
      </w:r>
    </w:p>
    <w:p>
      <w:pPr>
        <w:pStyle w:val="ListBullet"/>
        <w:spacing w:after="60"/>
        <w:ind w:left="709"/>
      </w:pPr>
      <w:r>
        <w:rPr>
          <w:rFonts w:ascii="Times New Roman" w:hAnsi="Times New Roman"/>
          <w:sz w:val="22"/>
        </w:rPr>
        <w:t>Modular Agents: The Python forwarder agent uses a multi-threaded hub-and-spoke model, allowing it to monitor dozens of VMs from a single management node.</w:t>
      </w:r>
    </w:p>
    <w:p>
      <w:pPr>
        <w:pStyle w:val="ListBullet"/>
        <w:spacing w:after="60"/>
        <w:ind w:left="709"/>
      </w:pPr>
      <w:r>
        <w:rPr>
          <w:rFonts w:ascii="Times New Roman" w:hAnsi="Times New Roman"/>
          <w:sz w:val="22"/>
        </w:rPr>
        <w:t>Cloud-Native Architecture: By leveraging Vercel and Render, the system benefits from automatic scaling and high availability provided by modern PaaS providers.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