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D1B2A"/>
          <w:sz w:val="52"/>
        </w:rPr>
        <w:t>BLUE LOTUS</w:t>
      </w:r>
    </w:p>
    <w:p>
      <w:pPr>
        <w:spacing w:after="40"/>
        <w:jc w:val="center"/>
      </w:pPr>
      <w:r>
        <w:rPr>
          <w:rFonts w:ascii="Georgia" w:hAnsi="Georgia"/>
          <w:b w:val="0"/>
          <w:i/>
          <w:color w:val="B8960A"/>
          <w:sz w:val="26"/>
        </w:rPr>
        <w:t>Research Publication</w:t>
      </w:r>
    </w:p>
    <w:p>
      <w:pPr>
        <w:spacing w:after="200"/>
        <w:jc w:val="center"/>
      </w:pPr>
      <w:r>
        <w:rPr>
          <w:rFonts w:ascii="Georgia" w:hAnsi="Georgia"/>
          <w:b w:val="0"/>
          <w:i w:val="0"/>
          <w:color w:val="8A8A8A"/>
          <w:sz w:val="19"/>
        </w:rPr>
        <w:t>Qualitative  ·  Quantitative  ·  Ethnographic  ·  Superforecasting  ·  Adversarial-Collaborative</w:t>
      </w:r>
    </w:p>
    <w:p>
      <w:pPr>
        <w:pBdr>
          <w:bottom w:val="single" w:sz="6" w:space="1" w:color="B8960A"/>
        </w:pBdr>
        <w:spacing w:after="80"/>
      </w:pPr>
    </w:p>
    <w:p>
      <w:pPr>
        <w:spacing w:before="320" w:after="80"/>
        <w:jc w:val="center"/>
      </w:pPr>
      <w:r>
        <w:rPr>
          <w:rFonts w:ascii="Calibri" w:hAnsi="Calibri"/>
          <w:b/>
          <w:i w:val="0"/>
          <w:color w:val="0D1B2A"/>
          <w:sz w:val="64"/>
        </w:rPr>
        <w:t>THE JULY 2026</w:t>
      </w:r>
    </w:p>
    <w:p>
      <w:pPr>
        <w:spacing w:after="120"/>
        <w:jc w:val="center"/>
      </w:pPr>
      <w:r>
        <w:rPr>
          <w:rFonts w:ascii="Calibri" w:hAnsi="Calibri"/>
          <w:b/>
          <w:i w:val="0"/>
          <w:color w:val="B8960A"/>
          <w:sz w:val="56"/>
        </w:rPr>
        <w:t>CURRENT WORLD TREND REPORT</w:t>
      </w:r>
    </w:p>
    <w:p>
      <w:pPr>
        <w:spacing w:after="120"/>
        <w:jc w:val="center"/>
      </w:pPr>
      <w:r>
        <w:rPr>
          <w:rFonts w:ascii="Georgia" w:hAnsi="Georgia"/>
          <w:b w:val="0"/>
          <w:i/>
          <w:color w:val="4A4A4A"/>
          <w:sz w:val="28"/>
        </w:rPr>
        <w:t>Grand Intelligence Synthesis</w:t>
      </w:r>
    </w:p>
    <w:p>
      <w:pPr>
        <w:pBdr>
          <w:bottom w:val="single" w:sz="6" w:space="1" w:color="0D1B2A"/>
        </w:pBdr>
        <w:spacing w:after="80"/>
      </w:pPr>
    </w:p>
    <w:p>
      <w:pPr>
        <w:spacing w:before="160" w:after="80"/>
        <w:jc w:val="center"/>
      </w:pPr>
      <w:r>
        <w:rPr>
          <w:rFonts w:ascii="Calibri" w:hAnsi="Calibri"/>
          <w:b/>
          <w:i w:val="0"/>
          <w:color w:val="0D1B2A"/>
          <w:sz w:val="21"/>
        </w:rPr>
        <w:t>24 Intelligence Assessments  |  108 Canaries Early Warning System  |  56 Research RAGs</w:t>
      </w:r>
    </w:p>
    <w:p>
      <w:pPr>
        <w:spacing w:after="80"/>
        <w:jc w:val="center"/>
      </w:pPr>
      <w:r>
        <w:rPr>
          <w:rFonts w:ascii="Calibri" w:hAnsi="Calibri"/>
          <w:b w:val="0"/>
          <w:i w:val="0"/>
          <w:color w:val="8B0000"/>
          <w:sz w:val="21"/>
        </w:rPr>
        <w:t>Civilisational Persistence Index Φ(C,2026) = 0.31  |  PRE-CRISIS BAND  |  July 2026</w:t>
      </w:r>
    </w:p>
    <w:p>
      <w:pPr>
        <w:spacing w:after="200"/>
        <w:jc w:val="center"/>
      </w:pPr>
      <w:r>
        <w:rPr>
          <w:rFonts w:ascii="Calibri" w:hAnsi="Calibri"/>
          <w:b/>
          <w:i w:val="0"/>
          <w:color w:val="B8960A"/>
          <w:sz w:val="22"/>
        </w:rPr>
        <w:t>PREMIUM EDITION — USD 2,000</w:t>
      </w:r>
    </w:p>
    <w:p>
      <w:pPr>
        <w:pBdr>
          <w:bottom w:val="single" w:sz="6" w:space="1" w:color="B8960A"/>
        </w:pBdr>
        <w:spacing w:after="80"/>
      </w:pP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HOW TO READ THIS REPORT</w:t>
      </w:r>
      <w:r>
        <w:br/>
      </w:r>
      <w:r>
        <w:rPr>
          <w:rFonts w:ascii="Georgia" w:hAnsi="Georgia"/>
          <w:b w:val="0"/>
          <w:i/>
          <w:color w:val="4A4A4A"/>
          <w:sz w:val="19"/>
        </w:rPr>
        <w:t>This report synthesises 24 Blue Lotus intelligence assessments, the 108 Canaries early warning system (Q3 2026 update), and 56 research RAGs totalling 1.7M+ document chunks. Five methods are applied throughout: Qualitative (historical &amp; political analysis), Quantitative (economic &amp; financial modelling), Ethnographic (ground-level voices), Superforecasting (probability-weighted scenario trees), and Adversarial-Collaborative (steelmanned opposing analyses). The Civilisational Persistence Index Φ and state vector A-K-I-L-Ω-E-ξ appear in every section to anchor readings in the composite intelligence framework. Probability estimates carry ±10pp uncertainty. No investment or policy advice is implied.</w:t>
      </w:r>
    </w:p>
    <w:p>
      <w:r>
        <w:br w:type="page"/>
      </w:r>
    </w:p>
    <w:p>
      <w:pPr>
        <w:spacing w:before="440" w:after="120"/>
      </w:pPr>
      <w:r>
        <w:rPr>
          <w:rFonts w:ascii="Calibri" w:hAnsi="Calibri"/>
          <w:b/>
          <w:i w:val="0"/>
          <w:color w:val="0D1B2A"/>
          <w:sz w:val="30"/>
        </w:rPr>
        <w:t>EXECUTIVE INTELLIGENCE SUMMARY</w:t>
      </w:r>
    </w:p>
    <w:p>
      <w:pPr>
        <w:pBdr>
          <w:bottom w:val="single" w:sz="6" w:space="1" w:color="B8960A"/>
        </w:pBdr>
        <w:spacing w:after="80"/>
      </w:pPr>
    </w:p>
    <w:p>
      <w:pPr>
        <w:spacing w:after="120"/>
      </w:pPr>
      <w:r>
        <w:rPr>
          <w:rFonts w:ascii="Georgia" w:hAnsi="Georgia"/>
          <w:b w:val="0"/>
          <w:i w:val="0"/>
          <w:color w:val="4A4A4A"/>
          <w:sz w:val="22"/>
        </w:rPr>
        <w:t>The world in July 2026 is operating in a PRE-CRISIS band. The Blue Lotus Civilisational Persistence Index, Φ(C,2026) = 0.31, places our civilisational stress reading at 32.6% of the minimum viability threshold of 0.95 — the lowest recorded in the Blue Lotus monitoring period. Three of seven state vector variables have breached critical floors, two have blown through danger ceilings, and the world is simultaneously managing its first dual-chokepoint crisis, the first direct US-Iran military confrontation since 1979, a global AI capital spending bubble exceeding $270 billion per year with no clear return model, and a BOJ rate normalisation threatening the largest carry trade in modern monetary history. Fourteen nations are in WATCH or ELEVATED status across 108 early warning canaries. The central intelligence finding is stark: the world is accumulating civilisational stress faster than its institutions can metabolise it.</w:t>
      </w:r>
    </w:p>
    <w:p>
      <w:pPr>
        <w:spacing w:before="160" w:after="80"/>
        <w:ind w:left="432" w:right="432"/>
        <w:pBdr>
          <w:left w:val="single" w:sz="16" w:space="8" w:color="0D1B2A"/>
        </w:pBdr>
      </w:pPr>
      <w:r>
        <w:rPr>
          <w:rFonts w:ascii="Calibri" w:hAnsi="Calibri"/>
          <w:b/>
          <w:i w:val="0"/>
          <w:color w:val="0D1B2A"/>
          <w:sz w:val="21"/>
        </w:rPr>
        <w:t>KEY FINDING 01 — CIVILISATIONAL STRESS AT HISTORIC LOWS</w:t>
      </w:r>
      <w:r>
        <w:br/>
      </w:r>
      <w:r>
        <w:rPr>
          <w:rFonts w:ascii="Georgia" w:hAnsi="Georgia"/>
          <w:b w:val="0"/>
          <w:i/>
          <w:color w:val="4A4A4A"/>
          <w:sz w:val="21"/>
        </w:rPr>
        <w:t>Φ(C,2026) = 0.31 — operating at 32.6% of the Seldon survival threshold. Five of seven state vector variables are in critical territory. The composite index has not been this low in any monitoring quarter since the system was initiated.</w:t>
      </w:r>
      <w:r>
        <w:br/>
      </w:r>
      <w:r>
        <w:rPr>
          <w:rFonts w:ascii="Georgia" w:hAnsi="Georgia"/>
          <w:b w:val="0"/>
          <w:i w:val="0"/>
          <w:color w:val="8A8A8A"/>
          <w:sz w:val="20"/>
        </w:rPr>
        <w:t>Evidence: Civilisational Persistence Index; 108 Canaries Q3 2026; Blue Lotus Seldon Thesis</w:t>
      </w:r>
    </w:p>
    <w:p>
      <w:pPr>
        <w:spacing w:before="160" w:after="80"/>
        <w:ind w:left="432" w:right="432"/>
        <w:pBdr>
          <w:left w:val="single" w:sz="16" w:space="8" w:color="0D1B2A"/>
        </w:pBdr>
      </w:pPr>
      <w:r>
        <w:rPr>
          <w:rFonts w:ascii="Calibri" w:hAnsi="Calibri"/>
          <w:b/>
          <w:i w:val="0"/>
          <w:color w:val="0D1B2A"/>
          <w:sz w:val="21"/>
        </w:rPr>
        <w:t>KEY FINDING 02 — THE DUAL BLOCKADE — HISTORY'S FIRST</w:t>
      </w:r>
      <w:r>
        <w:br/>
      </w:r>
      <w:r>
        <w:rPr>
          <w:rFonts w:ascii="Georgia" w:hAnsi="Georgia"/>
          <w:b w:val="0"/>
          <w:i/>
          <w:color w:val="4A4A4A"/>
          <w:sz w:val="21"/>
        </w:rPr>
        <w:t>For the first time in recorded history, the Hormuz Strait (~20 Mb/d) and Bab al-Mandab Strait (~7.4 Mb/d) were simultaneously disrupted, threatening 27.4 Mb/d — approximately 27% of global seaborne oil supply. The MOU of June 18, 2026 reopened Hormuz, but the renewed naval blockade of July 15, 2026 signals the crisis is not resolved.</w:t>
      </w:r>
      <w:r>
        <w:br/>
      </w:r>
      <w:r>
        <w:rPr>
          <w:rFonts w:ascii="Georgia" w:hAnsi="Georgia"/>
          <w:b w:val="0"/>
          <w:i w:val="0"/>
          <w:color w:val="8A8A8A"/>
          <w:sz w:val="20"/>
        </w:rPr>
        <w:t>Evidence: Blue Lotus Dual Blockade Report; EIA global oil flow data; NIKKEI shipping intelligence</w:t>
      </w:r>
    </w:p>
    <w:p>
      <w:pPr>
        <w:spacing w:before="160" w:after="80"/>
        <w:ind w:left="432" w:right="432"/>
        <w:pBdr>
          <w:left w:val="single" w:sz="16" w:space="8" w:color="0D1B2A"/>
        </w:pBdr>
      </w:pPr>
      <w:r>
        <w:rPr>
          <w:rFonts w:ascii="Calibri" w:hAnsi="Calibri"/>
          <w:b/>
          <w:i w:val="0"/>
          <w:color w:val="0D1B2A"/>
          <w:sz w:val="21"/>
        </w:rPr>
        <w:t>KEY FINDING 03 — AI CAPITAL BUBBLE — AICRI=0.4500</w:t>
      </w:r>
      <w:r>
        <w:br/>
      </w:r>
      <w:r>
        <w:rPr>
          <w:rFonts w:ascii="Georgia" w:hAnsi="Georgia"/>
          <w:b w:val="0"/>
          <w:i/>
          <w:color w:val="4A4A4A"/>
          <w:sz w:val="21"/>
        </w:rPr>
        <w:t>Global AI infrastructure spending exceeded $270 billion in 2025 (Microsoft $80B, Meta $65B, Amazon $75B, Google $50B), yet aggregate AI revenues for non-infrastructure players remain a fraction of cost. The AI Capex Risk Index AICRI=0.4500 signals meaningful bubble risk. China's AI involution — a domestic price war triggered by DeepSeek's $6M training run — is compressing margins across the sector globally.</w:t>
      </w:r>
      <w:r>
        <w:br/>
      </w:r>
      <w:r>
        <w:rPr>
          <w:rFonts w:ascii="Georgia" w:hAnsi="Georgia"/>
          <w:b w:val="0"/>
          <w:i w:val="0"/>
          <w:color w:val="8A8A8A"/>
          <w:sz w:val="20"/>
        </w:rPr>
        <w:t>Evidence: Blue Lotus AI Follow the Money; EDGAR 10-K filings; NIKKEI semiconductor intelligence</w:t>
      </w:r>
    </w:p>
    <w:p>
      <w:pPr>
        <w:spacing w:before="160" w:after="80"/>
        <w:ind w:left="432" w:right="432"/>
        <w:pBdr>
          <w:left w:val="single" w:sz="16" w:space="8" w:color="0D1B2A"/>
        </w:pBdr>
      </w:pPr>
      <w:r>
        <w:rPr>
          <w:rFonts w:ascii="Calibri" w:hAnsi="Calibri"/>
          <w:b/>
          <w:i w:val="0"/>
          <w:color w:val="0D1B2A"/>
          <w:sz w:val="21"/>
        </w:rPr>
        <w:t>KEY FINDING 04 — LEGITIMACY CRISIS — L=0.39, FLOOR BREACHED</w:t>
      </w:r>
      <w:r>
        <w:br/>
      </w:r>
      <w:r>
        <w:rPr>
          <w:rFonts w:ascii="Georgia" w:hAnsi="Georgia"/>
          <w:b w:val="0"/>
          <w:i/>
          <w:color w:val="4A4A4A"/>
          <w:sz w:val="21"/>
        </w:rPr>
        <w:t>Global institutional legitimacy (L) stands at 0.39 — below the critical floor of 0.45. Elite overproduction (E=0.68) has exceeded its danger ceiling of 0.40 by 70%, creating the structural preconditions for political instability across 17 of 24 surveyed democracies. This is the primary civilisational risk driver, more persistent than any single conflict.</w:t>
      </w:r>
      <w:r>
        <w:br/>
      </w:r>
      <w:r>
        <w:rPr>
          <w:rFonts w:ascii="Georgia" w:hAnsi="Georgia"/>
          <w:b w:val="0"/>
          <w:i w:val="0"/>
          <w:color w:val="8A8A8A"/>
          <w:sz w:val="20"/>
        </w:rPr>
        <w:t>Evidence: Blue Lotus Psychohistory Thesis; Turchin 2023 End Times; Seldon Condition analysis</w:t>
      </w:r>
    </w:p>
    <w:p>
      <w:pPr>
        <w:spacing w:before="160" w:after="80"/>
        <w:ind w:left="432" w:right="432"/>
        <w:pBdr>
          <w:left w:val="single" w:sz="16" w:space="8" w:color="0D1B2A"/>
        </w:pBdr>
      </w:pPr>
      <w:r>
        <w:rPr>
          <w:rFonts w:ascii="Calibri" w:hAnsi="Calibri"/>
          <w:b/>
          <w:i w:val="0"/>
          <w:color w:val="0D1B2A"/>
          <w:sz w:val="21"/>
        </w:rPr>
        <w:t>KEY FINDING 05 — MULTIPOLAR TRANSITION — NO HEGEMON, NO RULES</w:t>
      </w:r>
      <w:r>
        <w:br/>
      </w:r>
      <w:r>
        <w:rPr>
          <w:rFonts w:ascii="Georgia" w:hAnsi="Georgia"/>
          <w:b w:val="0"/>
          <w:i/>
          <w:color w:val="4A4A4A"/>
          <w:sz w:val="21"/>
        </w:rPr>
        <w:t>The US retains military primacy but has demonstrated strategic unpredictability under Trump's second term. China is technologically constrained — structurally unable to produce foundational AI breakthroughs despite $1 trillion in cumulative investment. Russia is strategically frozen in Ukraine. The result is a power vacuum in norm-setting — the most dangerous feature of the current international order.</w:t>
      </w:r>
      <w:r>
        <w:br/>
      </w:r>
      <w:r>
        <w:rPr>
          <w:rFonts w:ascii="Georgia" w:hAnsi="Georgia"/>
          <w:b w:val="0"/>
          <w:i w:val="0"/>
          <w:color w:val="8A8A8A"/>
          <w:sz w:val="20"/>
        </w:rPr>
        <w:t>Evidence: Blue Lotus Great Power series; Blue Lotus China Optimization Trap; FA_RAG analysis</w:t>
      </w:r>
    </w:p>
    <w:p>
      <w:pPr>
        <w:pBdr>
          <w:bottom w:val="single" w:sz="6" w:space="1" w:color="B8960A"/>
        </w:pBdr>
        <w:spacing w:after="80"/>
      </w:pPr>
    </w:p>
    <w:p>
      <w:pPr>
        <w:spacing w:before="200" w:after="40"/>
      </w:pPr>
      <w:r>
        <w:rPr>
          <w:rFonts w:ascii="Calibri" w:hAnsi="Calibri"/>
          <w:b/>
          <w:i w:val="0"/>
          <w:color w:val="B8960A"/>
          <w:sz w:val="22"/>
        </w:rPr>
        <w:t>STATE VECTOR SNAPSHOT — Q3 2026</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r>
              <w:rPr>
                <w:rFonts w:ascii="Calibri" w:hAnsi="Calibri"/>
                <w:b/>
                <w:color w:val="0D1B2A"/>
                <w:sz w:val="19"/>
              </w:rPr>
              <w:t>Variable</w:t>
            </w:r>
          </w:p>
        </w:tc>
        <w:tc>
          <w:tcPr>
            <w:tcW w:type="dxa" w:w="1473"/>
          </w:tcPr>
          <w:p>
            <w:r>
              <w:rPr>
                <w:rFonts w:ascii="Calibri" w:hAnsi="Calibri"/>
                <w:b/>
                <w:color w:val="0D1B2A"/>
                <w:sz w:val="19"/>
              </w:rPr>
              <w:t>Value</w:t>
            </w:r>
          </w:p>
        </w:tc>
        <w:tc>
          <w:tcPr>
            <w:tcW w:type="dxa" w:w="1473"/>
          </w:tcPr>
          <w:p>
            <w:r>
              <w:rPr>
                <w:rFonts w:ascii="Calibri" w:hAnsi="Calibri"/>
                <w:b/>
                <w:color w:val="0D1B2A"/>
                <w:sz w:val="19"/>
              </w:rPr>
              <w:t>Direction</w:t>
            </w:r>
          </w:p>
        </w:tc>
        <w:tc>
          <w:tcPr>
            <w:tcW w:type="dxa" w:w="1473"/>
          </w:tcPr>
          <w:p>
            <w:r>
              <w:rPr>
                <w:rFonts w:ascii="Calibri" w:hAnsi="Calibri"/>
                <w:b/>
                <w:color w:val="0D1B2A"/>
                <w:sz w:val="19"/>
              </w:rPr>
              <w:t>Floor/Ceiling</w:t>
            </w:r>
          </w:p>
        </w:tc>
        <w:tc>
          <w:tcPr>
            <w:tcW w:type="dxa" w:w="1473"/>
          </w:tcPr>
          <w:p>
            <w:r>
              <w:rPr>
                <w:rFonts w:ascii="Calibri" w:hAnsi="Calibri"/>
                <w:b/>
                <w:color w:val="0D1B2A"/>
                <w:sz w:val="19"/>
              </w:rPr>
              <w:t>Status</w:t>
            </w:r>
          </w:p>
        </w:tc>
        <w:tc>
          <w:tcPr>
            <w:tcW w:type="dxa" w:w="1473"/>
          </w:tcPr>
          <w:p>
            <w:r>
              <w:rPr>
                <w:rFonts w:ascii="Calibri" w:hAnsi="Calibri"/>
                <w:b/>
                <w:color w:val="0D1B2A"/>
                <w:sz w:val="19"/>
              </w:rPr>
              <w:t>Primary Driver</w:t>
            </w:r>
          </w:p>
        </w:tc>
      </w:tr>
      <w:tr>
        <w:tc>
          <w:tcPr>
            <w:tcW w:type="dxa" w:w="1473"/>
          </w:tcPr>
          <w:p>
            <w:r>
              <w:rPr>
                <w:rFonts w:ascii="Georgia" w:hAnsi="Georgia"/>
                <w:color w:val="4A4A4A"/>
                <w:sz w:val="19"/>
              </w:rPr>
              <w:t>A — Cohesion/Asabiyyah</w:t>
            </w:r>
          </w:p>
        </w:tc>
        <w:tc>
          <w:tcPr>
            <w:tcW w:type="dxa" w:w="1473"/>
          </w:tcPr>
          <w:p>
            <w:r>
              <w:rPr>
                <w:rFonts w:ascii="Georgia" w:hAnsi="Georgia"/>
                <w:color w:val="4A4A4A"/>
                <w:sz w:val="19"/>
              </w:rPr>
              <w:t>0.34</w:t>
            </w:r>
          </w:p>
        </w:tc>
        <w:tc>
          <w:tcPr>
            <w:tcW w:type="dxa" w:w="1473"/>
          </w:tcPr>
          <w:p>
            <w:r>
              <w:rPr>
                <w:rFonts w:ascii="Georgia" w:hAnsi="Georgia"/>
                <w:color w:val="4A4A4A"/>
                <w:sz w:val="19"/>
              </w:rPr>
              <w:t>↓ Falling</w:t>
            </w:r>
          </w:p>
        </w:tc>
        <w:tc>
          <w:tcPr>
            <w:tcW w:type="dxa" w:w="1473"/>
          </w:tcPr>
          <w:p>
            <w:r>
              <w:rPr>
                <w:rFonts w:ascii="Georgia" w:hAnsi="Georgia"/>
                <w:color w:val="4A4A4A"/>
                <w:sz w:val="19"/>
              </w:rPr>
              <w:t>Floor: 0.50</w:t>
            </w:r>
          </w:p>
        </w:tc>
        <w:tc>
          <w:tcPr>
            <w:tcW w:type="dxa" w:w="1473"/>
          </w:tcPr>
          <w:p>
            <w:r>
              <w:rPr>
                <w:rFonts w:ascii="Georgia" w:hAnsi="Georgia"/>
                <w:color w:val="4A4A4A"/>
                <w:sz w:val="19"/>
              </w:rPr>
              <w:t>⚠ BREACHED</w:t>
            </w:r>
          </w:p>
        </w:tc>
        <w:tc>
          <w:tcPr>
            <w:tcW w:type="dxa" w:w="1473"/>
          </w:tcPr>
          <w:p>
            <w:r>
              <w:rPr>
                <w:rFonts w:ascii="Georgia" w:hAnsi="Georgia"/>
                <w:color w:val="4A4A4A"/>
                <w:sz w:val="19"/>
              </w:rPr>
              <w:t>Polarisation, identity fragmentation, institutional distrust</w:t>
            </w:r>
          </w:p>
        </w:tc>
      </w:tr>
      <w:tr>
        <w:tc>
          <w:tcPr>
            <w:tcW w:type="dxa" w:w="1473"/>
          </w:tcPr>
          <w:p>
            <w:r>
              <w:rPr>
                <w:rFonts w:ascii="Georgia" w:hAnsi="Georgia"/>
                <w:color w:val="4A4A4A"/>
                <w:sz w:val="19"/>
              </w:rPr>
              <w:t>K — Knowledge/Technology</w:t>
            </w:r>
          </w:p>
        </w:tc>
        <w:tc>
          <w:tcPr>
            <w:tcW w:type="dxa" w:w="1473"/>
          </w:tcPr>
          <w:p>
            <w:r>
              <w:rPr>
                <w:rFonts w:ascii="Georgia" w:hAnsi="Georgia"/>
                <w:color w:val="4A4A4A"/>
                <w:sz w:val="19"/>
              </w:rPr>
              <w:t>1.00</w:t>
            </w:r>
          </w:p>
        </w:tc>
        <w:tc>
          <w:tcPr>
            <w:tcW w:type="dxa" w:w="1473"/>
          </w:tcPr>
          <w:p>
            <w:r>
              <w:rPr>
                <w:rFonts w:ascii="Georgia" w:hAnsi="Georgia"/>
                <w:color w:val="4A4A4A"/>
                <w:sz w:val="19"/>
              </w:rPr>
              <w:t>↑ Rising</w:t>
            </w:r>
          </w:p>
        </w:tc>
        <w:tc>
          <w:tcPr>
            <w:tcW w:type="dxa" w:w="1473"/>
          </w:tcPr>
          <w:p>
            <w:r>
              <w:rPr>
                <w:rFonts w:ascii="Georgia" w:hAnsi="Georgia"/>
                <w:color w:val="4A4A4A"/>
                <w:sz w:val="19"/>
              </w:rPr>
              <w:t>Floor: 0.30</w:t>
            </w:r>
          </w:p>
        </w:tc>
        <w:tc>
          <w:tcPr>
            <w:tcW w:type="dxa" w:w="1473"/>
          </w:tcPr>
          <w:p>
            <w:r>
              <w:rPr>
                <w:rFonts w:ascii="Georgia" w:hAnsi="Georgia"/>
                <w:color w:val="4A4A4A"/>
                <w:sz w:val="19"/>
              </w:rPr>
              <w:t>✓ Healthy</w:t>
            </w:r>
          </w:p>
        </w:tc>
        <w:tc>
          <w:tcPr>
            <w:tcW w:type="dxa" w:w="1473"/>
          </w:tcPr>
          <w:p>
            <w:r>
              <w:rPr>
                <w:rFonts w:ascii="Georgia" w:hAnsi="Georgia"/>
                <w:color w:val="4A4A4A"/>
                <w:sz w:val="19"/>
              </w:rPr>
              <w:t>AI breakthrough cycle; strong STEM output globally</w:t>
            </w:r>
          </w:p>
        </w:tc>
      </w:tr>
      <w:tr>
        <w:tc>
          <w:tcPr>
            <w:tcW w:type="dxa" w:w="1473"/>
          </w:tcPr>
          <w:p>
            <w:r>
              <w:rPr>
                <w:rFonts w:ascii="Georgia" w:hAnsi="Georgia"/>
                <w:color w:val="4A4A4A"/>
                <w:sz w:val="19"/>
              </w:rPr>
              <w:t>I — Institutions</w:t>
            </w:r>
          </w:p>
        </w:tc>
        <w:tc>
          <w:tcPr>
            <w:tcW w:type="dxa" w:w="1473"/>
          </w:tcPr>
          <w:p>
            <w:r>
              <w:rPr>
                <w:rFonts w:ascii="Georgia" w:hAnsi="Georgia"/>
                <w:color w:val="4A4A4A"/>
                <w:sz w:val="19"/>
              </w:rPr>
              <w:t>0.41</w:t>
            </w:r>
          </w:p>
        </w:tc>
        <w:tc>
          <w:tcPr>
            <w:tcW w:type="dxa" w:w="1473"/>
          </w:tcPr>
          <w:p>
            <w:r>
              <w:rPr>
                <w:rFonts w:ascii="Georgia" w:hAnsi="Georgia"/>
                <w:color w:val="4A4A4A"/>
                <w:sz w:val="19"/>
              </w:rPr>
              <w:t>→ Stagnant</w:t>
            </w:r>
          </w:p>
        </w:tc>
        <w:tc>
          <w:tcPr>
            <w:tcW w:type="dxa" w:w="1473"/>
          </w:tcPr>
          <w:p>
            <w:r>
              <w:rPr>
                <w:rFonts w:ascii="Georgia" w:hAnsi="Georgia"/>
                <w:color w:val="4A4A4A"/>
                <w:sz w:val="19"/>
              </w:rPr>
              <w:t>Floor: 0.40</w:t>
            </w:r>
          </w:p>
        </w:tc>
        <w:tc>
          <w:tcPr>
            <w:tcW w:type="dxa" w:w="1473"/>
          </w:tcPr>
          <w:p>
            <w:r>
              <w:rPr>
                <w:rFonts w:ascii="Georgia" w:hAnsi="Georgia"/>
                <w:color w:val="4A4A4A"/>
                <w:sz w:val="19"/>
              </w:rPr>
              <w:t>⚡ NEAR FLOOR</w:t>
            </w:r>
          </w:p>
        </w:tc>
        <w:tc>
          <w:tcPr>
            <w:tcW w:type="dxa" w:w="1473"/>
          </w:tcPr>
          <w:p>
            <w:r>
              <w:rPr>
                <w:rFonts w:ascii="Georgia" w:hAnsi="Georgia"/>
                <w:color w:val="4A4A4A"/>
                <w:sz w:val="19"/>
              </w:rPr>
              <w:t>Rule-of-law erosion; populist capture in key democracies</w:t>
            </w:r>
          </w:p>
        </w:tc>
      </w:tr>
      <w:tr>
        <w:tc>
          <w:tcPr>
            <w:tcW w:type="dxa" w:w="1473"/>
          </w:tcPr>
          <w:p>
            <w:r>
              <w:rPr>
                <w:rFonts w:ascii="Georgia" w:hAnsi="Georgia"/>
                <w:color w:val="4A4A4A"/>
                <w:sz w:val="19"/>
              </w:rPr>
              <w:t>L — Legitimacy</w:t>
            </w:r>
          </w:p>
        </w:tc>
        <w:tc>
          <w:tcPr>
            <w:tcW w:type="dxa" w:w="1473"/>
          </w:tcPr>
          <w:p>
            <w:r>
              <w:rPr>
                <w:rFonts w:ascii="Georgia" w:hAnsi="Georgia"/>
                <w:color w:val="4A4A4A"/>
                <w:sz w:val="19"/>
              </w:rPr>
              <w:t>0.39</w:t>
            </w:r>
          </w:p>
        </w:tc>
        <w:tc>
          <w:tcPr>
            <w:tcW w:type="dxa" w:w="1473"/>
          </w:tcPr>
          <w:p>
            <w:r>
              <w:rPr>
                <w:rFonts w:ascii="Georgia" w:hAnsi="Georgia"/>
                <w:color w:val="4A4A4A"/>
                <w:sz w:val="19"/>
              </w:rPr>
              <w:t>↓ Falling</w:t>
            </w:r>
          </w:p>
        </w:tc>
        <w:tc>
          <w:tcPr>
            <w:tcW w:type="dxa" w:w="1473"/>
          </w:tcPr>
          <w:p>
            <w:r>
              <w:rPr>
                <w:rFonts w:ascii="Georgia" w:hAnsi="Georgia"/>
                <w:color w:val="4A4A4A"/>
                <w:sz w:val="19"/>
              </w:rPr>
              <w:t>Floor: 0.45</w:t>
            </w:r>
          </w:p>
        </w:tc>
        <w:tc>
          <w:tcPr>
            <w:tcW w:type="dxa" w:w="1473"/>
          </w:tcPr>
          <w:p>
            <w:r>
              <w:rPr>
                <w:rFonts w:ascii="Georgia" w:hAnsi="Georgia"/>
                <w:color w:val="4A4A4A"/>
                <w:sz w:val="19"/>
              </w:rPr>
              <w:t>⚠ BREACHED</w:t>
            </w:r>
          </w:p>
        </w:tc>
        <w:tc>
          <w:tcPr>
            <w:tcW w:type="dxa" w:w="1473"/>
          </w:tcPr>
          <w:p>
            <w:r>
              <w:rPr>
                <w:rFonts w:ascii="Georgia" w:hAnsi="Georgia"/>
                <w:color w:val="4A4A4A"/>
                <w:sz w:val="19"/>
              </w:rPr>
              <w:t>Performance-expectations gap; elite overproduction feedback</w:t>
            </w:r>
          </w:p>
        </w:tc>
      </w:tr>
      <w:tr>
        <w:tc>
          <w:tcPr>
            <w:tcW w:type="dxa" w:w="1473"/>
          </w:tcPr>
          <w:p>
            <w:r>
              <w:rPr>
                <w:rFonts w:ascii="Georgia" w:hAnsi="Georgia"/>
                <w:color w:val="4A4A4A"/>
                <w:sz w:val="19"/>
              </w:rPr>
              <w:t>Ω — Existential Risk</w:t>
            </w:r>
          </w:p>
        </w:tc>
        <w:tc>
          <w:tcPr>
            <w:tcW w:type="dxa" w:w="1473"/>
          </w:tcPr>
          <w:p>
            <w:r>
              <w:rPr>
                <w:rFonts w:ascii="Georgia" w:hAnsi="Georgia"/>
                <w:color w:val="4A4A4A"/>
                <w:sz w:val="19"/>
              </w:rPr>
              <w:t>0.72</w:t>
            </w:r>
          </w:p>
        </w:tc>
        <w:tc>
          <w:tcPr>
            <w:tcW w:type="dxa" w:w="1473"/>
          </w:tcPr>
          <w:p>
            <w:r>
              <w:rPr>
                <w:rFonts w:ascii="Georgia" w:hAnsi="Georgia"/>
                <w:color w:val="4A4A4A"/>
                <w:sz w:val="19"/>
              </w:rPr>
              <w:t>↑ Rising</w:t>
            </w:r>
          </w:p>
        </w:tc>
        <w:tc>
          <w:tcPr>
            <w:tcW w:type="dxa" w:w="1473"/>
          </w:tcPr>
          <w:p>
            <w:r>
              <w:rPr>
                <w:rFonts w:ascii="Georgia" w:hAnsi="Georgia"/>
                <w:color w:val="4A4A4A"/>
                <w:sz w:val="19"/>
              </w:rPr>
              <w:t>Ceiling: 0.30</w:t>
            </w:r>
          </w:p>
        </w:tc>
        <w:tc>
          <w:tcPr>
            <w:tcW w:type="dxa" w:w="1473"/>
          </w:tcPr>
          <w:p>
            <w:r>
              <w:rPr>
                <w:rFonts w:ascii="Georgia" w:hAnsi="Georgia"/>
                <w:color w:val="4A4A4A"/>
                <w:sz w:val="19"/>
              </w:rPr>
              <w:t>⚠ BREACHED 2.4×</w:t>
            </w:r>
          </w:p>
        </w:tc>
        <w:tc>
          <w:tcPr>
            <w:tcW w:type="dxa" w:w="1473"/>
          </w:tcPr>
          <w:p>
            <w:r>
              <w:rPr>
                <w:rFonts w:ascii="Georgia" w:hAnsi="Georgia"/>
                <w:color w:val="4A4A4A"/>
                <w:sz w:val="19"/>
              </w:rPr>
              <w:t>Iran nuclear trajectory; AI unalignment risk; climate</w:t>
            </w:r>
          </w:p>
        </w:tc>
      </w:tr>
      <w:tr>
        <w:tc>
          <w:tcPr>
            <w:tcW w:type="dxa" w:w="1473"/>
          </w:tcPr>
          <w:p>
            <w:r>
              <w:rPr>
                <w:rFonts w:ascii="Georgia" w:hAnsi="Georgia"/>
                <w:color w:val="4A4A4A"/>
                <w:sz w:val="19"/>
              </w:rPr>
              <w:t>E — Elite Overproduction</w:t>
            </w:r>
          </w:p>
        </w:tc>
        <w:tc>
          <w:tcPr>
            <w:tcW w:type="dxa" w:w="1473"/>
          </w:tcPr>
          <w:p>
            <w:r>
              <w:rPr>
                <w:rFonts w:ascii="Georgia" w:hAnsi="Georgia"/>
                <w:color w:val="4A4A4A"/>
                <w:sz w:val="19"/>
              </w:rPr>
              <w:t>0.68</w:t>
            </w:r>
          </w:p>
        </w:tc>
        <w:tc>
          <w:tcPr>
            <w:tcW w:type="dxa" w:w="1473"/>
          </w:tcPr>
          <w:p>
            <w:r>
              <w:rPr>
                <w:rFonts w:ascii="Georgia" w:hAnsi="Georgia"/>
                <w:color w:val="4A4A4A"/>
                <w:sz w:val="19"/>
              </w:rPr>
              <w:t>↑ Rising</w:t>
            </w:r>
          </w:p>
        </w:tc>
        <w:tc>
          <w:tcPr>
            <w:tcW w:type="dxa" w:w="1473"/>
          </w:tcPr>
          <w:p>
            <w:r>
              <w:rPr>
                <w:rFonts w:ascii="Georgia" w:hAnsi="Georgia"/>
                <w:color w:val="4A4A4A"/>
                <w:sz w:val="19"/>
              </w:rPr>
              <w:t>Ceiling: 0.40</w:t>
            </w:r>
          </w:p>
        </w:tc>
        <w:tc>
          <w:tcPr>
            <w:tcW w:type="dxa" w:w="1473"/>
          </w:tcPr>
          <w:p>
            <w:r>
              <w:rPr>
                <w:rFonts w:ascii="Georgia" w:hAnsi="Georgia"/>
                <w:color w:val="4A4A4A"/>
                <w:sz w:val="19"/>
              </w:rPr>
              <w:t>⚠ BREACHED 1.7×</w:t>
            </w:r>
          </w:p>
        </w:tc>
        <w:tc>
          <w:tcPr>
            <w:tcW w:type="dxa" w:w="1473"/>
          </w:tcPr>
          <w:p>
            <w:r>
              <w:rPr>
                <w:rFonts w:ascii="Georgia" w:hAnsi="Georgia"/>
                <w:color w:val="4A4A4A"/>
                <w:sz w:val="19"/>
              </w:rPr>
              <w:t>University credential inflation; credential-to-opportunity gap</w:t>
            </w:r>
          </w:p>
        </w:tc>
      </w:tr>
      <w:tr>
        <w:tc>
          <w:tcPr>
            <w:tcW w:type="dxa" w:w="1473"/>
          </w:tcPr>
          <w:p>
            <w:r>
              <w:rPr>
                <w:rFonts w:ascii="Georgia" w:hAnsi="Georgia"/>
                <w:color w:val="4A4A4A"/>
                <w:sz w:val="19"/>
              </w:rPr>
              <w:t>ξ — Distribution</w:t>
            </w:r>
          </w:p>
        </w:tc>
        <w:tc>
          <w:tcPr>
            <w:tcW w:type="dxa" w:w="1473"/>
          </w:tcPr>
          <w:p>
            <w:r>
              <w:rPr>
                <w:rFonts w:ascii="Georgia" w:hAnsi="Georgia"/>
                <w:color w:val="4A4A4A"/>
                <w:sz w:val="19"/>
              </w:rPr>
              <w:t>0.28</w:t>
            </w:r>
          </w:p>
        </w:tc>
        <w:tc>
          <w:tcPr>
            <w:tcW w:type="dxa" w:w="1473"/>
          </w:tcPr>
          <w:p>
            <w:r>
              <w:rPr>
                <w:rFonts w:ascii="Georgia" w:hAnsi="Georgia"/>
                <w:color w:val="4A4A4A"/>
                <w:sz w:val="19"/>
              </w:rPr>
              <w:t>↓ Falling</w:t>
            </w:r>
          </w:p>
        </w:tc>
        <w:tc>
          <w:tcPr>
            <w:tcW w:type="dxa" w:w="1473"/>
          </w:tcPr>
          <w:p>
            <w:r>
              <w:rPr>
                <w:rFonts w:ascii="Georgia" w:hAnsi="Georgia"/>
                <w:color w:val="4A4A4A"/>
                <w:sz w:val="19"/>
              </w:rPr>
              <w:t>Floor: 0.35</w:t>
            </w:r>
          </w:p>
        </w:tc>
        <w:tc>
          <w:tcPr>
            <w:tcW w:type="dxa" w:w="1473"/>
          </w:tcPr>
          <w:p>
            <w:r>
              <w:rPr>
                <w:rFonts w:ascii="Georgia" w:hAnsi="Georgia"/>
                <w:color w:val="4A4A4A"/>
                <w:sz w:val="19"/>
              </w:rPr>
              <w:t>⚡ NEAR FLOOR</w:t>
            </w:r>
          </w:p>
        </w:tc>
        <w:tc>
          <w:tcPr>
            <w:tcW w:type="dxa" w:w="1473"/>
          </w:tcPr>
          <w:p>
            <w:r>
              <w:rPr>
                <w:rFonts w:ascii="Georgia" w:hAnsi="Georgia"/>
                <w:color w:val="4A4A4A"/>
                <w:sz w:val="19"/>
              </w:rPr>
              <w:t>AI-driven labour displacement; wealth concentration acceleration</w:t>
            </w:r>
          </w:p>
        </w:tc>
      </w:tr>
    </w:tbl>
    <w:p>
      <w:pPr>
        <w:spacing w:after="160"/>
      </w:pP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Φ = [A^0.31 · K^0.22 · I^0.29 · L^0.18 · (1+ξ)^0.12] / [1 + Ω^0.88 · E^0.44]</w:t>
      </w:r>
      <w:r>
        <w:br/>
      </w:r>
      <w:r>
        <w:rPr>
          <w:rFonts w:ascii="Georgia" w:hAnsi="Georgia"/>
          <w:b w:val="0"/>
          <w:i/>
          <w:color w:val="4A4A4A"/>
          <w:sz w:val="19"/>
        </w:rPr>
        <w:t>Φ(C,2026) = [0.34^0.31 · 1.00^0.22 · 0.41^0.29 · 0.39^0.18 · (1.28)^0.12] / [1 + 0.72^0.88 · 0.68^0.44] ≈ 0.31  |  Threshold for civilisational persistence: Φcrit = 0.95</w:t>
      </w:r>
    </w:p>
    <w:p>
      <w:r>
        <w:br w:type="page"/>
      </w:r>
    </w:p>
    <w:p>
      <w:pPr>
        <w:spacing w:before="440" w:after="120"/>
      </w:pPr>
      <w:r>
        <w:rPr>
          <w:rFonts w:ascii="Calibri" w:hAnsi="Calibri"/>
          <w:b/>
          <w:i w:val="0"/>
          <w:color w:val="0D1B2A"/>
          <w:sz w:val="30"/>
        </w:rPr>
        <w:t>PART I: THE CIVILISATIONAL PERSISTENCE INDEX Φ</w:t>
      </w:r>
    </w:p>
    <w:p>
      <w:pPr>
        <w:pBdr>
          <w:bottom w:val="single" w:sz="6" w:space="1" w:color="B8960A"/>
        </w:pBdr>
        <w:spacing w:after="80"/>
      </w:pPr>
    </w:p>
    <w:p>
      <w:pPr>
        <w:spacing w:after="120"/>
      </w:pPr>
      <w:r>
        <w:rPr>
          <w:rFonts w:ascii="Georgia" w:hAnsi="Georgia"/>
          <w:b w:val="0"/>
          <w:i w:val="0"/>
          <w:color w:val="4A4A4A"/>
          <w:sz w:val="22"/>
        </w:rPr>
        <w:t>In July 2020, Isaac Asimov's science fiction concept of 'psychohistory' — the mathematical prediction of civilisational trajectories — was operationalised for the first time as a testable, falsifiable measurement framework. The Civilisational Persistence Index (Φ) is a composite of seven empirically grounded variables drawn from Turchin's structural-demographic theory, Ibn Khaldun's Asabiyyah doctrine, Acemoglu-Robinson's institutional analysis, Beetham's legitimacy framework, and Ord's existential risk framework.</w:t>
      </w:r>
    </w:p>
    <w:p>
      <w:pPr>
        <w:spacing w:before="200" w:after="40"/>
      </w:pPr>
      <w:r>
        <w:rPr>
          <w:rFonts w:ascii="Calibri" w:hAnsi="Calibri"/>
          <w:b/>
          <w:i w:val="0"/>
          <w:color w:val="B8960A"/>
          <w:sz w:val="22"/>
        </w:rPr>
        <w:t>1.1 — What Φ Measures</w:t>
      </w:r>
    </w:p>
    <w:p>
      <w:pPr>
        <w:spacing w:after="120"/>
      </w:pPr>
      <w:r>
        <w:rPr>
          <w:rFonts w:ascii="Georgia" w:hAnsi="Georgia"/>
          <w:b w:val="0"/>
          <w:i w:val="0"/>
          <w:color w:val="4A4A4A"/>
          <w:sz w:val="22"/>
        </w:rPr>
        <w:t>Φ is not a prediction. It is a stress gauge — the civilisational equivalent of a blood pressure reading. When Φ approaches 1.0, civilisational systems are in dynamic equilibrium: cohesion is high, institutions are strong, legitimacy is intact, existential risks are controlled. When Φ falls below 0.50, the system enters the PRE-CRISIS band where individual shocks can trigger non-linear cascades. At Φ = 0.31, we are in the zone where Turchin's structural-demographic model predicts rising instability — not inevitable collapse, but dramatically elevated fragility.</w:t>
      </w:r>
    </w:p>
    <w:p>
      <w:pPr>
        <w:spacing w:before="200" w:after="40"/>
      </w:pPr>
      <w:r>
        <w:rPr>
          <w:rFonts w:ascii="Calibri" w:hAnsi="Calibri"/>
          <w:b/>
          <w:i w:val="0"/>
          <w:color w:val="B8960A"/>
          <w:sz w:val="22"/>
        </w:rPr>
        <w:t>1.2 — The 2026 Reading in Historical Context</w:t>
      </w:r>
    </w:p>
    <w:p>
      <w:pPr>
        <w:spacing w:after="120"/>
      </w:pPr>
      <w:r>
        <w:rPr>
          <w:rFonts w:ascii="Georgia" w:hAnsi="Georgia"/>
          <w:b w:val="0"/>
          <w:i w:val="0"/>
          <w:color w:val="4A4A4A"/>
          <w:sz w:val="22"/>
        </w:rPr>
        <w:t>Illustrative calibration against historical inflection points (method demonstration, not precision claim): The Roman Republic in 133 BCE (Gracchan crisis) ≈ Φ 0.42. Weimar Germany 1931 ≈ Φ 0.28. The Soviet Union 1989 ≈ Φ 0.35. The global system in July 2026 at Φ = 0.31 sits in a historically unusual position — technologically advanced (K=1.00, the highest ever recorded) yet institutionally fragile (I=0.41) and socially fracturing (A=0.34, L=0.39). This combination — technological capability without institutional coherence — is the defining civilisational paradox of the current moment.</w:t>
      </w:r>
    </w:p>
    <w:p>
      <w:pPr>
        <w:spacing w:before="200" w:after="40"/>
      </w:pPr>
      <w:r>
        <w:rPr>
          <w:rFonts w:ascii="Calibri" w:hAnsi="Calibri"/>
          <w:b/>
          <w:i w:val="0"/>
          <w:color w:val="B8960A"/>
          <w:sz w:val="22"/>
        </w:rPr>
        <w:t>1.3 — The Three Critical Feedback Loops</w:t>
      </w:r>
    </w:p>
    <w:p>
      <w:pPr>
        <w:spacing w:before="160" w:after="40"/>
      </w:pPr>
      <w:r>
        <w:rPr>
          <w:rFonts w:ascii="Calibri" w:hAnsi="Calibri"/>
          <w:b/>
          <w:i/>
          <w:color w:val="0D1B2A"/>
          <w:sz w:val="21"/>
        </w:rPr>
        <w:t>Loop 1: Elite Overproduction → Legitimacy Collapse</w:t>
      </w:r>
    </w:p>
    <w:p>
      <w:pPr>
        <w:spacing w:after="120"/>
      </w:pPr>
      <w:r>
        <w:rPr>
          <w:rFonts w:ascii="Georgia" w:hAnsi="Georgia"/>
          <w:b w:val="0"/>
          <w:i w:val="0"/>
          <w:color w:val="4A4A4A"/>
          <w:sz w:val="22"/>
        </w:rPr>
        <w:t>E↑ (credential inflation → aspiration-opportunity gap) → A↓ (elite infighting, populism) → L↓ (institutional capture, norm erosion) → E↑ (patronage networks, rent-seeking). This loop is currently ACTIVE and accelerating in the United States, United Kingdom, France, Brazil, Turkey, and South Korea.</w:t>
      </w:r>
    </w:p>
    <w:p>
      <w:pPr>
        <w:spacing w:before="160" w:after="40"/>
      </w:pPr>
      <w:r>
        <w:rPr>
          <w:rFonts w:ascii="Calibri" w:hAnsi="Calibri"/>
          <w:b/>
          <w:i/>
          <w:color w:val="0D1B2A"/>
          <w:sz w:val="21"/>
        </w:rPr>
        <w:t>Loop 2: Existential Risk Accumulation → Distribution Collapse</w:t>
      </w:r>
    </w:p>
    <w:p>
      <w:pPr>
        <w:spacing w:after="120"/>
      </w:pPr>
      <w:r>
        <w:rPr>
          <w:rFonts w:ascii="Georgia" w:hAnsi="Georgia"/>
          <w:b w:val="0"/>
          <w:i w:val="0"/>
          <w:color w:val="4A4A4A"/>
          <w:sz w:val="22"/>
        </w:rPr>
        <w:t>Ω↑ (Iran nuclear trajectory, AI unalignment, climate extremes) → ξ↓ (conflict-driven supply disruption, capital flight from vulnerable regions) → A↓ (inequality → social fracture) → L↓ (state capacity erosion). The Dual Blockade crisis of 2026 is a real-world activation of this loop: Hormuz closure → oil price spike → energy poverty → legitimacy crisis in import-dependent emerging markets.</w:t>
      </w:r>
    </w:p>
    <w:p>
      <w:pPr>
        <w:spacing w:before="160" w:after="40"/>
      </w:pPr>
      <w:r>
        <w:rPr>
          <w:rFonts w:ascii="Calibri" w:hAnsi="Calibri"/>
          <w:b/>
          <w:i/>
          <w:color w:val="0D1B2A"/>
          <w:sz w:val="21"/>
        </w:rPr>
        <w:t>Loop 3: Knowledge-Institution Decoupling</w:t>
      </w:r>
    </w:p>
    <w:p>
      <w:pPr>
        <w:spacing w:after="120"/>
      </w:pPr>
      <w:r>
        <w:rPr>
          <w:rFonts w:ascii="Georgia" w:hAnsi="Georgia"/>
          <w:b w:val="0"/>
          <w:i w:val="0"/>
          <w:color w:val="4A4A4A"/>
          <w:sz w:val="22"/>
        </w:rPr>
        <w:t>K↑ (AI capability surge) without I↑ (governance capacity to manage AI) creates an institutional lag. The EU AI Act, CHIPS Act, and export controls are attempts to close this gap — all partial, all contested, all behind the technology curve. The decoupling of technological power from institutional governance is the single most underappreciated civilisational risk of 2026.</w:t>
      </w:r>
    </w:p>
    <w:p>
      <w:pPr>
        <w:spacing w:before="160" w:after="120"/>
        <w:ind w:left="720" w:right="720"/>
        <w:pBdr>
          <w:left w:val="single" w:sz="12" w:space="8" w:color="B8960A"/>
        </w:pBdr>
      </w:pPr>
      <w:r>
        <w:rPr>
          <w:rFonts w:ascii="Georgia" w:hAnsi="Georgia"/>
          <w:b w:val="0"/>
          <w:i/>
          <w:color w:val="0D1B2A"/>
          <w:sz w:val="21"/>
        </w:rPr>
        <w:t>"We are not in a crisis. We are in a PRE-CRISIS band — which is precisely when decisive leadership intervention can still change the trajectory."</w:t>
      </w:r>
      <w:r>
        <w:br/>
      </w:r>
      <w:r>
        <w:rPr>
          <w:rFonts w:ascii="Georgia" w:hAnsi="Georgia"/>
          <w:b w:val="0"/>
          <w:i w:val="0"/>
          <w:color w:val="8A8A8A"/>
          <w:sz w:val="19"/>
        </w:rPr>
        <w:t>— Blue Lotus Seldon Thesis, July 2026</w:t>
      </w:r>
    </w:p>
    <w:p>
      <w:r>
        <w:br w:type="page"/>
      </w:r>
    </w:p>
    <w:p>
      <w:pPr>
        <w:spacing w:before="440" w:after="120"/>
      </w:pPr>
      <w:r>
        <w:rPr>
          <w:rFonts w:ascii="Calibri" w:hAnsi="Calibri"/>
          <w:b/>
          <w:i w:val="0"/>
          <w:color w:val="0D1B2A"/>
          <w:sz w:val="30"/>
        </w:rPr>
        <w:t>PART II: THE 108 CANARIES EARLY WARNING SYSTEM — Q3 2026 UPDATE</w:t>
      </w:r>
    </w:p>
    <w:p>
      <w:pPr>
        <w:pBdr>
          <w:bottom w:val="single" w:sz="6" w:space="1" w:color="B8960A"/>
        </w:pBdr>
        <w:spacing w:after="80"/>
      </w:pPr>
    </w:p>
    <w:p>
      <w:pPr>
        <w:spacing w:after="120"/>
      </w:pPr>
      <w:r>
        <w:rPr>
          <w:rFonts w:ascii="Georgia" w:hAnsi="Georgia"/>
          <w:b w:val="0"/>
          <w:i w:val="0"/>
          <w:color w:val="4A4A4A"/>
          <w:sz w:val="22"/>
        </w:rPr>
        <w:t>The 108 Canaries Early Warning System is a deterministic, LLM-free early warning system monitoring 108 leading indicators across 16 geopolitical territories. Each canary has a pre-specified trigger condition; when fired, it increments the territory's Risk Index (RI). The system is updated quarterly. This is the Q3 2026 update, incorporating intelligence through July 22, 2026. Every canary trigger is verifiable against cited public sources — no model inference, no expert opinion. The system is designed to detect regime-change precursors 6-18 months before media consensus acknowledges the risk.</w:t>
      </w:r>
    </w:p>
    <w:p>
      <w:pPr>
        <w:spacing w:before="200" w:after="40"/>
      </w:pPr>
      <w:r>
        <w:rPr>
          <w:rFonts w:ascii="Calibri" w:hAnsi="Calibri"/>
          <w:b/>
          <w:i w:val="0"/>
          <w:color w:val="B8960A"/>
          <w:sz w:val="22"/>
        </w:rPr>
        <w:t>2.1 — System Status Distribution</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Status Level</w:t>
            </w:r>
          </w:p>
        </w:tc>
        <w:tc>
          <w:tcPr>
            <w:tcW w:type="dxa" w:w="2209"/>
          </w:tcPr>
          <w:p>
            <w:r>
              <w:rPr>
                <w:rFonts w:ascii="Calibri" w:hAnsi="Calibri"/>
                <w:b/>
                <w:color w:val="0D1B2A"/>
                <w:sz w:val="19"/>
              </w:rPr>
              <w:t>Risk Index Range</w:t>
            </w:r>
          </w:p>
        </w:tc>
        <w:tc>
          <w:tcPr>
            <w:tcW w:type="dxa" w:w="2209"/>
          </w:tcPr>
          <w:p>
            <w:r>
              <w:rPr>
                <w:rFonts w:ascii="Calibri" w:hAnsi="Calibri"/>
                <w:b/>
                <w:color w:val="0D1B2A"/>
                <w:sz w:val="19"/>
              </w:rPr>
              <w:t>Count (Territories)</w:t>
            </w:r>
          </w:p>
        </w:tc>
        <w:tc>
          <w:tcPr>
            <w:tcW w:type="dxa" w:w="2209"/>
          </w:tcPr>
          <w:p>
            <w:r>
              <w:rPr>
                <w:rFonts w:ascii="Calibri" w:hAnsi="Calibri"/>
                <w:b/>
                <w:color w:val="0D1B2A"/>
                <w:sz w:val="19"/>
              </w:rPr>
              <w:t>Territories</w:t>
            </w:r>
          </w:p>
        </w:tc>
      </w:tr>
      <w:tr>
        <w:tc>
          <w:tcPr>
            <w:tcW w:type="dxa" w:w="2209"/>
          </w:tcPr>
          <w:p>
            <w:r>
              <w:rPr>
                <w:rFonts w:ascii="Georgia" w:hAnsi="Georgia"/>
                <w:color w:val="4A4A4A"/>
                <w:sz w:val="19"/>
              </w:rPr>
              <w:t>ELEVATED</w:t>
            </w:r>
          </w:p>
        </w:tc>
        <w:tc>
          <w:tcPr>
            <w:tcW w:type="dxa" w:w="2209"/>
          </w:tcPr>
          <w:p>
            <w:r>
              <w:rPr>
                <w:rFonts w:ascii="Georgia" w:hAnsi="Georgia"/>
                <w:color w:val="4A4A4A"/>
                <w:sz w:val="19"/>
              </w:rPr>
              <w:t>RI ≥ 0.60</w:t>
            </w:r>
          </w:p>
        </w:tc>
        <w:tc>
          <w:tcPr>
            <w:tcW w:type="dxa" w:w="2209"/>
          </w:tcPr>
          <w:p>
            <w:r>
              <w:rPr>
                <w:rFonts w:ascii="Georgia" w:hAnsi="Georgia"/>
                <w:color w:val="4A4A4A"/>
                <w:sz w:val="19"/>
              </w:rPr>
              <w:t>2</w:t>
            </w:r>
          </w:p>
        </w:tc>
        <w:tc>
          <w:tcPr>
            <w:tcW w:type="dxa" w:w="2209"/>
          </w:tcPr>
          <w:p>
            <w:r>
              <w:rPr>
                <w:rFonts w:ascii="Georgia" w:hAnsi="Georgia"/>
                <w:color w:val="4A4A4A"/>
                <w:sz w:val="19"/>
              </w:rPr>
              <w:t>Lebanon (0.6173), Argentina (0.6250)</w:t>
            </w:r>
          </w:p>
        </w:tc>
      </w:tr>
      <w:tr>
        <w:tc>
          <w:tcPr>
            <w:tcW w:type="dxa" w:w="2209"/>
          </w:tcPr>
          <w:p>
            <w:r>
              <w:rPr>
                <w:rFonts w:ascii="Georgia" w:hAnsi="Georgia"/>
                <w:color w:val="4A4A4A"/>
                <w:sz w:val="19"/>
              </w:rPr>
              <w:t>HIGH WATCH</w:t>
            </w:r>
          </w:p>
        </w:tc>
        <w:tc>
          <w:tcPr>
            <w:tcW w:type="dxa" w:w="2209"/>
          </w:tcPr>
          <w:p>
            <w:r>
              <w:rPr>
                <w:rFonts w:ascii="Georgia" w:hAnsi="Georgia"/>
                <w:color w:val="4A4A4A"/>
                <w:sz w:val="19"/>
              </w:rPr>
              <w:t>0.50 — 0.59</w:t>
            </w:r>
          </w:p>
        </w:tc>
        <w:tc>
          <w:tcPr>
            <w:tcW w:type="dxa" w:w="2209"/>
          </w:tcPr>
          <w:p>
            <w:r>
              <w:rPr>
                <w:rFonts w:ascii="Georgia" w:hAnsi="Georgia"/>
                <w:color w:val="4A4A4A"/>
                <w:sz w:val="19"/>
              </w:rPr>
              <w:t>8</w:t>
            </w:r>
          </w:p>
        </w:tc>
        <w:tc>
          <w:tcPr>
            <w:tcW w:type="dxa" w:w="2209"/>
          </w:tcPr>
          <w:p>
            <w:r>
              <w:rPr>
                <w:rFonts w:ascii="Georgia" w:hAnsi="Georgia"/>
                <w:color w:val="4A4A4A"/>
                <w:sz w:val="19"/>
              </w:rPr>
              <w:t>Ukraine, Nigeria, Venezuela, Turkey, Russia, Bolivia, Iran, Egypt</w:t>
            </w:r>
          </w:p>
        </w:tc>
      </w:tr>
      <w:tr>
        <w:tc>
          <w:tcPr>
            <w:tcW w:type="dxa" w:w="2209"/>
          </w:tcPr>
          <w:p>
            <w:r>
              <w:rPr>
                <w:rFonts w:ascii="Georgia" w:hAnsi="Georgia"/>
                <w:color w:val="4A4A4A"/>
                <w:sz w:val="19"/>
              </w:rPr>
              <w:t>WATCH</w:t>
            </w:r>
          </w:p>
        </w:tc>
        <w:tc>
          <w:tcPr>
            <w:tcW w:type="dxa" w:w="2209"/>
          </w:tcPr>
          <w:p>
            <w:r>
              <w:rPr>
                <w:rFonts w:ascii="Georgia" w:hAnsi="Georgia"/>
                <w:color w:val="4A4A4A"/>
                <w:sz w:val="19"/>
              </w:rPr>
              <w:t>0.40 — 0.49</w:t>
            </w:r>
          </w:p>
        </w:tc>
        <w:tc>
          <w:tcPr>
            <w:tcW w:type="dxa" w:w="2209"/>
          </w:tcPr>
          <w:p>
            <w:r>
              <w:rPr>
                <w:rFonts w:ascii="Georgia" w:hAnsi="Georgia"/>
                <w:color w:val="4A4A4A"/>
                <w:sz w:val="19"/>
              </w:rPr>
              <w:t>4</w:t>
            </w:r>
          </w:p>
        </w:tc>
        <w:tc>
          <w:tcPr>
            <w:tcW w:type="dxa" w:w="2209"/>
          </w:tcPr>
          <w:p>
            <w:r>
              <w:rPr>
                <w:rFonts w:ascii="Georgia" w:hAnsi="Georgia"/>
                <w:color w:val="4A4A4A"/>
                <w:sz w:val="19"/>
              </w:rPr>
              <w:t>Saudi Arabia, Pakistan, Kazakhstan, South Korea</w:t>
            </w:r>
          </w:p>
        </w:tc>
      </w:tr>
      <w:tr>
        <w:tc>
          <w:tcPr>
            <w:tcW w:type="dxa" w:w="2209"/>
          </w:tcPr>
          <w:p>
            <w:r>
              <w:rPr>
                <w:rFonts w:ascii="Georgia" w:hAnsi="Georgia"/>
                <w:color w:val="4A4A4A"/>
                <w:sz w:val="19"/>
              </w:rPr>
              <w:t>MONITOR</w:t>
            </w:r>
          </w:p>
        </w:tc>
        <w:tc>
          <w:tcPr>
            <w:tcW w:type="dxa" w:w="2209"/>
          </w:tcPr>
          <w:p>
            <w:r>
              <w:rPr>
                <w:rFonts w:ascii="Georgia" w:hAnsi="Georgia"/>
                <w:color w:val="4A4A4A"/>
                <w:sz w:val="19"/>
              </w:rPr>
              <w:t>0.30 — 0.39</w:t>
            </w:r>
          </w:p>
        </w:tc>
        <w:tc>
          <w:tcPr>
            <w:tcW w:type="dxa" w:w="2209"/>
          </w:tcPr>
          <w:p>
            <w:r>
              <w:rPr>
                <w:rFonts w:ascii="Georgia" w:hAnsi="Georgia"/>
                <w:color w:val="4A4A4A"/>
                <w:sz w:val="19"/>
              </w:rPr>
              <w:t>2</w:t>
            </w:r>
          </w:p>
        </w:tc>
        <w:tc>
          <w:tcPr>
            <w:tcW w:type="dxa" w:w="2209"/>
          </w:tcPr>
          <w:p>
            <w:r>
              <w:rPr>
                <w:rFonts w:ascii="Georgia" w:hAnsi="Georgia"/>
                <w:color w:val="4A4A4A"/>
                <w:sz w:val="19"/>
              </w:rPr>
              <w:t>China, Japan (BOJ pivot risk)</w:t>
            </w:r>
          </w:p>
        </w:tc>
      </w:tr>
      <w:tr>
        <w:tc>
          <w:tcPr>
            <w:tcW w:type="dxa" w:w="2209"/>
          </w:tcPr>
          <w:p>
            <w:r>
              <w:rPr>
                <w:rFonts w:ascii="Georgia" w:hAnsi="Georgia"/>
                <w:color w:val="4A4A4A"/>
                <w:sz w:val="19"/>
              </w:rPr>
              <w:t>GLOBAL MONITORS</w:t>
            </w:r>
          </w:p>
        </w:tc>
        <w:tc>
          <w:tcPr>
            <w:tcW w:type="dxa" w:w="2209"/>
          </w:tcPr>
          <w:p>
            <w:r>
              <w:rPr>
                <w:rFonts w:ascii="Georgia" w:hAnsi="Georgia"/>
                <w:color w:val="4A4A4A"/>
                <w:sz w:val="19"/>
              </w:rPr>
              <w:t>Cross-territory</w:t>
            </w:r>
          </w:p>
        </w:tc>
        <w:tc>
          <w:tcPr>
            <w:tcW w:type="dxa" w:w="2209"/>
          </w:tcPr>
          <w:p>
            <w:r>
              <w:rPr>
                <w:rFonts w:ascii="Georgia" w:hAnsi="Georgia"/>
                <w:color w:val="4A4A4A"/>
                <w:sz w:val="19"/>
              </w:rPr>
              <w:t>2</w:t>
            </w:r>
          </w:p>
        </w:tc>
        <w:tc>
          <w:tcPr>
            <w:tcW w:type="dxa" w:w="2209"/>
          </w:tcPr>
          <w:p>
            <w:r>
              <w:rPr>
                <w:rFonts w:ascii="Georgia" w:hAnsi="Georgia"/>
                <w:color w:val="4A4A4A"/>
                <w:sz w:val="19"/>
              </w:rPr>
              <w:t>AI Capex Bubble (0.4500), Nuclear Escalation (0.4500)</w:t>
            </w:r>
          </w:p>
        </w:tc>
      </w:tr>
    </w:tbl>
    <w:p>
      <w:pPr>
        <w:spacing w:after="160"/>
      </w:pPr>
    </w:p>
    <w:p>
      <w:pPr>
        <w:spacing w:before="200" w:after="40"/>
      </w:pPr>
      <w:r>
        <w:rPr>
          <w:rFonts w:ascii="Calibri" w:hAnsi="Calibri"/>
          <w:b/>
          <w:i w:val="0"/>
          <w:color w:val="B8960A"/>
          <w:sz w:val="22"/>
        </w:rPr>
        <w:t>2.2 — Critical Territory Profiles</w:t>
      </w:r>
    </w:p>
    <w:p>
      <w:pPr>
        <w:spacing w:before="120" w:after="80"/>
        <w:ind w:left="432" w:right="432"/>
        <w:pBdr>
          <w:top w:val="single" w:sz="4" w:space="6" w:color="8B0000"/>
          <w:bottom w:val="single" w:sz="4" w:space="6" w:color="8B0000"/>
          <w:left w:val="single" w:sz="8" w:space="6" w:color="8B0000"/>
          <w:right w:val="single" w:sz="4" w:space="6" w:color="8B0000"/>
        </w:pBdr>
      </w:pPr>
      <w:r>
        <w:rPr>
          <w:rFonts w:ascii="Calibri" w:hAnsi="Calibri"/>
          <w:b/>
          <w:i w:val="0"/>
          <w:color w:val="8B0000"/>
          <w:sz w:val="21"/>
        </w:rPr>
        <w:t>⚑ CRITICAL: ARGENTINA — ARRI = 0.6250</w:t>
      </w:r>
      <w:r>
        <w:br/>
      </w:r>
      <w:r>
        <w:rPr>
          <w:rFonts w:ascii="Georgia" w:hAnsi="Georgia"/>
          <w:b w:val="0"/>
          <w:i w:val="0"/>
          <w:color w:val="4A4A4A"/>
          <w:sz w:val="20"/>
        </w:rPr>
        <w:t>Argentina's Risk Index at 0.6250 reflects: IMF agreement fragility, USD peg sustainability questions, political polarisation between Milei reform coalition and Kirchnerist opposition, 35%+ probability of another sovereign default within 18 months. The peso devaluation cycle has not been broken — it has been temporarily suppressed by dollarisation shock therapy. Canaries fired: FX reserves &lt; $20B threshold, congressional obstruction of fiscal reform, social protest index above 2001 baseline.</w:t>
      </w:r>
    </w:p>
    <w:p>
      <w:pPr>
        <w:spacing w:before="120" w:after="80"/>
        <w:ind w:left="432" w:right="432"/>
        <w:pBdr>
          <w:top w:val="single" w:sz="4" w:space="6" w:color="8B0000"/>
          <w:bottom w:val="single" w:sz="4" w:space="6" w:color="8B0000"/>
          <w:left w:val="single" w:sz="8" w:space="6" w:color="8B0000"/>
          <w:right w:val="single" w:sz="4" w:space="6" w:color="8B0000"/>
        </w:pBdr>
      </w:pPr>
      <w:r>
        <w:rPr>
          <w:rFonts w:ascii="Calibri" w:hAnsi="Calibri"/>
          <w:b/>
          <w:i w:val="0"/>
          <w:color w:val="8B0000"/>
          <w:sz w:val="21"/>
        </w:rPr>
        <w:t>⚑ CRITICAL: LEBANON — LBRI = 0.6173</w:t>
      </w:r>
      <w:r>
        <w:br/>
      </w:r>
      <w:r>
        <w:rPr>
          <w:rFonts w:ascii="Georgia" w:hAnsi="Georgia"/>
          <w:b w:val="0"/>
          <w:i w:val="0"/>
          <w:color w:val="4A4A4A"/>
          <w:sz w:val="20"/>
        </w:rPr>
        <w:t>Lebanon's Risk Index at 0.6173 reflects the post-Hezbollah power vacuum following Israeli operations in 2024-2025. The Hezbollah military capability is degraded but the political vacuum it leaves creates a governance crisis: no functioning cabinet, banking sector at 12% of 2019 deposits, USD 90B+ in depositor losses unresolved. The Iran-US War MOU of June 18, 2026 creates pressure on Hezbollah's strategic direction. Canaries fired: PMT index collapse, banking system black-hole threshold, central bank reserve depletion.</w:t>
      </w:r>
    </w:p>
    <w:p>
      <w:pPr>
        <w:spacing w:before="120" w:after="80"/>
        <w:ind w:left="432" w:right="432"/>
        <w:pBdr>
          <w:top w:val="single" w:sz="4" w:space="6" w:color="B8500A"/>
          <w:bottom w:val="single" w:sz="4" w:space="6" w:color="B8500A"/>
          <w:left w:val="single" w:sz="8" w:space="6" w:color="B8500A"/>
          <w:right w:val="single" w:sz="4" w:space="6" w:color="B8500A"/>
        </w:pBdr>
      </w:pPr>
      <w:r>
        <w:rPr>
          <w:rFonts w:ascii="Calibri" w:hAnsi="Calibri"/>
          <w:b/>
          <w:i w:val="0"/>
          <w:color w:val="B8500A"/>
          <w:sz w:val="21"/>
        </w:rPr>
        <w:t>⚑ HIGH: UKRAINE — UARI = 0.5850</w:t>
      </w:r>
      <w:r>
        <w:br/>
      </w:r>
      <w:r>
        <w:rPr>
          <w:rFonts w:ascii="Georgia" w:hAnsi="Georgia"/>
          <w:b w:val="0"/>
          <w:i w:val="0"/>
          <w:color w:val="4A4A4A"/>
          <w:sz w:val="20"/>
        </w:rPr>
        <w:t>Ukraine's highest-priority canary — FRONTLINE COLLAPSE — has been FIRED. Russian forces have advanced 340+ km from Feb 2022 lines. Western military aid fatigue is measurable (US supplemental appropriation timelines lengthening). Ukrainian mobilisation pool is mathematically constrained. The probability of a Russian strategic breakthrough in 2026 is assessed at 22% by Blue Lotus superforecasting. Canaries fired: frontline collapse trigger, ammunition deficit threshold, Western aid-per-month decline.</w:t>
      </w:r>
    </w:p>
    <w:p>
      <w:pPr>
        <w:spacing w:before="120" w:after="80"/>
        <w:ind w:left="432" w:right="432"/>
        <w:pBdr>
          <w:top w:val="single" w:sz="4" w:space="6" w:color="B8500A"/>
          <w:bottom w:val="single" w:sz="4" w:space="6" w:color="B8500A"/>
          <w:left w:val="single" w:sz="8" w:space="6" w:color="B8500A"/>
          <w:right w:val="single" w:sz="4" w:space="6" w:color="B8500A"/>
        </w:pBdr>
      </w:pPr>
      <w:r>
        <w:rPr>
          <w:rFonts w:ascii="Calibri" w:hAnsi="Calibri"/>
          <w:b/>
          <w:i w:val="0"/>
          <w:color w:val="B8500A"/>
          <w:sz w:val="21"/>
        </w:rPr>
        <w:t>⚑ HIGH: JAPAN — BOJ POLICY SHOCK (MONITOR LEVEL, GLOBAL SYSTEMIC RISK)</w:t>
      </w:r>
      <w:r>
        <w:br/>
      </w:r>
      <w:r>
        <w:rPr>
          <w:rFonts w:ascii="Georgia" w:hAnsi="Georgia"/>
          <w:b w:val="0"/>
          <w:i w:val="0"/>
          <w:color w:val="4A4A4A"/>
          <w:sz w:val="20"/>
        </w:rPr>
        <w:t>The Bank of Japan's rate normalisation — from negative rates to +0.25% and climbing — threatens to unwind the largest carry trade in monetary history. Estimated JPY carry trade outstanding: $3-4 trillion. A BOJ shock would trigger simultaneous deleveraging in EM equity markets, US Treasuries, and European fixed income. The KOSPI/Samsung/SK Hynix complex is particularly exposed. Canary FIRED: BOJ hike threshold.</w:t>
      </w:r>
    </w:p>
    <w:p>
      <w:pPr>
        <w:spacing w:before="200" w:after="40"/>
      </w:pPr>
      <w:r>
        <w:rPr>
          <w:rFonts w:ascii="Calibri" w:hAnsi="Calibri"/>
          <w:b/>
          <w:i w:val="0"/>
          <w:color w:val="B8960A"/>
          <w:sz w:val="22"/>
        </w:rPr>
        <w:t>2.3 — The Dual Chokepoint Monitors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Chokepoint</w:t>
            </w:r>
          </w:p>
        </w:tc>
        <w:tc>
          <w:tcPr>
            <w:tcW w:type="dxa" w:w="1768"/>
          </w:tcPr>
          <w:p>
            <w:r>
              <w:rPr>
                <w:rFonts w:ascii="Calibri" w:hAnsi="Calibri"/>
                <w:b/>
                <w:color w:val="0D1B2A"/>
                <w:sz w:val="19"/>
              </w:rPr>
              <w:t>Daily Flow</w:t>
            </w:r>
          </w:p>
        </w:tc>
        <w:tc>
          <w:tcPr>
            <w:tcW w:type="dxa" w:w="1768"/>
          </w:tcPr>
          <w:p>
            <w:r>
              <w:rPr>
                <w:rFonts w:ascii="Calibri" w:hAnsi="Calibri"/>
                <w:b/>
                <w:color w:val="0D1B2A"/>
                <w:sz w:val="19"/>
              </w:rPr>
              <w:t>% Global Seaborne Oil</w:t>
            </w:r>
          </w:p>
        </w:tc>
        <w:tc>
          <w:tcPr>
            <w:tcW w:type="dxa" w:w="1768"/>
          </w:tcPr>
          <w:p>
            <w:r>
              <w:rPr>
                <w:rFonts w:ascii="Calibri" w:hAnsi="Calibri"/>
                <w:b/>
                <w:color w:val="0D1B2A"/>
                <w:sz w:val="19"/>
              </w:rPr>
              <w:t>Status (Jul 22, 2026)</w:t>
            </w:r>
          </w:p>
        </w:tc>
        <w:tc>
          <w:tcPr>
            <w:tcW w:type="dxa" w:w="1768"/>
          </w:tcPr>
          <w:p>
            <w:r>
              <w:rPr>
                <w:rFonts w:ascii="Calibri" w:hAnsi="Calibri"/>
                <w:b/>
                <w:color w:val="0D1B2A"/>
                <w:sz w:val="19"/>
              </w:rPr>
              <w:t>Risk Level</w:t>
            </w:r>
          </w:p>
        </w:tc>
      </w:tr>
      <w:tr>
        <w:tc>
          <w:tcPr>
            <w:tcW w:type="dxa" w:w="1768"/>
          </w:tcPr>
          <w:p>
            <w:r>
              <w:rPr>
                <w:rFonts w:ascii="Georgia" w:hAnsi="Georgia"/>
                <w:color w:val="4A4A4A"/>
                <w:sz w:val="19"/>
              </w:rPr>
              <w:t>Strait of Hormuz</w:t>
            </w:r>
          </w:p>
        </w:tc>
        <w:tc>
          <w:tcPr>
            <w:tcW w:type="dxa" w:w="1768"/>
          </w:tcPr>
          <w:p>
            <w:r>
              <w:rPr>
                <w:rFonts w:ascii="Georgia" w:hAnsi="Georgia"/>
                <w:color w:val="4A4A4A"/>
                <w:sz w:val="19"/>
              </w:rPr>
              <w:t>~20 Mb/d</w:t>
            </w:r>
          </w:p>
        </w:tc>
        <w:tc>
          <w:tcPr>
            <w:tcW w:type="dxa" w:w="1768"/>
          </w:tcPr>
          <w:p>
            <w:r>
              <w:rPr>
                <w:rFonts w:ascii="Georgia" w:hAnsi="Georgia"/>
                <w:color w:val="4A4A4A"/>
                <w:sz w:val="19"/>
              </w:rPr>
              <w:t>~20%</w:t>
            </w:r>
          </w:p>
        </w:tc>
        <w:tc>
          <w:tcPr>
            <w:tcW w:type="dxa" w:w="1768"/>
          </w:tcPr>
          <w:p>
            <w:r>
              <w:rPr>
                <w:rFonts w:ascii="Georgia" w:hAnsi="Georgia"/>
                <w:color w:val="4A4A4A"/>
                <w:sz w:val="19"/>
              </w:rPr>
              <w:t>Formally open; renewed Iranian naval posture since Jul 15</w:t>
            </w:r>
          </w:p>
        </w:tc>
        <w:tc>
          <w:tcPr>
            <w:tcW w:type="dxa" w:w="1768"/>
          </w:tcPr>
          <w:p>
            <w:r>
              <w:rPr>
                <w:rFonts w:ascii="Georgia" w:hAnsi="Georgia"/>
                <w:color w:val="4A4A4A"/>
                <w:sz w:val="19"/>
              </w:rPr>
              <w:t>HIGH</w:t>
            </w:r>
          </w:p>
        </w:tc>
      </w:tr>
      <w:tr>
        <w:tc>
          <w:tcPr>
            <w:tcW w:type="dxa" w:w="1768"/>
          </w:tcPr>
          <w:p>
            <w:r>
              <w:rPr>
                <w:rFonts w:ascii="Georgia" w:hAnsi="Georgia"/>
                <w:color w:val="4A4A4A"/>
                <w:sz w:val="19"/>
              </w:rPr>
              <w:t>Bab al-Mandab</w:t>
            </w:r>
          </w:p>
        </w:tc>
        <w:tc>
          <w:tcPr>
            <w:tcW w:type="dxa" w:w="1768"/>
          </w:tcPr>
          <w:p>
            <w:r>
              <w:rPr>
                <w:rFonts w:ascii="Georgia" w:hAnsi="Georgia"/>
                <w:color w:val="4A4A4A"/>
                <w:sz w:val="19"/>
              </w:rPr>
              <w:t>~7.4 Mb/d</w:t>
            </w:r>
          </w:p>
        </w:tc>
        <w:tc>
          <w:tcPr>
            <w:tcW w:type="dxa" w:w="1768"/>
          </w:tcPr>
          <w:p>
            <w:r>
              <w:rPr>
                <w:rFonts w:ascii="Georgia" w:hAnsi="Georgia"/>
                <w:color w:val="4A4A4A"/>
                <w:sz w:val="19"/>
              </w:rPr>
              <w:t>~7%</w:t>
            </w:r>
          </w:p>
        </w:tc>
        <w:tc>
          <w:tcPr>
            <w:tcW w:type="dxa" w:w="1768"/>
          </w:tcPr>
          <w:p>
            <w:r>
              <w:rPr>
                <w:rFonts w:ascii="Georgia" w:hAnsi="Georgia"/>
                <w:color w:val="4A4A4A"/>
                <w:sz w:val="19"/>
              </w:rPr>
              <w:t>Houthi operations constrained but not ceased; US Naval presence</w:t>
            </w:r>
          </w:p>
        </w:tc>
        <w:tc>
          <w:tcPr>
            <w:tcW w:type="dxa" w:w="1768"/>
          </w:tcPr>
          <w:p>
            <w:r>
              <w:rPr>
                <w:rFonts w:ascii="Georgia" w:hAnsi="Georgia"/>
                <w:color w:val="4A4A4A"/>
                <w:sz w:val="19"/>
              </w:rPr>
              <w:t>WATCH</w:t>
            </w:r>
          </w:p>
        </w:tc>
      </w:tr>
      <w:tr>
        <w:tc>
          <w:tcPr>
            <w:tcW w:type="dxa" w:w="1768"/>
          </w:tcPr>
          <w:p>
            <w:r>
              <w:rPr>
                <w:rFonts w:ascii="Georgia" w:hAnsi="Georgia"/>
                <w:color w:val="4A4A4A"/>
                <w:sz w:val="19"/>
              </w:rPr>
              <w:t>Combined dual closure</w:t>
            </w:r>
          </w:p>
        </w:tc>
        <w:tc>
          <w:tcPr>
            <w:tcW w:type="dxa" w:w="1768"/>
          </w:tcPr>
          <w:p>
            <w:r>
              <w:rPr>
                <w:rFonts w:ascii="Georgia" w:hAnsi="Georgia"/>
                <w:color w:val="4A4A4A"/>
                <w:sz w:val="19"/>
              </w:rPr>
              <w:t>~27.4 Mb/d</w:t>
            </w:r>
          </w:p>
        </w:tc>
        <w:tc>
          <w:tcPr>
            <w:tcW w:type="dxa" w:w="1768"/>
          </w:tcPr>
          <w:p>
            <w:r>
              <w:rPr>
                <w:rFonts w:ascii="Georgia" w:hAnsi="Georgia"/>
                <w:color w:val="4A4A4A"/>
                <w:sz w:val="19"/>
              </w:rPr>
              <w:t>~27%</w:t>
            </w:r>
          </w:p>
        </w:tc>
        <w:tc>
          <w:tcPr>
            <w:tcW w:type="dxa" w:w="1768"/>
          </w:tcPr>
          <w:p>
            <w:r>
              <w:rPr>
                <w:rFonts w:ascii="Georgia" w:hAnsi="Georgia"/>
                <w:color w:val="4A4A4A"/>
                <w:sz w:val="19"/>
              </w:rPr>
              <w:t>MOU holds; not at peak disruption; monitoring required</w:t>
            </w:r>
          </w:p>
        </w:tc>
        <w:tc>
          <w:tcPr>
            <w:tcW w:type="dxa" w:w="1768"/>
          </w:tcPr>
          <w:p>
            <w:r>
              <w:rPr>
                <w:rFonts w:ascii="Georgia" w:hAnsi="Georgia"/>
                <w:color w:val="4A4A4A"/>
                <w:sz w:val="19"/>
              </w:rPr>
              <w:t>HIGH</w:t>
            </w:r>
          </w:p>
        </w:tc>
      </w:tr>
      <w:tr>
        <w:tc>
          <w:tcPr>
            <w:tcW w:type="dxa" w:w="1768"/>
          </w:tcPr>
          <w:p>
            <w:r>
              <w:rPr>
                <w:rFonts w:ascii="Georgia" w:hAnsi="Georgia"/>
                <w:color w:val="4A4A4A"/>
                <w:sz w:val="19"/>
              </w:rPr>
              <w:t>Malacca Strait</w:t>
            </w:r>
          </w:p>
        </w:tc>
        <w:tc>
          <w:tcPr>
            <w:tcW w:type="dxa" w:w="1768"/>
          </w:tcPr>
          <w:p>
            <w:r>
              <w:rPr>
                <w:rFonts w:ascii="Georgia" w:hAnsi="Georgia"/>
                <w:color w:val="4A4A4A"/>
                <w:sz w:val="19"/>
              </w:rPr>
              <w:t>~16 Mb/d</w:t>
            </w:r>
          </w:p>
        </w:tc>
        <w:tc>
          <w:tcPr>
            <w:tcW w:type="dxa" w:w="1768"/>
          </w:tcPr>
          <w:p>
            <w:r>
              <w:rPr>
                <w:rFonts w:ascii="Georgia" w:hAnsi="Georgia"/>
                <w:color w:val="4A4A4A"/>
                <w:sz w:val="19"/>
              </w:rPr>
              <w:t>~16%</w:t>
            </w:r>
          </w:p>
        </w:tc>
        <w:tc>
          <w:tcPr>
            <w:tcW w:type="dxa" w:w="1768"/>
          </w:tcPr>
          <w:p>
            <w:r>
              <w:rPr>
                <w:rFonts w:ascii="Georgia" w:hAnsi="Georgia"/>
                <w:color w:val="4A4A4A"/>
                <w:sz w:val="19"/>
              </w:rPr>
              <w:t>Normal operations; China Taiwan tension is tail risk</w:t>
            </w:r>
          </w:p>
        </w:tc>
        <w:tc>
          <w:tcPr>
            <w:tcW w:type="dxa" w:w="1768"/>
          </w:tcPr>
          <w:p>
            <w:r>
              <w:rPr>
                <w:rFonts w:ascii="Georgia" w:hAnsi="Georgia"/>
                <w:color w:val="4A4A4A"/>
                <w:sz w:val="19"/>
              </w:rPr>
              <w:t>MONITOR</w:t>
            </w:r>
          </w:p>
        </w:tc>
      </w:tr>
    </w:tbl>
    <w:p>
      <w:pPr>
        <w:spacing w:after="160"/>
      </w:pPr>
    </w:p>
    <w:p>
      <w:pPr>
        <w:spacing w:after="60"/>
      </w:pPr>
      <w:r>
        <w:rPr>
          <w:rFonts w:ascii="Georgia" w:hAnsi="Georgia"/>
          <w:b w:val="0"/>
          <w:i/>
          <w:color w:val="8A8A8A"/>
          <w:sz w:val="19"/>
        </w:rPr>
        <w:t>Source: EIA Global Oil Flow Data; Blue Lotus Dual Blockade Report; NIKKEI shipping intelligence; US 5th Fleet AOR</w:t>
      </w:r>
    </w:p>
    <w:p>
      <w:pPr>
        <w:spacing w:before="200" w:after="40"/>
      </w:pPr>
      <w:r>
        <w:rPr>
          <w:rFonts w:ascii="Calibri" w:hAnsi="Calibri"/>
          <w:b/>
          <w:i w:val="0"/>
          <w:color w:val="B8960A"/>
          <w:sz w:val="22"/>
        </w:rPr>
        <w:t>2.4 — Global Cross-Territory Monitors</w:t>
      </w:r>
    </w:p>
    <w:p>
      <w:pPr>
        <w:spacing w:before="160" w:after="40"/>
      </w:pPr>
      <w:r>
        <w:rPr>
          <w:rFonts w:ascii="Calibri" w:hAnsi="Calibri"/>
          <w:b/>
          <w:i/>
          <w:color w:val="0D1B2A"/>
          <w:sz w:val="21"/>
        </w:rPr>
        <w:t>AI Capex Bubble Monitor — AICRI = 0.4500</w:t>
      </w:r>
    </w:p>
    <w:p>
      <w:pPr>
        <w:spacing w:after="120"/>
      </w:pPr>
      <w:r>
        <w:rPr>
          <w:rFonts w:ascii="Georgia" w:hAnsi="Georgia"/>
          <w:b w:val="0"/>
          <w:i w:val="0"/>
          <w:color w:val="4A4A4A"/>
          <w:sz w:val="22"/>
        </w:rPr>
        <w:t>The AI Capex Risk Index at 0.4500 reflects: $270B+ annual capex with aggregate AI product revenues at &lt;$50B (ex-cloud infrastructure). The ratio of capex to revenue for pure-play AI companies exceeds 5:1. Historical analogy: Cisco in 2000 traded at 100x earnings before a 90% drawdown. The AICRI is designed to detect the pre-conditions for a capex reset — not the reset itself. At 0.4500, we are approaching the threshold where a demand shortfall triggers a spending-cliff feedback: capex cuts → cloud revenue miss → re-rating → capex cuts.</w:t>
      </w:r>
    </w:p>
    <w:p>
      <w:pPr>
        <w:spacing w:before="160" w:after="40"/>
      </w:pPr>
      <w:r>
        <w:rPr>
          <w:rFonts w:ascii="Calibri" w:hAnsi="Calibri"/>
          <w:b/>
          <w:i/>
          <w:color w:val="0D1B2A"/>
          <w:sz w:val="21"/>
        </w:rPr>
        <w:t>Nuclear Escalation Monitor — NERI = 0.4500</w:t>
      </w:r>
    </w:p>
    <w:p>
      <w:pPr>
        <w:spacing w:after="120"/>
      </w:pPr>
      <w:r>
        <w:rPr>
          <w:rFonts w:ascii="Georgia" w:hAnsi="Georgia"/>
          <w:b w:val="0"/>
          <w:i w:val="0"/>
          <w:color w:val="4A4A4A"/>
          <w:sz w:val="22"/>
        </w:rPr>
        <w:t>The Nuclear Escalation Risk Index at 0.4500 is driven by: Iran's enrichment trajectory (60%+ U-235; weaponisation breakout timeline assessed at 3-6 months post-MOU, though degraded by Operation Midnight Hammer and Epic Fury), DPRK operational deployment of 50+ warheads, Russia's explicit nuclear doctrine revision (September 2024), and Pakistan-India Kashmir tension at 2019 equivalence. The perverse incentive identified by Blue Lotus: US strikes may have increased Iran's motivation to reconstitute and weaponise rather than comply.</w:t>
      </w:r>
    </w:p>
    <w:p>
      <w:r>
        <w:br w:type="page"/>
      </w:r>
    </w:p>
    <w:p>
      <w:pPr>
        <w:spacing w:before="440" w:after="120"/>
      </w:pPr>
      <w:r>
        <w:rPr>
          <w:rFonts w:ascii="Calibri" w:hAnsi="Calibri"/>
          <w:b/>
          <w:i w:val="0"/>
          <w:color w:val="0D1B2A"/>
          <w:sz w:val="30"/>
        </w:rPr>
        <w:t>PART III: THE ACTIVE CONFLICT THEATER — THE MIDDLE EAST CRUCIBLE</w:t>
      </w:r>
    </w:p>
    <w:p>
      <w:pPr>
        <w:pBdr>
          <w:bottom w:val="single" w:sz="6" w:space="1" w:color="B8960A"/>
        </w:pBdr>
        <w:spacing w:after="80"/>
      </w:pPr>
    </w:p>
    <w:p>
      <w:pPr>
        <w:spacing w:before="280" w:after="60"/>
      </w:pPr>
      <w:r>
        <w:rPr>
          <w:rFonts w:ascii="Calibri" w:hAnsi="Calibri"/>
          <w:b/>
          <w:i w:val="0"/>
          <w:color w:val="0D1B2A"/>
          <w:sz w:val="24"/>
        </w:rPr>
        <w:t>3.1 — The US-Iran War: From Midnight Hammer to Epic Fury</w:t>
      </w:r>
    </w:p>
    <w:p>
      <w:pPr>
        <w:spacing w:after="120"/>
      </w:pPr>
      <w:r>
        <w:rPr>
          <w:rFonts w:ascii="Georgia" w:hAnsi="Georgia"/>
          <w:b w:val="0"/>
          <w:i w:val="0"/>
          <w:color w:val="4A4A4A"/>
          <w:sz w:val="22"/>
        </w:rPr>
        <w:t>The first direct US-Iranian military confrontation in history unfolded in two phases: a precision strike campaign beginning June 21, 2025, and a conventional war phase beginning February 28, 2026. The conflict represents the most consequential US military action since the 2003 Iraq invasion — and its long-term consequences remain deeply contested among intelligence analysts.</w:t>
      </w:r>
    </w:p>
    <w:p>
      <w:pPr>
        <w:spacing w:before="200" w:after="40"/>
      </w:pPr>
      <w:r>
        <w:rPr>
          <w:rFonts w:ascii="Calibri" w:hAnsi="Calibri"/>
          <w:b/>
          <w:i w:val="0"/>
          <w:color w:val="B8960A"/>
          <w:sz w:val="22"/>
        </w:rPr>
        <w:t>War Timeline — Key Events</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Date</w:t>
            </w:r>
          </w:p>
        </w:tc>
        <w:tc>
          <w:tcPr>
            <w:tcW w:type="dxa" w:w="2946"/>
          </w:tcPr>
          <w:p>
            <w:r>
              <w:rPr>
                <w:rFonts w:ascii="Calibri" w:hAnsi="Calibri"/>
                <w:b/>
                <w:color w:val="0D1B2A"/>
                <w:sz w:val="19"/>
              </w:rPr>
              <w:t>Event</w:t>
            </w:r>
          </w:p>
        </w:tc>
        <w:tc>
          <w:tcPr>
            <w:tcW w:type="dxa" w:w="2946"/>
          </w:tcPr>
          <w:p>
            <w:r>
              <w:rPr>
                <w:rFonts w:ascii="Calibri" w:hAnsi="Calibri"/>
                <w:b/>
                <w:color w:val="0D1B2A"/>
                <w:sz w:val="19"/>
              </w:rPr>
              <w:t>Significance</w:t>
            </w:r>
          </w:p>
        </w:tc>
      </w:tr>
      <w:tr>
        <w:tc>
          <w:tcPr>
            <w:tcW w:type="dxa" w:w="2946"/>
          </w:tcPr>
          <w:p>
            <w:r>
              <w:rPr>
                <w:rFonts w:ascii="Georgia" w:hAnsi="Georgia"/>
                <w:color w:val="4A4A4A"/>
                <w:sz w:val="19"/>
              </w:rPr>
              <w:t>Jun 21, 2025</w:t>
            </w:r>
          </w:p>
        </w:tc>
        <w:tc>
          <w:tcPr>
            <w:tcW w:type="dxa" w:w="2946"/>
          </w:tcPr>
          <w:p>
            <w:r>
              <w:rPr>
                <w:rFonts w:ascii="Georgia" w:hAnsi="Georgia"/>
                <w:color w:val="4A4A4A"/>
                <w:sz w:val="19"/>
              </w:rPr>
              <w:t>Operation Midnight Hammer</w:t>
            </w:r>
          </w:p>
        </w:tc>
        <w:tc>
          <w:tcPr>
            <w:tcW w:type="dxa" w:w="2946"/>
          </w:tcPr>
          <w:p>
            <w:r>
              <w:rPr>
                <w:rFonts w:ascii="Georgia" w:hAnsi="Georgia"/>
                <w:color w:val="4A4A4A"/>
                <w:sz w:val="19"/>
              </w:rPr>
              <w:t>7 B-2 Spirit bombers, 125 aircraft, 14 GBU-57 Massive Ordnance Penetrators on Fordow, Natanz, Isfahan. 25-minute precision campaign. Largest US strike since Iraq 2003.</w:t>
            </w:r>
          </w:p>
        </w:tc>
      </w:tr>
      <w:tr>
        <w:tc>
          <w:tcPr>
            <w:tcW w:type="dxa" w:w="2946"/>
          </w:tcPr>
          <w:p>
            <w:r>
              <w:rPr>
                <w:rFonts w:ascii="Georgia" w:hAnsi="Georgia"/>
                <w:color w:val="4A4A4A"/>
                <w:sz w:val="19"/>
              </w:rPr>
              <w:t>Jun 23, 2025</w:t>
            </w:r>
          </w:p>
        </w:tc>
        <w:tc>
          <w:tcPr>
            <w:tcW w:type="dxa" w:w="2946"/>
          </w:tcPr>
          <w:p>
            <w:r>
              <w:rPr>
                <w:rFonts w:ascii="Georgia" w:hAnsi="Georgia"/>
                <w:color w:val="4A4A4A"/>
                <w:sz w:val="19"/>
              </w:rPr>
              <w:t>Iran retaliates</w:t>
            </w:r>
          </w:p>
        </w:tc>
        <w:tc>
          <w:tcPr>
            <w:tcW w:type="dxa" w:w="2946"/>
          </w:tcPr>
          <w:p>
            <w:r>
              <w:rPr>
                <w:rFonts w:ascii="Georgia" w:hAnsi="Georgia"/>
                <w:color w:val="4A4A4A"/>
                <w:sz w:val="19"/>
              </w:rPr>
              <w:t>Iranian missiles hit Al Udeid Air Base, Qatar. 12 US personnel casualties. First direct Iranian strike on US base in history.</w:t>
            </w:r>
          </w:p>
        </w:tc>
      </w:tr>
      <w:tr>
        <w:tc>
          <w:tcPr>
            <w:tcW w:type="dxa" w:w="2946"/>
          </w:tcPr>
          <w:p>
            <w:r>
              <w:rPr>
                <w:rFonts w:ascii="Georgia" w:hAnsi="Georgia"/>
                <w:color w:val="4A4A4A"/>
                <w:sz w:val="19"/>
              </w:rPr>
              <w:t>Jul-Sep 2025</w:t>
            </w:r>
          </w:p>
        </w:tc>
        <w:tc>
          <w:tcPr>
            <w:tcW w:type="dxa" w:w="2946"/>
          </w:tcPr>
          <w:p>
            <w:r>
              <w:rPr>
                <w:rFonts w:ascii="Georgia" w:hAnsi="Georgia"/>
                <w:color w:val="4A4A4A"/>
                <w:sz w:val="19"/>
              </w:rPr>
              <w:t>Escalation spiral</w:t>
            </w:r>
          </w:p>
        </w:tc>
        <w:tc>
          <w:tcPr>
            <w:tcW w:type="dxa" w:w="2946"/>
          </w:tcPr>
          <w:p>
            <w:r>
              <w:rPr>
                <w:rFonts w:ascii="Georgia" w:hAnsi="Georgia"/>
                <w:color w:val="4A4A4A"/>
                <w:sz w:val="19"/>
              </w:rPr>
              <w:t>Houthi attacks intensify; Hezbollah rocket barrage on northern Israel; Hamas sporadically active despite 2024 degradation.</w:t>
            </w:r>
          </w:p>
        </w:tc>
      </w:tr>
      <w:tr>
        <w:tc>
          <w:tcPr>
            <w:tcW w:type="dxa" w:w="2946"/>
          </w:tcPr>
          <w:p>
            <w:r>
              <w:rPr>
                <w:rFonts w:ascii="Georgia" w:hAnsi="Georgia"/>
                <w:color w:val="4A4A4A"/>
                <w:sz w:val="19"/>
              </w:rPr>
              <w:t>Feb 28, 2026</w:t>
            </w:r>
          </w:p>
        </w:tc>
        <w:tc>
          <w:tcPr>
            <w:tcW w:type="dxa" w:w="2946"/>
          </w:tcPr>
          <w:p>
            <w:r>
              <w:rPr>
                <w:rFonts w:ascii="Georgia" w:hAnsi="Georgia"/>
                <w:color w:val="4A4A4A"/>
                <w:sz w:val="19"/>
              </w:rPr>
              <w:t>Operation Epic Fury</w:t>
            </w:r>
          </w:p>
        </w:tc>
        <w:tc>
          <w:tcPr>
            <w:tcW w:type="dxa" w:w="2946"/>
          </w:tcPr>
          <w:p>
            <w:r>
              <w:rPr>
                <w:rFonts w:ascii="Georgia" w:hAnsi="Georgia"/>
                <w:color w:val="4A4A4A"/>
                <w:sz w:val="19"/>
              </w:rPr>
              <w:t>US-led coalition kinetic operations against IRGC command structure. Hormuz declared closed by Iran. Global oil prices spike $22/bbl within 48 hours.</w:t>
            </w:r>
          </w:p>
        </w:tc>
      </w:tr>
      <w:tr>
        <w:tc>
          <w:tcPr>
            <w:tcW w:type="dxa" w:w="2946"/>
          </w:tcPr>
          <w:p>
            <w:r>
              <w:rPr>
                <w:rFonts w:ascii="Georgia" w:hAnsi="Georgia"/>
                <w:color w:val="4A4A4A"/>
                <w:sz w:val="19"/>
              </w:rPr>
              <w:t>Feb 28–Jun 18, 2026</w:t>
            </w:r>
          </w:p>
        </w:tc>
        <w:tc>
          <w:tcPr>
            <w:tcW w:type="dxa" w:w="2946"/>
          </w:tcPr>
          <w:p>
            <w:r>
              <w:rPr>
                <w:rFonts w:ascii="Georgia" w:hAnsi="Georgia"/>
                <w:color w:val="4A4A4A"/>
                <w:sz w:val="19"/>
              </w:rPr>
              <w:t>Hormuz closure</w:t>
            </w:r>
          </w:p>
        </w:tc>
        <w:tc>
          <w:tcPr>
            <w:tcW w:type="dxa" w:w="2946"/>
          </w:tcPr>
          <w:p>
            <w:r>
              <w:rPr>
                <w:rFonts w:ascii="Georgia" w:hAnsi="Georgia"/>
                <w:color w:val="4A4A4A"/>
                <w:sz w:val="19"/>
              </w:rPr>
              <w:t>110-day closure. ~20 Mb/d rerouted/reduced. Global economic cost estimated $400-600B. Brent averaged $107/bbl during closure.</w:t>
            </w:r>
          </w:p>
        </w:tc>
      </w:tr>
      <w:tr>
        <w:tc>
          <w:tcPr>
            <w:tcW w:type="dxa" w:w="2946"/>
          </w:tcPr>
          <w:p>
            <w:r>
              <w:rPr>
                <w:rFonts w:ascii="Georgia" w:hAnsi="Georgia"/>
                <w:color w:val="4A4A4A"/>
                <w:sz w:val="19"/>
              </w:rPr>
              <w:t>May 11, 2026</w:t>
            </w:r>
          </w:p>
        </w:tc>
        <w:tc>
          <w:tcPr>
            <w:tcW w:type="dxa" w:w="2946"/>
          </w:tcPr>
          <w:p>
            <w:r>
              <w:rPr>
                <w:rFonts w:ascii="Georgia" w:hAnsi="Georgia"/>
                <w:color w:val="4A4A4A"/>
                <w:sz w:val="19"/>
              </w:rPr>
              <w:t>Trump rejects peace</w:t>
            </w:r>
          </w:p>
        </w:tc>
        <w:tc>
          <w:tcPr>
            <w:tcW w:type="dxa" w:w="2946"/>
          </w:tcPr>
          <w:p>
            <w:r>
              <w:rPr>
                <w:rFonts w:ascii="Georgia" w:hAnsi="Georgia"/>
                <w:color w:val="4A4A4A"/>
                <w:sz w:val="19"/>
              </w:rPr>
              <w:t>Nikkei reporting: Trump rejected Omani-brokered peace proposal. Continued military pressure strategy maintained.</w:t>
            </w:r>
          </w:p>
        </w:tc>
      </w:tr>
      <w:tr>
        <w:tc>
          <w:tcPr>
            <w:tcW w:type="dxa" w:w="2946"/>
          </w:tcPr>
          <w:p>
            <w:r>
              <w:rPr>
                <w:rFonts w:ascii="Georgia" w:hAnsi="Georgia"/>
                <w:color w:val="4A4A4A"/>
                <w:sz w:val="19"/>
              </w:rPr>
              <w:t>Jun 18, 2026</w:t>
            </w:r>
          </w:p>
        </w:tc>
        <w:tc>
          <w:tcPr>
            <w:tcW w:type="dxa" w:w="2946"/>
          </w:tcPr>
          <w:p>
            <w:r>
              <w:rPr>
                <w:rFonts w:ascii="Georgia" w:hAnsi="Georgia"/>
                <w:color w:val="4A4A4A"/>
                <w:sz w:val="19"/>
              </w:rPr>
              <w:t>MOU signed</w:t>
            </w:r>
          </w:p>
        </w:tc>
        <w:tc>
          <w:tcPr>
            <w:tcW w:type="dxa" w:w="2946"/>
          </w:tcPr>
          <w:p>
            <w:r>
              <w:rPr>
                <w:rFonts w:ascii="Georgia" w:hAnsi="Georgia"/>
                <w:color w:val="4A4A4A"/>
                <w:sz w:val="19"/>
              </w:rPr>
              <w:t>Memorandum of Understanding: Hormuz reopened. Iran nuclear programme to be renegotiated. Brent -$22 in 24 hours → ~$85/bbl.</w:t>
            </w:r>
          </w:p>
        </w:tc>
      </w:tr>
      <w:tr>
        <w:tc>
          <w:tcPr>
            <w:tcW w:type="dxa" w:w="2946"/>
          </w:tcPr>
          <w:p>
            <w:r>
              <w:rPr>
                <w:rFonts w:ascii="Georgia" w:hAnsi="Georgia"/>
                <w:color w:val="4A4A4A"/>
                <w:sz w:val="19"/>
              </w:rPr>
              <w:t>Jul 15, 2026</w:t>
            </w:r>
          </w:p>
        </w:tc>
        <w:tc>
          <w:tcPr>
            <w:tcW w:type="dxa" w:w="2946"/>
          </w:tcPr>
          <w:p>
            <w:r>
              <w:rPr>
                <w:rFonts w:ascii="Georgia" w:hAnsi="Georgia"/>
                <w:color w:val="4A4A4A"/>
                <w:sz w:val="19"/>
              </w:rPr>
              <w:t>Renewed naval blockade</w:t>
            </w:r>
          </w:p>
        </w:tc>
        <w:tc>
          <w:tcPr>
            <w:tcW w:type="dxa" w:w="2946"/>
          </w:tcPr>
          <w:p>
            <w:r>
              <w:rPr>
                <w:rFonts w:ascii="Georgia" w:hAnsi="Georgia"/>
                <w:color w:val="4A4A4A"/>
                <w:sz w:val="19"/>
              </w:rPr>
              <w:t>Iran imposes partial naval inspection regime in Persian Gulf. 3 tankers held for inspection. Signals MOU is contested internally in Tehran.</w:t>
            </w:r>
          </w:p>
        </w:tc>
      </w:tr>
    </w:tbl>
    <w:p>
      <w:pPr>
        <w:spacing w:after="160"/>
      </w:pPr>
    </w:p>
    <w:p>
      <w:pPr>
        <w:spacing w:after="60"/>
      </w:pPr>
      <w:r>
        <w:rPr>
          <w:rFonts w:ascii="Georgia" w:hAnsi="Georgia"/>
          <w:b w:val="0"/>
          <w:i/>
          <w:color w:val="8A8A8A"/>
          <w:sz w:val="19"/>
        </w:rPr>
        <w:t>Source: Blue Lotus US-Iran War: Trump's Gambit; Blue Lotus Dual Blockade Report; NIKKEI May 11 2026; EIA oil data</w:t>
      </w:r>
    </w:p>
    <w:p>
      <w:pPr>
        <w:spacing w:before="200" w:after="40"/>
      </w:pPr>
      <w:r>
        <w:rPr>
          <w:rFonts w:ascii="Calibri" w:hAnsi="Calibri"/>
          <w:b/>
          <w:i w:val="0"/>
          <w:color w:val="B8960A"/>
          <w:sz w:val="22"/>
        </w:rPr>
        <w:t>3.2 — Battle Damage Assessment: The Disputed Record</w:t>
      </w:r>
    </w:p>
    <w:p>
      <w:pPr>
        <w:spacing w:after="120"/>
      </w:pPr>
      <w:r>
        <w:rPr>
          <w:rFonts w:ascii="Georgia" w:hAnsi="Georgia"/>
          <w:b w:val="0"/>
          <w:i w:val="0"/>
          <w:color w:val="4A4A4A"/>
          <w:sz w:val="22"/>
        </w:rPr>
        <w:t>No intelligence question in 2026 is more contested than the actual damage inflicted on Iran's nuclear programme. Two official US assessments diverge sharply:</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Source</w:t>
            </w:r>
          </w:p>
        </w:tc>
        <w:tc>
          <w:tcPr>
            <w:tcW w:type="dxa" w:w="2209"/>
          </w:tcPr>
          <w:p>
            <w:r>
              <w:rPr>
                <w:rFonts w:ascii="Calibri" w:hAnsi="Calibri"/>
                <w:b/>
                <w:color w:val="0D1B2A"/>
                <w:sz w:val="19"/>
              </w:rPr>
              <w:t>Assessment</w:t>
            </w:r>
          </w:p>
        </w:tc>
        <w:tc>
          <w:tcPr>
            <w:tcW w:type="dxa" w:w="2209"/>
          </w:tcPr>
          <w:p>
            <w:r>
              <w:rPr>
                <w:rFonts w:ascii="Calibri" w:hAnsi="Calibri"/>
                <w:b/>
                <w:color w:val="0D1B2A"/>
                <w:sz w:val="19"/>
              </w:rPr>
              <w:t>Date</w:t>
            </w:r>
          </w:p>
        </w:tc>
        <w:tc>
          <w:tcPr>
            <w:tcW w:type="dxa" w:w="2209"/>
          </w:tcPr>
          <w:p>
            <w:r>
              <w:rPr>
                <w:rFonts w:ascii="Calibri" w:hAnsi="Calibri"/>
                <w:b/>
                <w:color w:val="0D1B2A"/>
                <w:sz w:val="19"/>
              </w:rPr>
              <w:t>Implication</w:t>
            </w:r>
          </w:p>
        </w:tc>
      </w:tr>
      <w:tr>
        <w:tc>
          <w:tcPr>
            <w:tcW w:type="dxa" w:w="2209"/>
          </w:tcPr>
          <w:p>
            <w:r>
              <w:rPr>
                <w:rFonts w:ascii="Georgia" w:hAnsi="Georgia"/>
                <w:color w:val="4A4A4A"/>
                <w:sz w:val="19"/>
              </w:rPr>
              <w:t>Congressional Research Service / 2025 NSS</w:t>
            </w:r>
          </w:p>
        </w:tc>
        <w:tc>
          <w:tcPr>
            <w:tcW w:type="dxa" w:w="2209"/>
          </w:tcPr>
          <w:p>
            <w:r>
              <w:rPr>
                <w:rFonts w:ascii="Georgia" w:hAnsi="Georgia"/>
                <w:color w:val="4A4A4A"/>
                <w:sz w:val="19"/>
              </w:rPr>
              <w:t>'Significantly degraded Iran's nuclear enrichment capacity'</w:t>
            </w:r>
          </w:p>
        </w:tc>
        <w:tc>
          <w:tcPr>
            <w:tcW w:type="dxa" w:w="2209"/>
          </w:tcPr>
          <w:p>
            <w:r>
              <w:rPr>
                <w:rFonts w:ascii="Georgia" w:hAnsi="Georgia"/>
                <w:color w:val="4A4A4A"/>
                <w:sz w:val="19"/>
              </w:rPr>
              <w:t>Nov 2025</w:t>
            </w:r>
          </w:p>
        </w:tc>
        <w:tc>
          <w:tcPr>
            <w:tcW w:type="dxa" w:w="2209"/>
          </w:tcPr>
          <w:p>
            <w:r>
              <w:rPr>
                <w:rFonts w:ascii="Georgia" w:hAnsi="Georgia"/>
                <w:color w:val="4A4A4A"/>
                <w:sz w:val="19"/>
              </w:rPr>
              <w:t>Partial success; 2-4 year setback; programme intact</w:t>
            </w:r>
          </w:p>
        </w:tc>
      </w:tr>
      <w:tr>
        <w:tc>
          <w:tcPr>
            <w:tcW w:type="dxa" w:w="2209"/>
          </w:tcPr>
          <w:p>
            <w:r>
              <w:rPr>
                <w:rFonts w:ascii="Georgia" w:hAnsi="Georgia"/>
                <w:color w:val="4A4A4A"/>
                <w:sz w:val="19"/>
              </w:rPr>
              <w:t>2026 National Defence Strategy</w:t>
            </w:r>
          </w:p>
        </w:tc>
        <w:tc>
          <w:tcPr>
            <w:tcW w:type="dxa" w:w="2209"/>
          </w:tcPr>
          <w:p>
            <w:r>
              <w:rPr>
                <w:rFonts w:ascii="Georgia" w:hAnsi="Georgia"/>
                <w:color w:val="4A4A4A"/>
                <w:sz w:val="19"/>
              </w:rPr>
              <w:t>'Obliterated Iran's nuclear weapons programme'</w:t>
            </w:r>
          </w:p>
        </w:tc>
        <w:tc>
          <w:tcPr>
            <w:tcW w:type="dxa" w:w="2209"/>
          </w:tcPr>
          <w:p>
            <w:r>
              <w:rPr>
                <w:rFonts w:ascii="Georgia" w:hAnsi="Georgia"/>
                <w:color w:val="4A4A4A"/>
                <w:sz w:val="19"/>
              </w:rPr>
              <w:t>Apr 2026</w:t>
            </w:r>
          </w:p>
        </w:tc>
        <w:tc>
          <w:tcPr>
            <w:tcW w:type="dxa" w:w="2209"/>
          </w:tcPr>
          <w:p>
            <w:r>
              <w:rPr>
                <w:rFonts w:ascii="Georgia" w:hAnsi="Georgia"/>
                <w:color w:val="4A4A4A"/>
                <w:sz w:val="19"/>
              </w:rPr>
              <w:t>Complete success; existential threat removed</w:t>
            </w:r>
          </w:p>
        </w:tc>
      </w:tr>
      <w:tr>
        <w:tc>
          <w:tcPr>
            <w:tcW w:type="dxa" w:w="2209"/>
          </w:tcPr>
          <w:p>
            <w:r>
              <w:rPr>
                <w:rFonts w:ascii="Georgia" w:hAnsi="Georgia"/>
                <w:color w:val="4A4A4A"/>
                <w:sz w:val="19"/>
              </w:rPr>
              <w:t>IAEA (partial access)</w:t>
            </w:r>
          </w:p>
        </w:tc>
        <w:tc>
          <w:tcPr>
            <w:tcW w:type="dxa" w:w="2209"/>
          </w:tcPr>
          <w:p>
            <w:r>
              <w:rPr>
                <w:rFonts w:ascii="Georgia" w:hAnsi="Georgia"/>
                <w:color w:val="4A4A4A"/>
                <w:sz w:val="19"/>
              </w:rPr>
              <w:t>Centrifuge arrays at Fordow destroyed; Natanz production hall collapsed; Isfahan enrichment suspended</w:t>
            </w:r>
          </w:p>
        </w:tc>
        <w:tc>
          <w:tcPr>
            <w:tcW w:type="dxa" w:w="2209"/>
          </w:tcPr>
          <w:p>
            <w:r>
              <w:rPr>
                <w:rFonts w:ascii="Georgia" w:hAnsi="Georgia"/>
                <w:color w:val="4A4A4A"/>
                <w:sz w:val="19"/>
              </w:rPr>
              <w:t>Sep 2025</w:t>
            </w:r>
          </w:p>
        </w:tc>
        <w:tc>
          <w:tcPr>
            <w:tcW w:type="dxa" w:w="2209"/>
          </w:tcPr>
          <w:p>
            <w:r>
              <w:rPr>
                <w:rFonts w:ascii="Georgia" w:hAnsi="Georgia"/>
                <w:color w:val="4A4A4A"/>
                <w:sz w:val="19"/>
              </w:rPr>
              <w:t>Severe damage to physical infrastructure; enriched material disposition unknown</w:t>
            </w:r>
          </w:p>
        </w:tc>
      </w:tr>
      <w:tr>
        <w:tc>
          <w:tcPr>
            <w:tcW w:type="dxa" w:w="2209"/>
          </w:tcPr>
          <w:p>
            <w:r>
              <w:rPr>
                <w:rFonts w:ascii="Georgia" w:hAnsi="Georgia"/>
                <w:color w:val="4A4A4A"/>
                <w:sz w:val="19"/>
              </w:rPr>
              <w:t>Iran official statement</w:t>
            </w:r>
          </w:p>
        </w:tc>
        <w:tc>
          <w:tcPr>
            <w:tcW w:type="dxa" w:w="2209"/>
          </w:tcPr>
          <w:p>
            <w:r>
              <w:rPr>
                <w:rFonts w:ascii="Georgia" w:hAnsi="Georgia"/>
                <w:color w:val="4A4A4A"/>
                <w:sz w:val="19"/>
              </w:rPr>
              <w:t>'Nuclear knowledge cannot be bombed. The programme continues in the mind of every Iranian scientist.'</w:t>
            </w:r>
          </w:p>
        </w:tc>
        <w:tc>
          <w:tcPr>
            <w:tcW w:type="dxa" w:w="2209"/>
          </w:tcPr>
          <w:p>
            <w:r>
              <w:rPr>
                <w:rFonts w:ascii="Georgia" w:hAnsi="Georgia"/>
                <w:color w:val="4A4A4A"/>
                <w:sz w:val="19"/>
              </w:rPr>
              <w:t>Jul 2025</w:t>
            </w:r>
          </w:p>
        </w:tc>
        <w:tc>
          <w:tcPr>
            <w:tcW w:type="dxa" w:w="2209"/>
          </w:tcPr>
          <w:p>
            <w:r>
              <w:rPr>
                <w:rFonts w:ascii="Georgia" w:hAnsi="Georgia"/>
                <w:color w:val="4A4A4A"/>
                <w:sz w:val="19"/>
              </w:rPr>
              <w:t>Doctrinal commitment to reconstitution</w:t>
            </w:r>
          </w:p>
        </w:tc>
      </w:tr>
    </w:tbl>
    <w:p>
      <w:pPr>
        <w:spacing w:after="160"/>
      </w:pPr>
    </w:p>
    <w:p>
      <w:pPr>
        <w:spacing w:after="120"/>
      </w:pPr>
      <w:r>
        <w:rPr>
          <w:rFonts w:ascii="Georgia" w:hAnsi="Georgia"/>
          <w:b w:val="0"/>
          <w:i/>
          <w:color w:val="4A4A4A"/>
          <w:sz w:val="22"/>
        </w:rPr>
        <w:t>Blue Lotus assessment: The 2025 NSS framing ('significantly degraded') is more consistent with the available technical evidence. The 2026 NDS 'obliterated' language appears to reflect political framing rather than intelligence consensus. The perverse incentive identified in Foreign Affairs analysis remains live: kinetic strikes may have increased Iran's motivation to weaponise rather than reduced it.</w:t>
      </w:r>
    </w:p>
    <w:p>
      <w:pPr>
        <w:spacing w:before="200" w:after="40"/>
      </w:pPr>
      <w:r>
        <w:rPr>
          <w:rFonts w:ascii="Calibri" w:hAnsi="Calibri"/>
          <w:b/>
          <w:i w:val="0"/>
          <w:color w:val="B8960A"/>
          <w:sz w:val="22"/>
        </w:rPr>
        <w:t>3.3 — The Axis of Resistance: Status After Two Years of Degradation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Proxy Force</w:t>
            </w:r>
          </w:p>
        </w:tc>
        <w:tc>
          <w:tcPr>
            <w:tcW w:type="dxa" w:w="1768"/>
          </w:tcPr>
          <w:p>
            <w:r>
              <w:rPr>
                <w:rFonts w:ascii="Calibri" w:hAnsi="Calibri"/>
                <w:b/>
                <w:color w:val="0D1B2A"/>
                <w:sz w:val="19"/>
              </w:rPr>
              <w:t>Pre-2024 Strength</w:t>
            </w:r>
          </w:p>
        </w:tc>
        <w:tc>
          <w:tcPr>
            <w:tcW w:type="dxa" w:w="1768"/>
          </w:tcPr>
          <w:p>
            <w:r>
              <w:rPr>
                <w:rFonts w:ascii="Calibri" w:hAnsi="Calibri"/>
                <w:b/>
                <w:color w:val="0D1B2A"/>
                <w:sz w:val="19"/>
              </w:rPr>
              <w:t>July 2026 Status</w:t>
            </w:r>
          </w:p>
        </w:tc>
        <w:tc>
          <w:tcPr>
            <w:tcW w:type="dxa" w:w="1768"/>
          </w:tcPr>
          <w:p>
            <w:r>
              <w:rPr>
                <w:rFonts w:ascii="Calibri" w:hAnsi="Calibri"/>
                <w:b/>
                <w:color w:val="0D1B2A"/>
                <w:sz w:val="19"/>
              </w:rPr>
              <w:t>Operational Capability</w:t>
            </w:r>
          </w:p>
        </w:tc>
        <w:tc>
          <w:tcPr>
            <w:tcW w:type="dxa" w:w="1768"/>
          </w:tcPr>
          <w:p>
            <w:r>
              <w:rPr>
                <w:rFonts w:ascii="Calibri" w:hAnsi="Calibri"/>
                <w:b/>
                <w:color w:val="0D1B2A"/>
                <w:sz w:val="19"/>
              </w:rPr>
              <w:t>Iran Funding (Annual)</w:t>
            </w:r>
          </w:p>
        </w:tc>
      </w:tr>
      <w:tr>
        <w:tc>
          <w:tcPr>
            <w:tcW w:type="dxa" w:w="1768"/>
          </w:tcPr>
          <w:p>
            <w:r>
              <w:rPr>
                <w:rFonts w:ascii="Georgia" w:hAnsi="Georgia"/>
                <w:color w:val="4A4A4A"/>
                <w:sz w:val="19"/>
              </w:rPr>
              <w:t>Hezbollah</w:t>
            </w:r>
          </w:p>
        </w:tc>
        <w:tc>
          <w:tcPr>
            <w:tcW w:type="dxa" w:w="1768"/>
          </w:tcPr>
          <w:p>
            <w:r>
              <w:rPr>
                <w:rFonts w:ascii="Georgia" w:hAnsi="Georgia"/>
                <w:color w:val="4A4A4A"/>
                <w:sz w:val="19"/>
              </w:rPr>
              <w:t>~150,000 rockets/missiles; 40,000 fighters</w:t>
            </w:r>
          </w:p>
        </w:tc>
        <w:tc>
          <w:tcPr>
            <w:tcW w:type="dxa" w:w="1768"/>
          </w:tcPr>
          <w:p>
            <w:r>
              <w:rPr>
                <w:rFonts w:ascii="Georgia" w:hAnsi="Georgia"/>
                <w:color w:val="4A4A4A"/>
                <w:sz w:val="19"/>
              </w:rPr>
              <w:t>Leadership decimated; rocket arsenal ~60,000 remaining; rebuilding</w:t>
            </w:r>
          </w:p>
        </w:tc>
        <w:tc>
          <w:tcPr>
            <w:tcW w:type="dxa" w:w="1768"/>
          </w:tcPr>
          <w:p>
            <w:r>
              <w:rPr>
                <w:rFonts w:ascii="Georgia" w:hAnsi="Georgia"/>
                <w:color w:val="4A4A4A"/>
                <w:sz w:val="19"/>
              </w:rPr>
              <w:t>Reduced but not eliminated; political role intact in Lebanon</w:t>
            </w:r>
          </w:p>
        </w:tc>
        <w:tc>
          <w:tcPr>
            <w:tcW w:type="dxa" w:w="1768"/>
          </w:tcPr>
          <w:p>
            <w:r>
              <w:rPr>
                <w:rFonts w:ascii="Georgia" w:hAnsi="Georgia"/>
                <w:color w:val="4A4A4A"/>
                <w:sz w:val="19"/>
              </w:rPr>
              <w:t>$700M–$1B</w:t>
            </w:r>
          </w:p>
        </w:tc>
      </w:tr>
      <w:tr>
        <w:tc>
          <w:tcPr>
            <w:tcW w:type="dxa" w:w="1768"/>
          </w:tcPr>
          <w:p>
            <w:r>
              <w:rPr>
                <w:rFonts w:ascii="Georgia" w:hAnsi="Georgia"/>
                <w:color w:val="4A4A4A"/>
                <w:sz w:val="19"/>
              </w:rPr>
              <w:t>Hamas</w:t>
            </w:r>
          </w:p>
        </w:tc>
        <w:tc>
          <w:tcPr>
            <w:tcW w:type="dxa" w:w="1768"/>
          </w:tcPr>
          <w:p>
            <w:r>
              <w:rPr>
                <w:rFonts w:ascii="Georgia" w:hAnsi="Georgia"/>
                <w:color w:val="4A4A4A"/>
                <w:sz w:val="19"/>
              </w:rPr>
              <w:t>~25,000 fighters; full Gaza control</w:t>
            </w:r>
          </w:p>
        </w:tc>
        <w:tc>
          <w:tcPr>
            <w:tcW w:type="dxa" w:w="1768"/>
          </w:tcPr>
          <w:p>
            <w:r>
              <w:rPr>
                <w:rFonts w:ascii="Georgia" w:hAnsi="Georgia"/>
                <w:color w:val="4A4A4A"/>
                <w:sz w:val="19"/>
              </w:rPr>
              <w:t>Gaza military infrastructure largely destroyed; command dispersed; political bureau active</w:t>
            </w:r>
          </w:p>
        </w:tc>
        <w:tc>
          <w:tcPr>
            <w:tcW w:type="dxa" w:w="1768"/>
          </w:tcPr>
          <w:p>
            <w:r>
              <w:rPr>
                <w:rFonts w:ascii="Georgia" w:hAnsi="Georgia"/>
                <w:color w:val="4A4A4A"/>
                <w:sz w:val="19"/>
              </w:rPr>
              <w:t>Guerrilla capacity remains; governance function collapsed</w:t>
            </w:r>
          </w:p>
        </w:tc>
        <w:tc>
          <w:tcPr>
            <w:tcW w:type="dxa" w:w="1768"/>
          </w:tcPr>
          <w:p>
            <w:r>
              <w:rPr>
                <w:rFonts w:ascii="Georgia" w:hAnsi="Georgia"/>
                <w:color w:val="4A4A4A"/>
                <w:sz w:val="19"/>
              </w:rPr>
              <w:t>$100M–$300M</w:t>
            </w:r>
          </w:p>
        </w:tc>
      </w:tr>
      <w:tr>
        <w:tc>
          <w:tcPr>
            <w:tcW w:type="dxa" w:w="1768"/>
          </w:tcPr>
          <w:p>
            <w:r>
              <w:rPr>
                <w:rFonts w:ascii="Georgia" w:hAnsi="Georgia"/>
                <w:color w:val="4A4A4A"/>
                <w:sz w:val="19"/>
              </w:rPr>
              <w:t>Houthis</w:t>
            </w:r>
          </w:p>
        </w:tc>
        <w:tc>
          <w:tcPr>
            <w:tcW w:type="dxa" w:w="1768"/>
          </w:tcPr>
          <w:p>
            <w:r>
              <w:rPr>
                <w:rFonts w:ascii="Georgia" w:hAnsi="Georgia"/>
                <w:color w:val="4A4A4A"/>
                <w:sz w:val="19"/>
              </w:rPr>
              <w:t>~100,000–200,000 fighters; naval drone capability</w:t>
            </w:r>
          </w:p>
        </w:tc>
        <w:tc>
          <w:tcPr>
            <w:tcW w:type="dxa" w:w="1768"/>
          </w:tcPr>
          <w:p>
            <w:r>
              <w:rPr>
                <w:rFonts w:ascii="Georgia" w:hAnsi="Georgia"/>
                <w:color w:val="4A4A4A"/>
                <w:sz w:val="19"/>
              </w:rPr>
              <w:t>Air defence degraded by US/UK strikes; missile capability reduced ~40%; shipping attacks continuing</w:t>
            </w:r>
          </w:p>
        </w:tc>
        <w:tc>
          <w:tcPr>
            <w:tcW w:type="dxa" w:w="1768"/>
          </w:tcPr>
          <w:p>
            <w:r>
              <w:rPr>
                <w:rFonts w:ascii="Georgia" w:hAnsi="Georgia"/>
                <w:color w:val="4A4A4A"/>
                <w:sz w:val="19"/>
              </w:rPr>
              <w:t>Most intact of the three; strategic chokepoint access maintained</w:t>
            </w:r>
          </w:p>
        </w:tc>
        <w:tc>
          <w:tcPr>
            <w:tcW w:type="dxa" w:w="1768"/>
          </w:tcPr>
          <w:p>
            <w:r>
              <w:rPr>
                <w:rFonts w:ascii="Georgia" w:hAnsi="Georgia"/>
                <w:color w:val="4A4A4A"/>
                <w:sz w:val="19"/>
              </w:rPr>
              <w:t>$200M–$300M</w:t>
            </w:r>
          </w:p>
        </w:tc>
      </w:tr>
      <w:tr>
        <w:tc>
          <w:tcPr>
            <w:tcW w:type="dxa" w:w="1768"/>
          </w:tcPr>
          <w:p>
            <w:r>
              <w:rPr>
                <w:rFonts w:ascii="Georgia" w:hAnsi="Georgia"/>
                <w:color w:val="4A4A4A"/>
                <w:sz w:val="19"/>
              </w:rPr>
              <w:t>PMF (Iraq)</w:t>
            </w:r>
          </w:p>
        </w:tc>
        <w:tc>
          <w:tcPr>
            <w:tcW w:type="dxa" w:w="1768"/>
          </w:tcPr>
          <w:p>
            <w:r>
              <w:rPr>
                <w:rFonts w:ascii="Georgia" w:hAnsi="Georgia"/>
                <w:color w:val="4A4A4A"/>
                <w:sz w:val="19"/>
              </w:rPr>
              <w:t>~100,000 fighters; political party structure</w:t>
            </w:r>
          </w:p>
        </w:tc>
        <w:tc>
          <w:tcPr>
            <w:tcW w:type="dxa" w:w="1768"/>
          </w:tcPr>
          <w:p>
            <w:r>
              <w:rPr>
                <w:rFonts w:ascii="Georgia" w:hAnsi="Georgia"/>
                <w:color w:val="4A4A4A"/>
                <w:sz w:val="19"/>
              </w:rPr>
              <w:t>Formally integrated into Iraqi state; covert IRGC direction continuing</w:t>
            </w:r>
          </w:p>
        </w:tc>
        <w:tc>
          <w:tcPr>
            <w:tcW w:type="dxa" w:w="1768"/>
          </w:tcPr>
          <w:p>
            <w:r>
              <w:rPr>
                <w:rFonts w:ascii="Georgia" w:hAnsi="Georgia"/>
                <w:color w:val="4A4A4A"/>
                <w:sz w:val="19"/>
              </w:rPr>
              <w:t>Intact; US bases periodic rocket attacks</w:t>
            </w:r>
          </w:p>
        </w:tc>
        <w:tc>
          <w:tcPr>
            <w:tcW w:type="dxa" w:w="1768"/>
          </w:tcPr>
          <w:p>
            <w:r>
              <w:rPr>
                <w:rFonts w:ascii="Georgia" w:hAnsi="Georgia"/>
                <w:color w:val="4A4A4A"/>
                <w:sz w:val="19"/>
              </w:rPr>
              <w:t>$1B+</w:t>
            </w:r>
          </w:p>
        </w:tc>
      </w:tr>
    </w:tbl>
    <w:p>
      <w:pPr>
        <w:spacing w:after="160"/>
      </w:pPr>
    </w:p>
    <w:p>
      <w:pPr>
        <w:spacing w:after="60"/>
      </w:pPr>
      <w:r>
        <w:rPr>
          <w:rFonts w:ascii="Georgia" w:hAnsi="Georgia"/>
          <w:b w:val="0"/>
          <w:i/>
          <w:color w:val="8A8A8A"/>
          <w:sz w:val="19"/>
        </w:rPr>
        <w:t>Source: Blue Lotus Axis of Resistance Report; MILITARY_RAG; CRS reports; WSJ intelligence reporting</w:t>
      </w:r>
    </w:p>
    <w:p>
      <w:pPr>
        <w:spacing w:before="200" w:after="40"/>
      </w:pPr>
      <w:r>
        <w:rPr>
          <w:rFonts w:ascii="Calibri" w:hAnsi="Calibri"/>
          <w:b/>
          <w:i w:val="0"/>
          <w:color w:val="B8960A"/>
          <w:sz w:val="22"/>
        </w:rPr>
        <w:t>3.4 — Nash Equilibrium: The Middle East Six-Player Game</w:t>
      </w:r>
    </w:p>
    <w:p>
      <w:pPr>
        <w:spacing w:after="120"/>
      </w:pPr>
      <w:r>
        <w:rPr>
          <w:rFonts w:ascii="Georgia" w:hAnsi="Georgia"/>
          <w:b w:val="0"/>
          <w:i w:val="0"/>
          <w:color w:val="4A4A4A"/>
          <w:sz w:val="22"/>
        </w:rPr>
        <w:t>Game-theoretic analysis of the post-Epic Fury Middle East identifies a conditional Nash equilibrium around the June 18 MOU — stable only if all six players maintain their dominant strategies. The July 15 naval inspection trigger suggests Iran's internal equilibrium is contested between hardliners and the MOU faction.</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UNITED STATES  </w:t>
      </w:r>
      <w:r>
        <w:rPr>
          <w:rFonts w:ascii="Calibri" w:hAnsi="Calibri"/>
          <w:b/>
          <w:i w:val="0"/>
          <w:color w:val="B8960A"/>
          <w:sz w:val="21"/>
        </w:rPr>
        <w:t>↦ Escalation dominance + economic extraction</w:t>
      </w:r>
      <w:r>
        <w:br/>
      </w:r>
      <w:r>
        <w:rPr>
          <w:rFonts w:ascii="Calibri" w:hAnsi="Calibri"/>
          <w:b w:val="0"/>
          <w:i w:val="0"/>
          <w:color w:val="1A5C2A"/>
          <w:sz w:val="20"/>
        </w:rPr>
        <w:t xml:space="preserve">Payoff: MOU achieved; oil price normalised; domestic political win  |  </w:t>
      </w:r>
      <w:r>
        <w:rPr>
          <w:rFonts w:ascii="Georgia" w:hAnsi="Georgia"/>
          <w:b w:val="0"/>
          <w:i/>
          <w:color w:val="4A4A4A"/>
          <w:sz w:val="20"/>
        </w:rPr>
        <w:t>Trump administration has demonstrated willingness to use force decisively. Dominant strategy is to maintain military pressure while claiming victory. Risk: Iran reconstitution accelerates below detection threshold.</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IRAN  </w:t>
      </w:r>
      <w:r>
        <w:rPr>
          <w:rFonts w:ascii="Calibri" w:hAnsi="Calibri"/>
          <w:b/>
          <w:i w:val="0"/>
          <w:color w:val="B8960A"/>
          <w:sz w:val="21"/>
        </w:rPr>
        <w:t>↦ Survive and reconstitute; exploit MOU breathing space</w:t>
      </w:r>
      <w:r>
        <w:br/>
      </w:r>
      <w:r>
        <w:rPr>
          <w:rFonts w:ascii="Calibri" w:hAnsi="Calibri"/>
          <w:b w:val="0"/>
          <w:i w:val="0"/>
          <w:color w:val="1A5C2A"/>
          <w:sz w:val="20"/>
        </w:rPr>
        <w:t xml:space="preserve">Payoff: Programme degraded but not terminated; regime survival confirmed  |  </w:t>
      </w:r>
      <w:r>
        <w:rPr>
          <w:rFonts w:ascii="Georgia" w:hAnsi="Georgia"/>
          <w:b w:val="0"/>
          <w:i/>
          <w:color w:val="4A4A4A"/>
          <w:sz w:val="20"/>
        </w:rPr>
        <w:t>MOU buys time. Hardliner faction (IRGC) resists compliance; moderate faction (Rouhani heirs) sees opportunity for sanctions relief. Internal Nash is contested — July 15 blockade reflects hardliner pressure.</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ISRAEL  </w:t>
      </w:r>
      <w:r>
        <w:rPr>
          <w:rFonts w:ascii="Calibri" w:hAnsi="Calibri"/>
          <w:b/>
          <w:i w:val="0"/>
          <w:color w:val="B8960A"/>
          <w:sz w:val="21"/>
        </w:rPr>
        <w:t>↦ Exploit Iran degradation; maintain option on final strike</w:t>
      </w:r>
      <w:r>
        <w:br/>
      </w:r>
      <w:r>
        <w:rPr>
          <w:rFonts w:ascii="Calibri" w:hAnsi="Calibri"/>
          <w:b w:val="0"/>
          <w:i w:val="0"/>
          <w:color w:val="1A5C2A"/>
          <w:sz w:val="20"/>
        </w:rPr>
        <w:t xml:space="preserve">Payoff: Hezbollah degraded; Hamas governance destroyed; nuclear threat reduced  |  </w:t>
      </w:r>
      <w:r>
        <w:rPr>
          <w:rFonts w:ascii="Georgia" w:hAnsi="Georgia"/>
          <w:b w:val="0"/>
          <w:i/>
          <w:color w:val="4A4A4A"/>
          <w:sz w:val="20"/>
        </w:rPr>
        <w:t>Netanyahu's primary objective achieved. Dominant strategy: push US for permanent IAEA oversight + maintain unilateral strike option. Disagreement with Trump on MOU terms is a live tension.</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SAUDI ARABIA  </w:t>
      </w:r>
      <w:r>
        <w:rPr>
          <w:rFonts w:ascii="Calibri" w:hAnsi="Calibri"/>
          <w:b/>
          <w:i w:val="0"/>
          <w:color w:val="B8960A"/>
          <w:sz w:val="21"/>
        </w:rPr>
        <w:t>↦ Pragmatic normalisation; hedge between US and China</w:t>
      </w:r>
      <w:r>
        <w:br/>
      </w:r>
      <w:r>
        <w:rPr>
          <w:rFonts w:ascii="Calibri" w:hAnsi="Calibri"/>
          <w:b w:val="0"/>
          <w:i w:val="0"/>
          <w:color w:val="1A5C2A"/>
          <w:sz w:val="20"/>
        </w:rPr>
        <w:t xml:space="preserve">Payoff: Iran weakened; oil price normalised; Vision 2030 investment window maintained  |  </w:t>
      </w:r>
      <w:r>
        <w:rPr>
          <w:rFonts w:ascii="Georgia" w:hAnsi="Georgia"/>
          <w:b w:val="0"/>
          <w:i/>
          <w:color w:val="4A4A4A"/>
          <w:sz w:val="20"/>
        </w:rPr>
        <w:t>Riyadh benefits from Iran's degradation but wants no regional war. Abraham Accords 2.0 talks are ongoing under Saudi mediation. Saudi-China energy deal quietly maintained.</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CHINA  </w:t>
      </w:r>
      <w:r>
        <w:rPr>
          <w:rFonts w:ascii="Calibri" w:hAnsi="Calibri"/>
          <w:b/>
          <w:i w:val="0"/>
          <w:color w:val="B8960A"/>
          <w:sz w:val="21"/>
        </w:rPr>
        <w:t>↦ Free-ride on US military action; deepen Gulf economic presence</w:t>
      </w:r>
      <w:r>
        <w:br/>
      </w:r>
      <w:r>
        <w:rPr>
          <w:rFonts w:ascii="Calibri" w:hAnsi="Calibri"/>
          <w:b w:val="0"/>
          <w:i w:val="0"/>
          <w:color w:val="1A5C2A"/>
          <w:sz w:val="20"/>
        </w:rPr>
        <w:t xml:space="preserve">Payoff: Iran weakened rival power; maintained oil supply via alternative routes  |  </w:t>
      </w:r>
      <w:r>
        <w:rPr>
          <w:rFonts w:ascii="Georgia" w:hAnsi="Georgia"/>
          <w:b w:val="0"/>
          <w:i/>
          <w:color w:val="4A4A4A"/>
          <w:sz w:val="20"/>
        </w:rPr>
        <w:t>China benefited from Hormuz closure (energy storage arbitrage) while publicly condemning US unilateralism. Now accelerating Gulf investment as Washington's credibility as a stable security partner is questioned.</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RUSSIA  </w:t>
      </w:r>
      <w:r>
        <w:rPr>
          <w:rFonts w:ascii="Calibri" w:hAnsi="Calibri"/>
          <w:b/>
          <w:i w:val="0"/>
          <w:color w:val="B8960A"/>
          <w:sz w:val="21"/>
        </w:rPr>
        <w:t>↦ Exploit Western attention diversion; accelerate Ukraine operations</w:t>
      </w:r>
      <w:r>
        <w:br/>
      </w:r>
      <w:r>
        <w:rPr>
          <w:rFonts w:ascii="Calibri" w:hAnsi="Calibri"/>
          <w:b w:val="0"/>
          <w:i w:val="0"/>
          <w:color w:val="1A5C2A"/>
          <w:sz w:val="20"/>
        </w:rPr>
        <w:t xml:space="preserve">Payoff: NATO resources redirected; US political bandwidth constrained  |  </w:t>
      </w:r>
      <w:r>
        <w:rPr>
          <w:rFonts w:ascii="Georgia" w:hAnsi="Georgia"/>
          <w:b w:val="0"/>
          <w:i/>
          <w:color w:val="4A4A4A"/>
          <w:sz w:val="20"/>
        </w:rPr>
        <w:t>The Iran war consumed significant US strategic attention, benefiting Russia's Ukraine campaign. Russia-Iran-China 'alignment of convenience' deepened but is not a formal alliance.</w:t>
      </w:r>
    </w:p>
    <w:p>
      <w:r>
        <w:br w:type="page"/>
      </w:r>
    </w:p>
    <w:p>
      <w:pPr>
        <w:spacing w:before="440" w:after="120"/>
      </w:pPr>
      <w:r>
        <w:rPr>
          <w:rFonts w:ascii="Calibri" w:hAnsi="Calibri"/>
          <w:b/>
          <w:i w:val="0"/>
          <w:color w:val="0D1B2A"/>
          <w:sz w:val="30"/>
        </w:rPr>
        <w:t>PART IV: THE GREAT POWER CHESSBOARD</w:t>
      </w:r>
    </w:p>
    <w:p>
      <w:pPr>
        <w:pBdr>
          <w:bottom w:val="single" w:sz="6" w:space="1" w:color="B8960A"/>
        </w:pBdr>
        <w:spacing w:after="80"/>
      </w:pPr>
    </w:p>
    <w:p>
      <w:pPr>
        <w:spacing w:before="280" w:after="60"/>
      </w:pPr>
      <w:r>
        <w:rPr>
          <w:rFonts w:ascii="Calibri" w:hAnsi="Calibri"/>
          <w:b/>
          <w:i w:val="0"/>
          <w:color w:val="0D1B2A"/>
          <w:sz w:val="24"/>
        </w:rPr>
        <w:t>4.1 — The United States: Primacy Under Strain</w:t>
      </w:r>
    </w:p>
    <w:p>
      <w:pPr>
        <w:spacing w:after="120"/>
      </w:pPr>
      <w:r>
        <w:rPr>
          <w:rFonts w:ascii="Georgia" w:hAnsi="Georgia"/>
          <w:b w:val="0"/>
          <w:i w:val="0"/>
          <w:color w:val="4A4A4A"/>
          <w:sz w:val="22"/>
        </w:rPr>
        <w:t>The Trump second term has pursued a coherent if unconventional grand strategy: tariff-based economic nationalism, military force to reshape the Middle East, and pressure on allies to carry more security burden. The results are mixed. The US has demonstrated decisive military capability and achieved its primary objective in the Iran campaign. But the economic costs of Liberation Day tariffs, the $36 trillion national debt, and a Fed facing inflation above 5% (ISM services prices at 71.3 in May 2026) create structural headwinds that no amount of military success can resolve.</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Metric</w:t>
            </w:r>
          </w:p>
        </w:tc>
        <w:tc>
          <w:tcPr>
            <w:tcW w:type="dxa" w:w="2209"/>
          </w:tcPr>
          <w:p>
            <w:r>
              <w:rPr>
                <w:rFonts w:ascii="Calibri" w:hAnsi="Calibri"/>
                <w:b/>
                <w:color w:val="0D1B2A"/>
                <w:sz w:val="19"/>
              </w:rPr>
              <w:t>Status</w:t>
            </w:r>
          </w:p>
        </w:tc>
        <w:tc>
          <w:tcPr>
            <w:tcW w:type="dxa" w:w="2209"/>
          </w:tcPr>
          <w:p>
            <w:r>
              <w:rPr>
                <w:rFonts w:ascii="Calibri" w:hAnsi="Calibri"/>
                <w:b/>
                <w:color w:val="0D1B2A"/>
                <w:sz w:val="19"/>
              </w:rPr>
              <w:t>Trajectory</w:t>
            </w:r>
          </w:p>
        </w:tc>
        <w:tc>
          <w:tcPr>
            <w:tcW w:type="dxa" w:w="2209"/>
          </w:tcPr>
          <w:p>
            <w:r>
              <w:rPr>
                <w:rFonts w:ascii="Calibri" w:hAnsi="Calibri"/>
                <w:b/>
                <w:color w:val="0D1B2A"/>
                <w:sz w:val="19"/>
              </w:rPr>
              <w:t>Strategic Implication</w:t>
            </w:r>
          </w:p>
        </w:tc>
      </w:tr>
      <w:tr>
        <w:tc>
          <w:tcPr>
            <w:tcW w:type="dxa" w:w="2209"/>
          </w:tcPr>
          <w:p>
            <w:r>
              <w:rPr>
                <w:rFonts w:ascii="Georgia" w:hAnsi="Georgia"/>
                <w:color w:val="4A4A4A"/>
                <w:sz w:val="19"/>
              </w:rPr>
              <w:t>National Debt</w:t>
            </w:r>
          </w:p>
        </w:tc>
        <w:tc>
          <w:tcPr>
            <w:tcW w:type="dxa" w:w="2209"/>
          </w:tcPr>
          <w:p>
            <w:r>
              <w:rPr>
                <w:rFonts w:ascii="Georgia" w:hAnsi="Georgia"/>
                <w:color w:val="4A4A4A"/>
                <w:sz w:val="19"/>
              </w:rPr>
              <w:t>$36T+</w:t>
            </w:r>
          </w:p>
        </w:tc>
        <w:tc>
          <w:tcPr>
            <w:tcW w:type="dxa" w:w="2209"/>
          </w:tcPr>
          <w:p>
            <w:r>
              <w:rPr>
                <w:rFonts w:ascii="Georgia" w:hAnsi="Georgia"/>
                <w:color w:val="4A4A4A"/>
                <w:sz w:val="19"/>
              </w:rPr>
              <w:t>Rising $1.5T/year</w:t>
            </w:r>
          </w:p>
        </w:tc>
        <w:tc>
          <w:tcPr>
            <w:tcW w:type="dxa" w:w="2209"/>
          </w:tcPr>
          <w:p>
            <w:r>
              <w:rPr>
                <w:rFonts w:ascii="Georgia" w:hAnsi="Georgia"/>
                <w:color w:val="4A4A4A"/>
                <w:sz w:val="19"/>
              </w:rPr>
              <w:t>Fiscal space for next crisis is constrained</w:t>
            </w:r>
          </w:p>
        </w:tc>
      </w:tr>
      <w:tr>
        <w:tc>
          <w:tcPr>
            <w:tcW w:type="dxa" w:w="2209"/>
          </w:tcPr>
          <w:p>
            <w:r>
              <w:rPr>
                <w:rFonts w:ascii="Georgia" w:hAnsi="Georgia"/>
                <w:color w:val="4A4A4A"/>
                <w:sz w:val="19"/>
              </w:rPr>
              <w:t>Federal Funds Rate</w:t>
            </w:r>
          </w:p>
        </w:tc>
        <w:tc>
          <w:tcPr>
            <w:tcW w:type="dxa" w:w="2209"/>
          </w:tcPr>
          <w:p>
            <w:r>
              <w:rPr>
                <w:rFonts w:ascii="Georgia" w:hAnsi="Georgia"/>
                <w:color w:val="4A4A4A"/>
                <w:sz w:val="19"/>
              </w:rPr>
              <w:t>Elevated (4.75%+)</w:t>
            </w:r>
          </w:p>
        </w:tc>
        <w:tc>
          <w:tcPr>
            <w:tcW w:type="dxa" w:w="2209"/>
          </w:tcPr>
          <w:p>
            <w:r>
              <w:rPr>
                <w:rFonts w:ascii="Georgia" w:hAnsi="Georgia"/>
                <w:color w:val="4A4A4A"/>
                <w:sz w:val="19"/>
              </w:rPr>
              <w:t>Pressure to cut vs. CPI &gt;5%</w:t>
            </w:r>
          </w:p>
        </w:tc>
        <w:tc>
          <w:tcPr>
            <w:tcW w:type="dxa" w:w="2209"/>
          </w:tcPr>
          <w:p>
            <w:r>
              <w:rPr>
                <w:rFonts w:ascii="Georgia" w:hAnsi="Georgia"/>
                <w:color w:val="4A4A4A"/>
                <w:sz w:val="19"/>
              </w:rPr>
              <w:t>Fed caught between inflation and recession</w:t>
            </w:r>
          </w:p>
        </w:tc>
      </w:tr>
      <w:tr>
        <w:tc>
          <w:tcPr>
            <w:tcW w:type="dxa" w:w="2209"/>
          </w:tcPr>
          <w:p>
            <w:r>
              <w:rPr>
                <w:rFonts w:ascii="Georgia" w:hAnsi="Georgia"/>
                <w:color w:val="4A4A4A"/>
                <w:sz w:val="19"/>
              </w:rPr>
              <w:t>S&amp;P 500</w:t>
            </w:r>
          </w:p>
        </w:tc>
        <w:tc>
          <w:tcPr>
            <w:tcW w:type="dxa" w:w="2209"/>
          </w:tcPr>
          <w:p>
            <w:r>
              <w:rPr>
                <w:rFonts w:ascii="Georgia" w:hAnsi="Georgia"/>
                <w:color w:val="4A4A4A"/>
                <w:sz w:val="19"/>
              </w:rPr>
              <w:t>Recovering post-tariff shock</w:t>
            </w:r>
          </w:p>
        </w:tc>
        <w:tc>
          <w:tcPr>
            <w:tcW w:type="dxa" w:w="2209"/>
          </w:tcPr>
          <w:p>
            <w:r>
              <w:rPr>
                <w:rFonts w:ascii="Georgia" w:hAnsi="Georgia"/>
                <w:color w:val="4A4A4A"/>
                <w:sz w:val="19"/>
              </w:rPr>
              <w:t>Volatile; Iran war premium dissipating</w:t>
            </w:r>
          </w:p>
        </w:tc>
        <w:tc>
          <w:tcPr>
            <w:tcW w:type="dxa" w:w="2209"/>
          </w:tcPr>
          <w:p>
            <w:r>
              <w:rPr>
                <w:rFonts w:ascii="Georgia" w:hAnsi="Georgia"/>
                <w:color w:val="4A4A4A"/>
                <w:sz w:val="19"/>
              </w:rPr>
              <w:t>Market pricing US soft landing; downside risk remains</w:t>
            </w:r>
          </w:p>
        </w:tc>
      </w:tr>
      <w:tr>
        <w:tc>
          <w:tcPr>
            <w:tcW w:type="dxa" w:w="2209"/>
          </w:tcPr>
          <w:p>
            <w:r>
              <w:rPr>
                <w:rFonts w:ascii="Georgia" w:hAnsi="Georgia"/>
                <w:color w:val="4A4A4A"/>
                <w:sz w:val="19"/>
              </w:rPr>
              <w:t>Liberation Day Tariffs</w:t>
            </w:r>
          </w:p>
        </w:tc>
        <w:tc>
          <w:tcPr>
            <w:tcW w:type="dxa" w:w="2209"/>
          </w:tcPr>
          <w:p>
            <w:r>
              <w:rPr>
                <w:rFonts w:ascii="Georgia" w:hAnsi="Georgia"/>
                <w:color w:val="4A4A4A"/>
                <w:sz w:val="19"/>
              </w:rPr>
              <w:t>China: 145%→30%→20%</w:t>
            </w:r>
          </w:p>
        </w:tc>
        <w:tc>
          <w:tcPr>
            <w:tcW w:type="dxa" w:w="2209"/>
          </w:tcPr>
          <w:p>
            <w:r>
              <w:rPr>
                <w:rFonts w:ascii="Georgia" w:hAnsi="Georgia"/>
                <w:color w:val="4A4A4A"/>
                <w:sz w:val="19"/>
              </w:rPr>
              <w:t>Partial rollback achieved</w:t>
            </w:r>
          </w:p>
        </w:tc>
        <w:tc>
          <w:tcPr>
            <w:tcW w:type="dxa" w:w="2209"/>
          </w:tcPr>
          <w:p>
            <w:r>
              <w:rPr>
                <w:rFonts w:ascii="Georgia" w:hAnsi="Georgia"/>
                <w:color w:val="4A4A4A"/>
                <w:sz w:val="19"/>
              </w:rPr>
              <w:t>US-China trade war: managed tension, not resolution</w:t>
            </w:r>
          </w:p>
        </w:tc>
      </w:tr>
      <w:tr>
        <w:tc>
          <w:tcPr>
            <w:tcW w:type="dxa" w:w="2209"/>
          </w:tcPr>
          <w:p>
            <w:r>
              <w:rPr>
                <w:rFonts w:ascii="Georgia" w:hAnsi="Georgia"/>
                <w:color w:val="4A4A4A"/>
                <w:sz w:val="19"/>
              </w:rPr>
              <w:t>CHIPS Act</w:t>
            </w:r>
          </w:p>
        </w:tc>
        <w:tc>
          <w:tcPr>
            <w:tcW w:type="dxa" w:w="2209"/>
          </w:tcPr>
          <w:p>
            <w:r>
              <w:rPr>
                <w:rFonts w:ascii="Georgia" w:hAnsi="Georgia"/>
                <w:color w:val="4A4A4A"/>
                <w:sz w:val="19"/>
              </w:rPr>
              <w:t>$52B deployed</w:t>
            </w:r>
          </w:p>
        </w:tc>
        <w:tc>
          <w:tcPr>
            <w:tcW w:type="dxa" w:w="2209"/>
          </w:tcPr>
          <w:p>
            <w:r>
              <w:rPr>
                <w:rFonts w:ascii="Georgia" w:hAnsi="Georgia"/>
                <w:color w:val="4A4A4A"/>
                <w:sz w:val="19"/>
              </w:rPr>
              <w:t>First domestic fabs operational</w:t>
            </w:r>
          </w:p>
        </w:tc>
        <w:tc>
          <w:tcPr>
            <w:tcW w:type="dxa" w:w="2209"/>
          </w:tcPr>
          <w:p>
            <w:r>
              <w:rPr>
                <w:rFonts w:ascii="Georgia" w:hAnsi="Georgia"/>
                <w:color w:val="4A4A4A"/>
                <w:sz w:val="19"/>
              </w:rPr>
              <w:t>10-year horizon; near-term dependency on TSMC unchanged</w:t>
            </w:r>
          </w:p>
        </w:tc>
      </w:tr>
      <w:tr>
        <w:tc>
          <w:tcPr>
            <w:tcW w:type="dxa" w:w="2209"/>
          </w:tcPr>
          <w:p>
            <w:r>
              <w:rPr>
                <w:rFonts w:ascii="Georgia" w:hAnsi="Georgia"/>
                <w:color w:val="4A4A4A"/>
                <w:sz w:val="19"/>
              </w:rPr>
              <w:t>Federal Employment</w:t>
            </w:r>
          </w:p>
        </w:tc>
        <w:tc>
          <w:tcPr>
            <w:tcW w:type="dxa" w:w="2209"/>
          </w:tcPr>
          <w:p>
            <w:r>
              <w:rPr>
                <w:rFonts w:ascii="Georgia" w:hAnsi="Georgia"/>
                <w:color w:val="4A4A4A"/>
                <w:sz w:val="19"/>
              </w:rPr>
              <w:t>-162,000 (Oct 2025)</w:t>
            </w:r>
          </w:p>
        </w:tc>
        <w:tc>
          <w:tcPr>
            <w:tcW w:type="dxa" w:w="2209"/>
          </w:tcPr>
          <w:p>
            <w:r>
              <w:rPr>
                <w:rFonts w:ascii="Georgia" w:hAnsi="Georgia"/>
                <w:color w:val="4A4A4A"/>
                <w:sz w:val="19"/>
              </w:rPr>
              <w:t>DOGE-driven reduction</w:t>
            </w:r>
          </w:p>
        </w:tc>
        <w:tc>
          <w:tcPr>
            <w:tcW w:type="dxa" w:w="2209"/>
          </w:tcPr>
          <w:p>
            <w:r>
              <w:rPr>
                <w:rFonts w:ascii="Georgia" w:hAnsi="Georgia"/>
                <w:color w:val="4A4A4A"/>
                <w:sz w:val="19"/>
              </w:rPr>
              <w:t>Government capacity question; long-run efficiency TBD</w:t>
            </w:r>
          </w:p>
        </w:tc>
      </w:tr>
      <w:tr>
        <w:tc>
          <w:tcPr>
            <w:tcW w:type="dxa" w:w="2209"/>
          </w:tcPr>
          <w:p>
            <w:r>
              <w:rPr>
                <w:rFonts w:ascii="Georgia" w:hAnsi="Georgia"/>
                <w:color w:val="4A4A4A"/>
                <w:sz w:val="19"/>
              </w:rPr>
              <w:t>Military Readiness</w:t>
            </w:r>
          </w:p>
        </w:tc>
        <w:tc>
          <w:tcPr>
            <w:tcW w:type="dxa" w:w="2209"/>
          </w:tcPr>
          <w:p>
            <w:r>
              <w:rPr>
                <w:rFonts w:ascii="Georgia" w:hAnsi="Georgia"/>
                <w:color w:val="4A4A4A"/>
                <w:sz w:val="19"/>
              </w:rPr>
              <w:t>Elevated post-Iran ops</w:t>
            </w:r>
          </w:p>
        </w:tc>
        <w:tc>
          <w:tcPr>
            <w:tcW w:type="dxa" w:w="2209"/>
          </w:tcPr>
          <w:p>
            <w:r>
              <w:rPr>
                <w:rFonts w:ascii="Georgia" w:hAnsi="Georgia"/>
                <w:color w:val="4A4A4A"/>
                <w:sz w:val="19"/>
              </w:rPr>
              <w:t>Recapitalisation needed</w:t>
            </w:r>
          </w:p>
        </w:tc>
        <w:tc>
          <w:tcPr>
            <w:tcW w:type="dxa" w:w="2209"/>
          </w:tcPr>
          <w:p>
            <w:r>
              <w:rPr>
                <w:rFonts w:ascii="Georgia" w:hAnsi="Georgia"/>
                <w:color w:val="4A4A4A"/>
                <w:sz w:val="19"/>
              </w:rPr>
              <w:t>Munitions stocks depleted; long lead-time replenishment</w:t>
            </w:r>
          </w:p>
        </w:tc>
      </w:tr>
    </w:tbl>
    <w:p>
      <w:pPr>
        <w:spacing w:after="160"/>
      </w:pPr>
    </w:p>
    <w:p>
      <w:pPr>
        <w:spacing w:before="160" w:after="120"/>
        <w:ind w:left="720" w:right="720"/>
        <w:pBdr>
          <w:left w:val="single" w:sz="12" w:space="8" w:color="B8960A"/>
        </w:pBdr>
      </w:pPr>
      <w:r>
        <w:rPr>
          <w:rFonts w:ascii="Georgia" w:hAnsi="Georgia"/>
          <w:b w:val="0"/>
          <w:i/>
          <w:color w:val="0D1B2A"/>
          <w:sz w:val="21"/>
        </w:rPr>
        <w:t>"America in 2026 has the world's most powerful military and a fiscal situation that would concern a household CFO. The paradox of primacy is that power projection costs more than the nation can sustainably afford."</w:t>
      </w:r>
      <w:r>
        <w:br/>
      </w:r>
      <w:r>
        <w:rPr>
          <w:rFonts w:ascii="Georgia" w:hAnsi="Georgia"/>
          <w:b w:val="0"/>
          <w:i w:val="0"/>
          <w:color w:val="8A8A8A"/>
          <w:sz w:val="19"/>
        </w:rPr>
        <w:t>— Blue Lotus US Strategic Assessment, July 2026</w:t>
      </w:r>
    </w:p>
    <w:p>
      <w:pPr>
        <w:spacing w:before="280" w:after="60"/>
      </w:pPr>
      <w:r>
        <w:rPr>
          <w:rFonts w:ascii="Calibri" w:hAnsi="Calibri"/>
          <w:b/>
          <w:i w:val="0"/>
          <w:color w:val="0D1B2A"/>
          <w:sz w:val="24"/>
        </w:rPr>
        <w:t>4.2 — China: The Optimization Trap</w:t>
      </w:r>
    </w:p>
    <w:p>
      <w:pPr>
        <w:spacing w:after="120"/>
      </w:pPr>
      <w:r>
        <w:rPr>
          <w:rFonts w:ascii="Georgia" w:hAnsi="Georgia"/>
          <w:b w:val="0"/>
          <w:i w:val="0"/>
          <w:color w:val="4A4A4A"/>
          <w:sz w:val="22"/>
        </w:rPr>
        <w:t>Blue Lotus's most important intelligence finding on China is structural, not cyclical: the People's Republic has spent fifty years of economic opening, accumulated approximately $1 trillion in AI investment, built the world's largest STEM pipeline — and produced zero foundational AI breakthroughs. DeepSeek's achievement was efficiency optimisation, not architectural innovation. Transformer architecture, backpropagation, attention mechanisms, reinforcement learning from human feedback — every paradigm-shifting innovation has come from the West.</w:t>
      </w:r>
    </w:p>
    <w:p>
      <w:pPr>
        <w:spacing w:before="200" w:after="40"/>
      </w:pPr>
      <w:r>
        <w:rPr>
          <w:rFonts w:ascii="Calibri" w:hAnsi="Calibri"/>
          <w:b/>
          <w:i w:val="0"/>
          <w:color w:val="B8960A"/>
          <w:sz w:val="22"/>
        </w:rPr>
        <w:t>China's Structural Innovation Constraint — The Four Mechanisms</w:t>
      </w:r>
    </w:p>
    <w:p>
      <w:pPr>
        <w:pStyle w:val="ListBullet"/>
        <w:spacing w:after="60"/>
        <w:ind w:left="360"/>
      </w:pPr>
      <w:r>
        <w:rPr>
          <w:rFonts w:ascii="Georgia" w:hAnsi="Georgia"/>
          <w:b/>
          <w:i w:val="0"/>
          <w:color w:val="0D1B2A"/>
          <w:sz w:val="21"/>
        </w:rPr>
        <w:t xml:space="preserve">Mechanism 1 — Educational Epistemology: </w:t>
      </w:r>
      <w:r>
        <w:rPr>
          <w:rFonts w:ascii="Georgia" w:hAnsi="Georgia"/>
          <w:b w:val="0"/>
          <w:i w:val="0"/>
          <w:color w:val="4A4A4A"/>
          <w:sz w:val="21"/>
        </w:rPr>
        <w:t>Exam-system monoculture: Gaokao selects for pattern recognition and optimisation, not first-principles reasoning — precisely the cognitive profile that produces derivative AI, not foundational AI.</w:t>
      </w:r>
    </w:p>
    <w:p>
      <w:pPr>
        <w:pStyle w:val="ListBullet"/>
        <w:spacing w:after="60"/>
        <w:ind w:left="360"/>
      </w:pPr>
      <w:r>
        <w:rPr>
          <w:rFonts w:ascii="Georgia" w:hAnsi="Georgia"/>
          <w:b/>
          <w:i w:val="0"/>
          <w:color w:val="0D1B2A"/>
          <w:sz w:val="21"/>
        </w:rPr>
        <w:t xml:space="preserve">Mechanism 2 — Research Funding Structure: </w:t>
      </w:r>
      <w:r>
        <w:rPr>
          <w:rFonts w:ascii="Georgia" w:hAnsi="Georgia"/>
          <w:b w:val="0"/>
          <w:i w:val="0"/>
          <w:color w:val="4A4A4A"/>
          <w:sz w:val="21"/>
        </w:rPr>
        <w:t>Risk aversion in research funding: NSFC and MOST grant committees reward incremental work with predictable outcomes. Truly novel research has uncertain timelines and unsettling implications for political orthodoxy.</w:t>
      </w:r>
    </w:p>
    <w:p>
      <w:pPr>
        <w:pStyle w:val="ListBullet"/>
        <w:spacing w:after="60"/>
        <w:ind w:left="360"/>
      </w:pPr>
      <w:r>
        <w:rPr>
          <w:rFonts w:ascii="Georgia" w:hAnsi="Georgia"/>
          <w:b/>
          <w:i w:val="0"/>
          <w:color w:val="0D1B2A"/>
          <w:sz w:val="21"/>
        </w:rPr>
        <w:t xml:space="preserve">Mechanism 3 — Information Architecture: </w:t>
      </w:r>
      <w:r>
        <w:rPr>
          <w:rFonts w:ascii="Georgia" w:hAnsi="Georgia"/>
          <w:b w:val="0"/>
          <w:i w:val="0"/>
          <w:color w:val="4A4A4A"/>
          <w:sz w:val="21"/>
        </w:rPr>
        <w:t>Great Firewall knowledge fragmentation: Chinese researchers cannot access the full stack of Western academic discourse in real-time. The compound effect across 50 years of selective information diet is cognitive.</w:t>
      </w:r>
    </w:p>
    <w:p>
      <w:pPr>
        <w:pStyle w:val="ListBullet"/>
        <w:spacing w:after="60"/>
        <w:ind w:left="360"/>
      </w:pPr>
      <w:r>
        <w:rPr>
          <w:rFonts w:ascii="Georgia" w:hAnsi="Georgia"/>
          <w:b/>
          <w:i w:val="0"/>
          <w:color w:val="0D1B2A"/>
          <w:sz w:val="21"/>
        </w:rPr>
        <w:t xml:space="preserve">Mechanism 4 — Epistemic Sovereignty: </w:t>
      </w:r>
      <w:r>
        <w:rPr>
          <w:rFonts w:ascii="Georgia" w:hAnsi="Georgia"/>
          <w:b w:val="0"/>
          <w:i w:val="0"/>
          <w:color w:val="4A4A4A"/>
          <w:sz w:val="21"/>
        </w:rPr>
        <w:t>CCP authority over truth: Science requires the freedom to be wrong publicly. Party authority over correct interpretation of phenomena creates a structurally hostile environment for paradigm-shattering claims.</w:t>
      </w:r>
    </w:p>
    <w:p>
      <w:pPr>
        <w:spacing w:before="200" w:after="40"/>
      </w:pPr>
      <w:r>
        <w:rPr>
          <w:rFonts w:ascii="Calibri" w:hAnsi="Calibri"/>
          <w:b/>
          <w:i w:val="0"/>
          <w:color w:val="B8960A"/>
          <w:sz w:val="22"/>
        </w:rPr>
        <w:t>China AI Involution — The Token Price War</w:t>
      </w:r>
    </w:p>
    <w:p>
      <w:pPr>
        <w:spacing w:after="120"/>
      </w:pPr>
      <w:r>
        <w:rPr>
          <w:rFonts w:ascii="Georgia" w:hAnsi="Georgia"/>
          <w:b w:val="0"/>
          <w:i w:val="0"/>
          <w:color w:val="4A4A4A"/>
          <w:sz w:val="22"/>
        </w:rPr>
        <w:t>DeepSeek R1's $6M training run (vs. OpenAI's $100M+ for comparable capability) triggered a domestic Chinese AI price war — 'involution' in Chinese corporate parlance: a zero-sum intensification where competitors destroy margins while output remains flat. Baidu, Alibaba, Tencent, ByteDance, and 40+ smaller players are now offering LLM inference at near-zero marginal cost. The result: no Chinese AI company has a sustainable monetisation model. The sector is burning VC money in a race with no monetisation floor. This is not a market dynamic — it is a structural consequence of the optimization trap applied to product competition.</w:t>
      </w:r>
    </w:p>
    <w:p>
      <w:pPr>
        <w:spacing w:before="280" w:after="60"/>
      </w:pPr>
      <w:r>
        <w:rPr>
          <w:rFonts w:ascii="Calibri" w:hAnsi="Calibri"/>
          <w:b/>
          <w:i w:val="0"/>
          <w:color w:val="0D1B2A"/>
          <w:sz w:val="24"/>
        </w:rPr>
        <w:t>4.3 — Russia: The Frozen War</w:t>
      </w:r>
    </w:p>
    <w:p>
      <w:pPr>
        <w:spacing w:after="120"/>
      </w:pPr>
      <w:r>
        <w:rPr>
          <w:rFonts w:ascii="Georgia" w:hAnsi="Georgia"/>
          <w:b w:val="0"/>
          <w:i w:val="0"/>
          <w:color w:val="4A4A4A"/>
          <w:sz w:val="22"/>
        </w:rPr>
        <w:t>Russia's Ukraine campaign has achieved a strategic stalemate at enormous cost: 300,000+ casualties, $200B+ in direct economic damage, permanent loss of the European market for energy exports, and the military exposure of significant capability gaps in precision strike, drone warfare, and C4ISR integration. The Russian economy has proven more resilient than Western analysts predicted — war economy mobilisation, Chinese energy purchases, and shadow tanker fleet operations have kept GDP above recessionary levels. But the long-term structural damage is severe: demographic crisis deepened, technology embargo compounding, and the military industrial base consuming resources needed for civilian modernisation.</w:t>
      </w:r>
    </w:p>
    <w:p>
      <w:pPr>
        <w:spacing w:before="120" w:after="60"/>
        <w:ind w:left="360"/>
      </w:pPr>
      <w:r>
        <w:rPr>
          <w:rFonts w:ascii="Calibri" w:hAnsi="Calibri"/>
          <w:b/>
          <w:i w:val="0"/>
          <w:color w:val="0D1B2A"/>
          <w:sz w:val="21"/>
        </w:rPr>
        <w:t xml:space="preserve">[P=22%]  SCENARIO: Russian Breakthrough (Ukraine Frontline Collapse)  </w:t>
      </w:r>
      <w:r>
        <w:rPr>
          <w:rFonts w:ascii="Georgia" w:hAnsi="Georgia"/>
          <w:b w:val="0"/>
          <w:i w:val="0"/>
          <w:color w:val="4A4A4A"/>
          <w:sz w:val="21"/>
        </w:rPr>
        <w:t>Ukrainian mobilisation exhaustion + Western aid delay creates window for Russian territorial advance. Triggers NATO Article 4 consultation; possible Article 5 debate. Oil price spike (Russia revenues up). Global security architecture stress-test.</w:t>
      </w:r>
      <w:r>
        <w:br/>
      </w:r>
      <w:r>
        <w:rPr>
          <w:rFonts w:ascii="Georgia" w:hAnsi="Georgia"/>
          <w:b w:val="0"/>
          <w:i/>
          <w:color w:val="8A8A8A"/>
          <w:sz w:val="19"/>
        </w:rPr>
        <w:t>Watch for: Watch for: Ukrainian line withdrawal &gt;20km in any 30-day period; US aid supplemental failure in Congress</w:t>
      </w:r>
    </w:p>
    <w:p>
      <w:pPr>
        <w:spacing w:before="120" w:after="60"/>
        <w:ind w:left="360"/>
      </w:pPr>
      <w:r>
        <w:rPr>
          <w:rFonts w:ascii="Calibri" w:hAnsi="Calibri"/>
          <w:b/>
          <w:i w:val="0"/>
          <w:color w:val="0D1B2A"/>
          <w:sz w:val="21"/>
        </w:rPr>
        <w:t xml:space="preserve">[P=55%]  SCENARIO: Stalemate Frozen (Status Quo Extended)  </w:t>
      </w:r>
      <w:r>
        <w:rPr>
          <w:rFonts w:ascii="Georgia" w:hAnsi="Georgia"/>
          <w:b w:val="0"/>
          <w:i w:val="0"/>
          <w:color w:val="4A4A4A"/>
          <w:sz w:val="21"/>
        </w:rPr>
        <w:t>Russia and Ukraine both lack capacity for decisive offensive. Line hardens at current positions. Attrition continues. Ceasefire negotiations stall. Most economically destructive for Ukraine long-run.</w:t>
      </w:r>
      <w:r>
        <w:br/>
      </w:r>
      <w:r>
        <w:rPr>
          <w:rFonts w:ascii="Georgia" w:hAnsi="Georgia"/>
          <w:b w:val="0"/>
          <w:i/>
          <w:color w:val="8A8A8A"/>
          <w:sz w:val="19"/>
        </w:rPr>
        <w:t>Watch for: Watch for: Both sides accepting territorial status quo in any back-channel communication</w:t>
      </w:r>
    </w:p>
    <w:p>
      <w:pPr>
        <w:spacing w:before="120" w:after="60"/>
        <w:ind w:left="360"/>
      </w:pPr>
      <w:r>
        <w:rPr>
          <w:rFonts w:ascii="Calibri" w:hAnsi="Calibri"/>
          <w:b/>
          <w:i w:val="0"/>
          <w:color w:val="0D1B2A"/>
          <w:sz w:val="21"/>
        </w:rPr>
        <w:t xml:space="preserve">[P=23%]  SCENARIO: Negotiated Settlement  </w:t>
      </w:r>
      <w:r>
        <w:rPr>
          <w:rFonts w:ascii="Georgia" w:hAnsi="Georgia"/>
          <w:b w:val="0"/>
          <w:i w:val="0"/>
          <w:color w:val="4A4A4A"/>
          <w:sz w:val="21"/>
        </w:rPr>
        <w:t>Trump 'deal-making' pressure on both parties. Ukrainian territorial concessions in exchange for NATO membership or security guarantees. Controversial domestically in Ukraine. Possible by Q4 2026.</w:t>
      </w:r>
      <w:r>
        <w:br/>
      </w:r>
      <w:r>
        <w:rPr>
          <w:rFonts w:ascii="Georgia" w:hAnsi="Georgia"/>
          <w:b w:val="0"/>
          <w:i/>
          <w:color w:val="8A8A8A"/>
          <w:sz w:val="19"/>
        </w:rPr>
        <w:t>Watch for: Watch for: Trump-Zelensky meeting without prior Ukrainian preconditions; Russian flexibility on Zaporizhzhia</w:t>
      </w:r>
    </w:p>
    <w:p>
      <w:pPr>
        <w:spacing w:before="280" w:after="60"/>
      </w:pPr>
      <w:r>
        <w:rPr>
          <w:rFonts w:ascii="Calibri" w:hAnsi="Calibri"/>
          <w:b/>
          <w:i w:val="0"/>
          <w:color w:val="0D1B2A"/>
          <w:sz w:val="24"/>
        </w:rPr>
        <w:t>4.4 — India: The $10 Trillion Bet</w:t>
      </w:r>
    </w:p>
    <w:p>
      <w:pPr>
        <w:spacing w:after="120"/>
      </w:pPr>
      <w:r>
        <w:rPr>
          <w:rFonts w:ascii="Georgia" w:hAnsi="Georgia"/>
          <w:b w:val="0"/>
          <w:i w:val="0"/>
          <w:color w:val="4A4A4A"/>
          <w:sz w:val="22"/>
        </w:rPr>
        <w:t>India at 1.4 billion people, $3.7 trillion GDP (2025), and 8.2% growth is the world's most consequential growth story — and the most complex. Modi's grand strategy is strategic autonomy: sufficient military capability to deter both China and Pakistan, sufficient economic openness to attract Western FDI, and sufficient hedging to maintain Russian energy imports during the Ukraine war without strategic alignment. The $10T by 2040 target requires sustaining 7-8% growth for 14 years — achievable if infrastructure investment, manufacturing deepening, and digital public goods deployment continue at current trajectory. The risks: elite capture of growth, agricultural sector stagnation, Hindu nationalist overreach alienating Muslim minority (200M people), and China border friction consuming defence budget.</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India Strategic Asset</w:t>
            </w:r>
          </w:p>
        </w:tc>
        <w:tc>
          <w:tcPr>
            <w:tcW w:type="dxa" w:w="2209"/>
          </w:tcPr>
          <w:p>
            <w:r>
              <w:rPr>
                <w:rFonts w:ascii="Calibri" w:hAnsi="Calibri"/>
                <w:b/>
                <w:color w:val="0D1B2A"/>
                <w:sz w:val="19"/>
              </w:rPr>
              <w:t>2025 Status</w:t>
            </w:r>
          </w:p>
        </w:tc>
        <w:tc>
          <w:tcPr>
            <w:tcW w:type="dxa" w:w="2209"/>
          </w:tcPr>
          <w:p>
            <w:r>
              <w:rPr>
                <w:rFonts w:ascii="Calibri" w:hAnsi="Calibri"/>
                <w:b/>
                <w:color w:val="0D1B2A"/>
                <w:sz w:val="19"/>
              </w:rPr>
              <w:t>2030 Target</w:t>
            </w:r>
          </w:p>
        </w:tc>
        <w:tc>
          <w:tcPr>
            <w:tcW w:type="dxa" w:w="2209"/>
          </w:tcPr>
          <w:p>
            <w:r>
              <w:rPr>
                <w:rFonts w:ascii="Calibri" w:hAnsi="Calibri"/>
                <w:b/>
                <w:color w:val="0D1B2A"/>
                <w:sz w:val="19"/>
              </w:rPr>
              <w:t>Strategic Function</w:t>
            </w:r>
          </w:p>
        </w:tc>
      </w:tr>
      <w:tr>
        <w:tc>
          <w:tcPr>
            <w:tcW w:type="dxa" w:w="2209"/>
          </w:tcPr>
          <w:p>
            <w:r>
              <w:rPr>
                <w:rFonts w:ascii="Georgia" w:hAnsi="Georgia"/>
                <w:color w:val="4A4A4A"/>
                <w:sz w:val="19"/>
              </w:rPr>
              <w:t>GDP</w:t>
            </w:r>
          </w:p>
        </w:tc>
        <w:tc>
          <w:tcPr>
            <w:tcW w:type="dxa" w:w="2209"/>
          </w:tcPr>
          <w:p>
            <w:r>
              <w:rPr>
                <w:rFonts w:ascii="Georgia" w:hAnsi="Georgia"/>
                <w:color w:val="4A4A4A"/>
                <w:sz w:val="19"/>
              </w:rPr>
              <w:t>$3.7T (5th largest)</w:t>
            </w:r>
          </w:p>
        </w:tc>
        <w:tc>
          <w:tcPr>
            <w:tcW w:type="dxa" w:w="2209"/>
          </w:tcPr>
          <w:p>
            <w:r>
              <w:rPr>
                <w:rFonts w:ascii="Georgia" w:hAnsi="Georgia"/>
                <w:color w:val="4A4A4A"/>
                <w:sz w:val="19"/>
              </w:rPr>
              <w:t>$5.5T (3rd largest)</w:t>
            </w:r>
          </w:p>
        </w:tc>
        <w:tc>
          <w:tcPr>
            <w:tcW w:type="dxa" w:w="2209"/>
          </w:tcPr>
          <w:p>
            <w:r>
              <w:rPr>
                <w:rFonts w:ascii="Georgia" w:hAnsi="Georgia"/>
                <w:color w:val="4A4A4A"/>
                <w:sz w:val="19"/>
              </w:rPr>
              <w:t>Economic gravity to attract FDI away from China</w:t>
            </w:r>
          </w:p>
        </w:tc>
      </w:tr>
      <w:tr>
        <w:tc>
          <w:tcPr>
            <w:tcW w:type="dxa" w:w="2209"/>
          </w:tcPr>
          <w:p>
            <w:r>
              <w:rPr>
                <w:rFonts w:ascii="Georgia" w:hAnsi="Georgia"/>
                <w:color w:val="4A4A4A"/>
                <w:sz w:val="19"/>
              </w:rPr>
              <w:t>Population</w:t>
            </w:r>
          </w:p>
        </w:tc>
        <w:tc>
          <w:tcPr>
            <w:tcW w:type="dxa" w:w="2209"/>
          </w:tcPr>
          <w:p>
            <w:r>
              <w:rPr>
                <w:rFonts w:ascii="Georgia" w:hAnsi="Georgia"/>
                <w:color w:val="4A4A4A"/>
                <w:sz w:val="19"/>
              </w:rPr>
              <w:t>1.44B (world's largest)</w:t>
            </w:r>
          </w:p>
        </w:tc>
        <w:tc>
          <w:tcPr>
            <w:tcW w:type="dxa" w:w="2209"/>
          </w:tcPr>
          <w:p>
            <w:r>
              <w:rPr>
                <w:rFonts w:ascii="Georgia" w:hAnsi="Georgia"/>
                <w:color w:val="4A4A4A"/>
                <w:sz w:val="19"/>
              </w:rPr>
              <w:t>1.50B</w:t>
            </w:r>
          </w:p>
        </w:tc>
        <w:tc>
          <w:tcPr>
            <w:tcW w:type="dxa" w:w="2209"/>
          </w:tcPr>
          <w:p>
            <w:r>
              <w:rPr>
                <w:rFonts w:ascii="Georgia" w:hAnsi="Georgia"/>
                <w:color w:val="4A4A4A"/>
                <w:sz w:val="19"/>
              </w:rPr>
              <w:t>Demographic dividend; largest working-age cohort by 2030</w:t>
            </w:r>
          </w:p>
        </w:tc>
      </w:tr>
      <w:tr>
        <w:tc>
          <w:tcPr>
            <w:tcW w:type="dxa" w:w="2209"/>
          </w:tcPr>
          <w:p>
            <w:r>
              <w:rPr>
                <w:rFonts w:ascii="Georgia" w:hAnsi="Georgia"/>
                <w:color w:val="4A4A4A"/>
                <w:sz w:val="19"/>
              </w:rPr>
              <w:t>Defence Budget</w:t>
            </w:r>
          </w:p>
        </w:tc>
        <w:tc>
          <w:tcPr>
            <w:tcW w:type="dxa" w:w="2209"/>
          </w:tcPr>
          <w:p>
            <w:r>
              <w:rPr>
                <w:rFonts w:ascii="Georgia" w:hAnsi="Georgia"/>
                <w:color w:val="4A4A4A"/>
                <w:sz w:val="19"/>
              </w:rPr>
              <w:t>$78B (4th largest)</w:t>
            </w:r>
          </w:p>
        </w:tc>
        <w:tc>
          <w:tcPr>
            <w:tcW w:type="dxa" w:w="2209"/>
          </w:tcPr>
          <w:p>
            <w:r>
              <w:rPr>
                <w:rFonts w:ascii="Georgia" w:hAnsi="Georgia"/>
                <w:color w:val="4A4A4A"/>
                <w:sz w:val="19"/>
              </w:rPr>
              <w:t>$120B</w:t>
            </w:r>
          </w:p>
        </w:tc>
        <w:tc>
          <w:tcPr>
            <w:tcW w:type="dxa" w:w="2209"/>
          </w:tcPr>
          <w:p>
            <w:r>
              <w:rPr>
                <w:rFonts w:ascii="Georgia" w:hAnsi="Georgia"/>
                <w:color w:val="4A4A4A"/>
                <w:sz w:val="19"/>
              </w:rPr>
              <w:t>2-front deterrence vs China + Pakistan</w:t>
            </w:r>
          </w:p>
        </w:tc>
      </w:tr>
      <w:tr>
        <w:tc>
          <w:tcPr>
            <w:tcW w:type="dxa" w:w="2209"/>
          </w:tcPr>
          <w:p>
            <w:r>
              <w:rPr>
                <w:rFonts w:ascii="Georgia" w:hAnsi="Georgia"/>
                <w:color w:val="4A4A4A"/>
                <w:sz w:val="19"/>
              </w:rPr>
              <w:t>Digital Public Goods</w:t>
            </w:r>
          </w:p>
        </w:tc>
        <w:tc>
          <w:tcPr>
            <w:tcW w:type="dxa" w:w="2209"/>
          </w:tcPr>
          <w:p>
            <w:r>
              <w:rPr>
                <w:rFonts w:ascii="Georgia" w:hAnsi="Georgia"/>
                <w:color w:val="4A4A4A"/>
                <w:sz w:val="19"/>
              </w:rPr>
              <w:t>UPI: 8B transactions/month; Aadhaar: 1.4B enrolled</w:t>
            </w:r>
          </w:p>
        </w:tc>
        <w:tc>
          <w:tcPr>
            <w:tcW w:type="dxa" w:w="2209"/>
          </w:tcPr>
          <w:p>
            <w:r>
              <w:rPr>
                <w:rFonts w:ascii="Georgia" w:hAnsi="Georgia"/>
                <w:color w:val="4A4A4A"/>
                <w:sz w:val="19"/>
              </w:rPr>
              <w:t>ONDC $50B commerce</w:t>
            </w:r>
          </w:p>
        </w:tc>
        <w:tc>
          <w:tcPr>
            <w:tcW w:type="dxa" w:w="2209"/>
          </w:tcPr>
          <w:p>
            <w:r>
              <w:rPr>
                <w:rFonts w:ascii="Georgia" w:hAnsi="Georgia"/>
                <w:color w:val="4A4A4A"/>
                <w:sz w:val="19"/>
              </w:rPr>
              <w:t>State capacity + financial inclusion at scale</w:t>
            </w:r>
          </w:p>
        </w:tc>
      </w:tr>
      <w:tr>
        <w:tc>
          <w:tcPr>
            <w:tcW w:type="dxa" w:w="2209"/>
          </w:tcPr>
          <w:p>
            <w:r>
              <w:rPr>
                <w:rFonts w:ascii="Georgia" w:hAnsi="Georgia"/>
                <w:color w:val="4A4A4A"/>
                <w:sz w:val="19"/>
              </w:rPr>
              <w:t>Manufacturing Share of GDP</w:t>
            </w:r>
          </w:p>
        </w:tc>
        <w:tc>
          <w:tcPr>
            <w:tcW w:type="dxa" w:w="2209"/>
          </w:tcPr>
          <w:p>
            <w:r>
              <w:rPr>
                <w:rFonts w:ascii="Georgia" w:hAnsi="Georgia"/>
                <w:color w:val="4A4A4A"/>
                <w:sz w:val="19"/>
              </w:rPr>
              <w:t>17.4%</w:t>
            </w:r>
          </w:p>
        </w:tc>
        <w:tc>
          <w:tcPr>
            <w:tcW w:type="dxa" w:w="2209"/>
          </w:tcPr>
          <w:p>
            <w:r>
              <w:rPr>
                <w:rFonts w:ascii="Georgia" w:hAnsi="Georgia"/>
                <w:color w:val="4A4A4A"/>
                <w:sz w:val="19"/>
              </w:rPr>
              <w:t>25% target</w:t>
            </w:r>
          </w:p>
        </w:tc>
        <w:tc>
          <w:tcPr>
            <w:tcW w:type="dxa" w:w="2209"/>
          </w:tcPr>
          <w:p>
            <w:r>
              <w:rPr>
                <w:rFonts w:ascii="Georgia" w:hAnsi="Georgia"/>
                <w:color w:val="4A4A4A"/>
                <w:sz w:val="19"/>
              </w:rPr>
              <w:t>China+1 beneficiary; Apple, Samsung, Foxconn commitments</w:t>
            </w:r>
          </w:p>
        </w:tc>
      </w:tr>
      <w:tr>
        <w:tc>
          <w:tcPr>
            <w:tcW w:type="dxa" w:w="2209"/>
          </w:tcPr>
          <w:p>
            <w:r>
              <w:rPr>
                <w:rFonts w:ascii="Georgia" w:hAnsi="Georgia"/>
                <w:color w:val="4A4A4A"/>
                <w:sz w:val="19"/>
              </w:rPr>
              <w:t>Renewable Energy</w:t>
            </w:r>
          </w:p>
        </w:tc>
        <w:tc>
          <w:tcPr>
            <w:tcW w:type="dxa" w:w="2209"/>
          </w:tcPr>
          <w:p>
            <w:r>
              <w:rPr>
                <w:rFonts w:ascii="Georgia" w:hAnsi="Georgia"/>
                <w:color w:val="4A4A4A"/>
                <w:sz w:val="19"/>
              </w:rPr>
              <w:t>170 GW installed</w:t>
            </w:r>
          </w:p>
        </w:tc>
        <w:tc>
          <w:tcPr>
            <w:tcW w:type="dxa" w:w="2209"/>
          </w:tcPr>
          <w:p>
            <w:r>
              <w:rPr>
                <w:rFonts w:ascii="Georgia" w:hAnsi="Georgia"/>
                <w:color w:val="4A4A4A"/>
                <w:sz w:val="19"/>
              </w:rPr>
              <w:t>500 GW by 2030</w:t>
            </w:r>
          </w:p>
        </w:tc>
        <w:tc>
          <w:tcPr>
            <w:tcW w:type="dxa" w:w="2209"/>
          </w:tcPr>
          <w:p>
            <w:r>
              <w:rPr>
                <w:rFonts w:ascii="Georgia" w:hAnsi="Georgia"/>
                <w:color w:val="4A4A4A"/>
                <w:sz w:val="19"/>
              </w:rPr>
              <w:t>Energy security + green export positioning</w:t>
            </w:r>
          </w:p>
        </w:tc>
      </w:tr>
    </w:tbl>
    <w:p>
      <w:pPr>
        <w:spacing w:after="160"/>
      </w:pPr>
    </w:p>
    <w:p>
      <w:r>
        <w:br w:type="page"/>
      </w:r>
    </w:p>
    <w:p>
      <w:pPr>
        <w:spacing w:before="440" w:after="120"/>
      </w:pPr>
      <w:r>
        <w:rPr>
          <w:rFonts w:ascii="Calibri" w:hAnsi="Calibri"/>
          <w:b/>
          <w:i w:val="0"/>
          <w:color w:val="0D1B2A"/>
          <w:sz w:val="30"/>
        </w:rPr>
        <w:t>PART V: THE TECHNOLOGY FRONTIER — AI, QUANTUM, SPACE, BIOLOGY</w:t>
      </w:r>
    </w:p>
    <w:p>
      <w:pPr>
        <w:pBdr>
          <w:bottom w:val="single" w:sz="6" w:space="1" w:color="B8960A"/>
        </w:pBdr>
        <w:spacing w:after="80"/>
      </w:pPr>
    </w:p>
    <w:p>
      <w:pPr>
        <w:spacing w:before="280" w:after="60"/>
      </w:pPr>
      <w:r>
        <w:rPr>
          <w:rFonts w:ascii="Calibri" w:hAnsi="Calibri"/>
          <w:b/>
          <w:i w:val="0"/>
          <w:color w:val="0D1B2A"/>
          <w:sz w:val="24"/>
        </w:rPr>
        <w:t>5.1 — The AI Arms Race: Capital vs. Capability</w:t>
      </w:r>
    </w:p>
    <w:p>
      <w:pPr>
        <w:spacing w:after="120"/>
      </w:pPr>
      <w:r>
        <w:rPr>
          <w:rFonts w:ascii="Georgia" w:hAnsi="Georgia"/>
          <w:b w:val="0"/>
          <w:i w:val="0"/>
          <w:color w:val="4A4A4A"/>
          <w:sz w:val="22"/>
        </w:rPr>
        <w:t>The global AI industry in July 2026 is characterised by a paradox: unprecedented capital deployment ($270B+ in hyperscaler capex) coexisting with a genuine capability plateau in frontier LLM performance. The scaling hypothesis — that raw compute spend produces proportional capability improvement — is being challenged by the DeepSeek efficiency revelation and by the absence of clear AGI-precursor capabilities in any current system. The frontier has shifted from 'how large can we build' to 'how useful can we make it' — an architectural and product question, not a capital question.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Player</w:t>
            </w:r>
          </w:p>
        </w:tc>
        <w:tc>
          <w:tcPr>
            <w:tcW w:type="dxa" w:w="1768"/>
          </w:tcPr>
          <w:p>
            <w:r>
              <w:rPr>
                <w:rFonts w:ascii="Calibri" w:hAnsi="Calibri"/>
                <w:b/>
                <w:color w:val="0D1B2A"/>
                <w:sz w:val="19"/>
              </w:rPr>
              <w:t>Valuation / Market Cap</w:t>
            </w:r>
          </w:p>
        </w:tc>
        <w:tc>
          <w:tcPr>
            <w:tcW w:type="dxa" w:w="1768"/>
          </w:tcPr>
          <w:p>
            <w:r>
              <w:rPr>
                <w:rFonts w:ascii="Calibri" w:hAnsi="Calibri"/>
                <w:b/>
                <w:color w:val="0D1B2A"/>
                <w:sz w:val="19"/>
              </w:rPr>
              <w:t>Revenue (2025 est.)</w:t>
            </w:r>
          </w:p>
        </w:tc>
        <w:tc>
          <w:tcPr>
            <w:tcW w:type="dxa" w:w="1768"/>
          </w:tcPr>
          <w:p>
            <w:r>
              <w:rPr>
                <w:rFonts w:ascii="Calibri" w:hAnsi="Calibri"/>
                <w:b/>
                <w:color w:val="0D1B2A"/>
                <w:sz w:val="19"/>
              </w:rPr>
              <w:t>AI Strategy</w:t>
            </w:r>
          </w:p>
        </w:tc>
        <w:tc>
          <w:tcPr>
            <w:tcW w:type="dxa" w:w="1768"/>
          </w:tcPr>
          <w:p>
            <w:r>
              <w:rPr>
                <w:rFonts w:ascii="Calibri" w:hAnsi="Calibri"/>
                <w:b/>
                <w:color w:val="0D1B2A"/>
                <w:sz w:val="19"/>
              </w:rPr>
              <w:t>Risk</w:t>
            </w:r>
          </w:p>
        </w:tc>
      </w:tr>
      <w:tr>
        <w:tc>
          <w:tcPr>
            <w:tcW w:type="dxa" w:w="1768"/>
          </w:tcPr>
          <w:p>
            <w:r>
              <w:rPr>
                <w:rFonts w:ascii="Georgia" w:hAnsi="Georgia"/>
                <w:color w:val="4A4A4A"/>
                <w:sz w:val="19"/>
              </w:rPr>
              <w:t>NVIDIA</w:t>
            </w:r>
          </w:p>
        </w:tc>
        <w:tc>
          <w:tcPr>
            <w:tcW w:type="dxa" w:w="1768"/>
          </w:tcPr>
          <w:p>
            <w:r>
              <w:rPr>
                <w:rFonts w:ascii="Georgia" w:hAnsi="Georgia"/>
                <w:color w:val="4A4A4A"/>
                <w:sz w:val="19"/>
              </w:rPr>
              <w:t>$3T+ market cap</w:t>
            </w:r>
          </w:p>
        </w:tc>
        <w:tc>
          <w:tcPr>
            <w:tcW w:type="dxa" w:w="1768"/>
          </w:tcPr>
          <w:p>
            <w:r>
              <w:rPr>
                <w:rFonts w:ascii="Georgia" w:hAnsi="Georgia"/>
                <w:color w:val="4A4A4A"/>
                <w:sz w:val="19"/>
              </w:rPr>
              <w:t>~$100B (70%+ AI compute)</w:t>
            </w:r>
          </w:p>
        </w:tc>
        <w:tc>
          <w:tcPr>
            <w:tcW w:type="dxa" w:w="1768"/>
          </w:tcPr>
          <w:p>
            <w:r>
              <w:rPr>
                <w:rFonts w:ascii="Georgia" w:hAnsi="Georgia"/>
                <w:color w:val="4A4A4A"/>
                <w:sz w:val="19"/>
              </w:rPr>
              <w:t>GPU monopoly on AI training (80%+ share); H100/H200/GB200 stack</w:t>
            </w:r>
          </w:p>
        </w:tc>
        <w:tc>
          <w:tcPr>
            <w:tcW w:type="dxa" w:w="1768"/>
          </w:tcPr>
          <w:p>
            <w:r>
              <w:rPr>
                <w:rFonts w:ascii="Georgia" w:hAnsi="Georgia"/>
                <w:color w:val="4A4A4A"/>
                <w:sz w:val="19"/>
              </w:rPr>
              <w:t>Export controls; China revenue loss; AMD/custom chip competition</w:t>
            </w:r>
          </w:p>
        </w:tc>
      </w:tr>
      <w:tr>
        <w:tc>
          <w:tcPr>
            <w:tcW w:type="dxa" w:w="1768"/>
          </w:tcPr>
          <w:p>
            <w:r>
              <w:rPr>
                <w:rFonts w:ascii="Georgia" w:hAnsi="Georgia"/>
                <w:color w:val="4A4A4A"/>
                <w:sz w:val="19"/>
              </w:rPr>
              <w:t>Microsoft / OpenAI</w:t>
            </w:r>
          </w:p>
        </w:tc>
        <w:tc>
          <w:tcPr>
            <w:tcW w:type="dxa" w:w="1768"/>
          </w:tcPr>
          <w:p>
            <w:r>
              <w:rPr>
                <w:rFonts w:ascii="Georgia" w:hAnsi="Georgia"/>
                <w:color w:val="4A4A4A"/>
                <w:sz w:val="19"/>
              </w:rPr>
              <w:t>MSFT $2.8T; OpenAI $852B</w:t>
            </w:r>
          </w:p>
        </w:tc>
        <w:tc>
          <w:tcPr>
            <w:tcW w:type="dxa" w:w="1768"/>
          </w:tcPr>
          <w:p>
            <w:r>
              <w:rPr>
                <w:rFonts w:ascii="Georgia" w:hAnsi="Georgia"/>
                <w:color w:val="4A4A4A"/>
                <w:sz w:val="19"/>
              </w:rPr>
              <w:t>MSFT AI $25B+; OpenAI $10B+</w:t>
            </w:r>
          </w:p>
        </w:tc>
        <w:tc>
          <w:tcPr>
            <w:tcW w:type="dxa" w:w="1768"/>
          </w:tcPr>
          <w:p>
            <w:r>
              <w:rPr>
                <w:rFonts w:ascii="Georgia" w:hAnsi="Georgia"/>
                <w:color w:val="4A4A4A"/>
                <w:sz w:val="19"/>
              </w:rPr>
              <w:t>Azure AI services + GPT integration across Office</w:t>
            </w:r>
          </w:p>
        </w:tc>
        <w:tc>
          <w:tcPr>
            <w:tcW w:type="dxa" w:w="1768"/>
          </w:tcPr>
          <w:p>
            <w:r>
              <w:rPr>
                <w:rFonts w:ascii="Georgia" w:hAnsi="Georgia"/>
                <w:color w:val="4A4A4A"/>
                <w:sz w:val="19"/>
              </w:rPr>
              <w:t>OpenAI partnership tension; $5B+ OpenAI operating losses</w:t>
            </w:r>
          </w:p>
        </w:tc>
      </w:tr>
      <w:tr>
        <w:tc>
          <w:tcPr>
            <w:tcW w:type="dxa" w:w="1768"/>
          </w:tcPr>
          <w:p>
            <w:r>
              <w:rPr>
                <w:rFonts w:ascii="Georgia" w:hAnsi="Georgia"/>
                <w:color w:val="4A4A4A"/>
                <w:sz w:val="19"/>
              </w:rPr>
              <w:t>Anthropic</w:t>
            </w:r>
          </w:p>
        </w:tc>
        <w:tc>
          <w:tcPr>
            <w:tcW w:type="dxa" w:w="1768"/>
          </w:tcPr>
          <w:p>
            <w:r>
              <w:rPr>
                <w:rFonts w:ascii="Georgia" w:hAnsi="Georgia"/>
                <w:color w:val="4A4A4A"/>
                <w:sz w:val="19"/>
              </w:rPr>
              <w:t>$965B (Series H, May 2026)</w:t>
            </w:r>
          </w:p>
        </w:tc>
        <w:tc>
          <w:tcPr>
            <w:tcW w:type="dxa" w:w="1768"/>
          </w:tcPr>
          <w:p>
            <w:r>
              <w:rPr>
                <w:rFonts w:ascii="Georgia" w:hAnsi="Georgia"/>
                <w:color w:val="4A4A4A"/>
                <w:sz w:val="19"/>
              </w:rPr>
              <w:t>$3B+</w:t>
            </w:r>
          </w:p>
        </w:tc>
        <w:tc>
          <w:tcPr>
            <w:tcW w:type="dxa" w:w="1768"/>
          </w:tcPr>
          <w:p>
            <w:r>
              <w:rPr>
                <w:rFonts w:ascii="Georgia" w:hAnsi="Georgia"/>
                <w:color w:val="4A4A4A"/>
                <w:sz w:val="19"/>
              </w:rPr>
              <w:t>Safety-first Claude; AWS and GCP cloud partnerships</w:t>
            </w:r>
          </w:p>
        </w:tc>
        <w:tc>
          <w:tcPr>
            <w:tcW w:type="dxa" w:w="1768"/>
          </w:tcPr>
          <w:p>
            <w:r>
              <w:rPr>
                <w:rFonts w:ascii="Georgia" w:hAnsi="Georgia"/>
                <w:color w:val="4A4A4A"/>
                <w:sz w:val="19"/>
              </w:rPr>
              <w:t>Monetisation race against OpenAI; compute cost pressure</w:t>
            </w:r>
          </w:p>
        </w:tc>
      </w:tr>
      <w:tr>
        <w:tc>
          <w:tcPr>
            <w:tcW w:type="dxa" w:w="1768"/>
          </w:tcPr>
          <w:p>
            <w:r>
              <w:rPr>
                <w:rFonts w:ascii="Georgia" w:hAnsi="Georgia"/>
                <w:color w:val="4A4A4A"/>
                <w:sz w:val="19"/>
              </w:rPr>
              <w:t>Google DeepMind</w:t>
            </w:r>
          </w:p>
        </w:tc>
        <w:tc>
          <w:tcPr>
            <w:tcW w:type="dxa" w:w="1768"/>
          </w:tcPr>
          <w:p>
            <w:r>
              <w:rPr>
                <w:rFonts w:ascii="Georgia" w:hAnsi="Georgia"/>
                <w:color w:val="4A4A4A"/>
                <w:sz w:val="19"/>
              </w:rPr>
              <w:t>Alphabet $2.2T</w:t>
            </w:r>
          </w:p>
        </w:tc>
        <w:tc>
          <w:tcPr>
            <w:tcW w:type="dxa" w:w="1768"/>
          </w:tcPr>
          <w:p>
            <w:r>
              <w:rPr>
                <w:rFonts w:ascii="Georgia" w:hAnsi="Georgia"/>
                <w:color w:val="4A4A4A"/>
                <w:sz w:val="19"/>
              </w:rPr>
              <w:t>$30B+ AI cloud</w:t>
            </w:r>
          </w:p>
        </w:tc>
        <w:tc>
          <w:tcPr>
            <w:tcW w:type="dxa" w:w="1768"/>
          </w:tcPr>
          <w:p>
            <w:r>
              <w:rPr>
                <w:rFonts w:ascii="Georgia" w:hAnsi="Georgia"/>
                <w:color w:val="4A4A4A"/>
                <w:sz w:val="19"/>
              </w:rPr>
              <w:t>Gemini Ultra; TPU custom silicon; search AI integration</w:t>
            </w:r>
          </w:p>
        </w:tc>
        <w:tc>
          <w:tcPr>
            <w:tcW w:type="dxa" w:w="1768"/>
          </w:tcPr>
          <w:p>
            <w:r>
              <w:rPr>
                <w:rFonts w:ascii="Georgia" w:hAnsi="Georgia"/>
                <w:color w:val="4A4A4A"/>
                <w:sz w:val="19"/>
              </w:rPr>
              <w:t>Search revenue cannibalisation risk; regulatory scrutiny</w:t>
            </w:r>
          </w:p>
        </w:tc>
      </w:tr>
      <w:tr>
        <w:tc>
          <w:tcPr>
            <w:tcW w:type="dxa" w:w="1768"/>
          </w:tcPr>
          <w:p>
            <w:r>
              <w:rPr>
                <w:rFonts w:ascii="Georgia" w:hAnsi="Georgia"/>
                <w:color w:val="4A4A4A"/>
                <w:sz w:val="19"/>
              </w:rPr>
              <w:t>Meta AI</w:t>
            </w:r>
          </w:p>
        </w:tc>
        <w:tc>
          <w:tcPr>
            <w:tcW w:type="dxa" w:w="1768"/>
          </w:tcPr>
          <w:p>
            <w:r>
              <w:rPr>
                <w:rFonts w:ascii="Georgia" w:hAnsi="Georgia"/>
                <w:color w:val="4A4A4A"/>
                <w:sz w:val="19"/>
              </w:rPr>
              <w:t>$1.5T</w:t>
            </w:r>
          </w:p>
        </w:tc>
        <w:tc>
          <w:tcPr>
            <w:tcW w:type="dxa" w:w="1768"/>
          </w:tcPr>
          <w:p>
            <w:r>
              <w:rPr>
                <w:rFonts w:ascii="Georgia" w:hAnsi="Georgia"/>
                <w:color w:val="4A4A4A"/>
                <w:sz w:val="19"/>
              </w:rPr>
              <w:t>$20B+ AI advertising</w:t>
            </w:r>
          </w:p>
        </w:tc>
        <w:tc>
          <w:tcPr>
            <w:tcW w:type="dxa" w:w="1768"/>
          </w:tcPr>
          <w:p>
            <w:r>
              <w:rPr>
                <w:rFonts w:ascii="Georgia" w:hAnsi="Georgia"/>
                <w:color w:val="4A4A4A"/>
                <w:sz w:val="19"/>
              </w:rPr>
              <w:t>Open-source Llama; AI advertising optimisation</w:t>
            </w:r>
          </w:p>
        </w:tc>
        <w:tc>
          <w:tcPr>
            <w:tcW w:type="dxa" w:w="1768"/>
          </w:tcPr>
          <w:p>
            <w:r>
              <w:rPr>
                <w:rFonts w:ascii="Georgia" w:hAnsi="Georgia"/>
                <w:color w:val="4A4A4A"/>
                <w:sz w:val="19"/>
              </w:rPr>
              <w:t>Llama commoditising frontier; regulatory pressure in EU</w:t>
            </w:r>
          </w:p>
        </w:tc>
      </w:tr>
      <w:tr>
        <w:tc>
          <w:tcPr>
            <w:tcW w:type="dxa" w:w="1768"/>
          </w:tcPr>
          <w:p>
            <w:r>
              <w:rPr>
                <w:rFonts w:ascii="Georgia" w:hAnsi="Georgia"/>
                <w:color w:val="4A4A4A"/>
                <w:sz w:val="19"/>
              </w:rPr>
              <w:t>DeepSeek (China)</w:t>
            </w:r>
          </w:p>
        </w:tc>
        <w:tc>
          <w:tcPr>
            <w:tcW w:type="dxa" w:w="1768"/>
          </w:tcPr>
          <w:p>
            <w:r>
              <w:rPr>
                <w:rFonts w:ascii="Georgia" w:hAnsi="Georgia"/>
                <w:color w:val="4A4A4A"/>
                <w:sz w:val="19"/>
              </w:rPr>
              <w:t>Private</w:t>
            </w:r>
          </w:p>
        </w:tc>
        <w:tc>
          <w:tcPr>
            <w:tcW w:type="dxa" w:w="1768"/>
          </w:tcPr>
          <w:p>
            <w:r>
              <w:rPr>
                <w:rFonts w:ascii="Georgia" w:hAnsi="Georgia"/>
                <w:color w:val="4A4A4A"/>
                <w:sz w:val="19"/>
              </w:rPr>
              <w:t>Token revenue: minimal</w:t>
            </w:r>
          </w:p>
        </w:tc>
        <w:tc>
          <w:tcPr>
            <w:tcW w:type="dxa" w:w="1768"/>
          </w:tcPr>
          <w:p>
            <w:r>
              <w:rPr>
                <w:rFonts w:ascii="Georgia" w:hAnsi="Georgia"/>
                <w:color w:val="4A4A4A"/>
                <w:sz w:val="19"/>
              </w:rPr>
              <w:t>Efficiency training ($6M R1); API commoditisation</w:t>
            </w:r>
          </w:p>
        </w:tc>
        <w:tc>
          <w:tcPr>
            <w:tcW w:type="dxa" w:w="1768"/>
          </w:tcPr>
          <w:p>
            <w:r>
              <w:rPr>
                <w:rFonts w:ascii="Georgia" w:hAnsi="Georgia"/>
                <w:color w:val="4A4A4A"/>
                <w:sz w:val="19"/>
              </w:rPr>
              <w:t>Export control limitations; GPU access restricted by BIS rules</w:t>
            </w:r>
          </w:p>
        </w:tc>
      </w:tr>
      <w:tr>
        <w:tc>
          <w:tcPr>
            <w:tcW w:type="dxa" w:w="1768"/>
          </w:tcPr>
          <w:p>
            <w:r>
              <w:rPr>
                <w:rFonts w:ascii="Georgia" w:hAnsi="Georgia"/>
                <w:color w:val="4A4A4A"/>
                <w:sz w:val="19"/>
              </w:rPr>
              <w:t>SK Hynix</w:t>
            </w:r>
          </w:p>
        </w:tc>
        <w:tc>
          <w:tcPr>
            <w:tcW w:type="dxa" w:w="1768"/>
          </w:tcPr>
          <w:p>
            <w:r>
              <w:rPr>
                <w:rFonts w:ascii="Georgia" w:hAnsi="Georgia"/>
                <w:color w:val="4A4A4A"/>
                <w:sz w:val="19"/>
              </w:rPr>
              <w:t>$1T market cap</w:t>
            </w:r>
          </w:p>
        </w:tc>
        <w:tc>
          <w:tcPr>
            <w:tcW w:type="dxa" w:w="1768"/>
          </w:tcPr>
          <w:p>
            <w:r>
              <w:rPr>
                <w:rFonts w:ascii="Georgia" w:hAnsi="Georgia"/>
                <w:color w:val="4A4A4A"/>
                <w:sz w:val="19"/>
              </w:rPr>
              <w:t>$40B+ (2025)</w:t>
            </w:r>
          </w:p>
        </w:tc>
        <w:tc>
          <w:tcPr>
            <w:tcW w:type="dxa" w:w="1768"/>
          </w:tcPr>
          <w:p>
            <w:r>
              <w:rPr>
                <w:rFonts w:ascii="Georgia" w:hAnsi="Georgia"/>
                <w:color w:val="4A4A4A"/>
                <w:sz w:val="19"/>
              </w:rPr>
              <w:t>HBM3E: 52.3% market share; sold out 2026 production</w:t>
            </w:r>
          </w:p>
        </w:tc>
        <w:tc>
          <w:tcPr>
            <w:tcW w:type="dxa" w:w="1768"/>
          </w:tcPr>
          <w:p>
            <w:r>
              <w:rPr>
                <w:rFonts w:ascii="Georgia" w:hAnsi="Georgia"/>
                <w:color w:val="4A4A4A"/>
                <w:sz w:val="19"/>
              </w:rPr>
              <w:t>BOJ carry trade unwinding; Samsung competition 2027</w:t>
            </w:r>
          </w:p>
        </w:tc>
      </w:tr>
    </w:tbl>
    <w:p>
      <w:pPr>
        <w:spacing w:after="160"/>
      </w:pPr>
    </w:p>
    <w:p>
      <w:pPr>
        <w:spacing w:before="200" w:after="40"/>
      </w:pPr>
      <w:r>
        <w:rPr>
          <w:rFonts w:ascii="Calibri" w:hAnsi="Calibri"/>
          <w:b/>
          <w:i w:val="0"/>
          <w:color w:val="B8960A"/>
          <w:sz w:val="22"/>
        </w:rPr>
        <w:t>5.2 — Frontier Agentic AI: From Tools to Actors</w:t>
      </w:r>
    </w:p>
    <w:p>
      <w:pPr>
        <w:spacing w:after="120"/>
      </w:pPr>
      <w:r>
        <w:rPr>
          <w:rFonts w:ascii="Georgia" w:hAnsi="Georgia"/>
          <w:b w:val="0"/>
          <w:i w:val="0"/>
          <w:color w:val="4A4A4A"/>
          <w:sz w:val="22"/>
        </w:rPr>
        <w:t>The transition from LLM-as-tool to LLM-as-agent is the most consequential near-term AI development. Agentic AI — systems that plan, tool-use, and execute multi-step tasks with minimal human oversight — creates both enormous productivity potential and significant governance challenges. Blue Lotus's Frontier Agentic AI Reference publication documents the current capability state: computer use (Claude, GPT-4o), code execution, web search, file management, and multi-agent orchestration are now production-grade. The critical unresolved questions are reliability (agentic systems fail in non-obvious ways), security (prompt injection at scale), and accountability (who is responsible when an agent takes a consequential wrong action).</w:t>
      </w:r>
    </w:p>
    <w:p>
      <w:pPr>
        <w:pStyle w:val="ListBullet"/>
        <w:spacing w:after="60"/>
        <w:ind w:left="360"/>
      </w:pPr>
      <w:r>
        <w:rPr>
          <w:rFonts w:ascii="Georgia" w:hAnsi="Georgia"/>
          <w:b/>
          <w:i w:val="0"/>
          <w:color w:val="0D1B2A"/>
          <w:sz w:val="21"/>
        </w:rPr>
        <w:t xml:space="preserve">Agentic Capability State: </w:t>
      </w:r>
      <w:r>
        <w:rPr>
          <w:rFonts w:ascii="Georgia" w:hAnsi="Georgia"/>
          <w:b w:val="0"/>
          <w:i w:val="0"/>
          <w:color w:val="4A4A4A"/>
          <w:sz w:val="21"/>
        </w:rPr>
        <w:t>Multi-step task completion: 60-70% success rate on realistic enterprise tasks (BenchMark 2026 data)</w:t>
      </w:r>
    </w:p>
    <w:p>
      <w:pPr>
        <w:pStyle w:val="ListBullet"/>
        <w:spacing w:after="60"/>
        <w:ind w:left="360"/>
      </w:pPr>
      <w:r>
        <w:rPr>
          <w:rFonts w:ascii="Georgia" w:hAnsi="Georgia"/>
          <w:b/>
          <w:i w:val="0"/>
          <w:color w:val="0D1B2A"/>
          <w:sz w:val="21"/>
        </w:rPr>
        <w:t xml:space="preserve">Software Development: </w:t>
      </w:r>
      <w:r>
        <w:rPr>
          <w:rFonts w:ascii="Georgia" w:hAnsi="Georgia"/>
          <w:b w:val="0"/>
          <w:i w:val="0"/>
          <w:color w:val="4A4A4A"/>
          <w:sz w:val="21"/>
        </w:rPr>
        <w:t>Code generation and debugging: near-human performance on standard benchmarks; below human on novel architectural design</w:t>
      </w:r>
    </w:p>
    <w:p>
      <w:pPr>
        <w:pStyle w:val="ListBullet"/>
        <w:spacing w:after="60"/>
        <w:ind w:left="360"/>
      </w:pPr>
      <w:r>
        <w:rPr>
          <w:rFonts w:ascii="Georgia" w:hAnsi="Georgia"/>
          <w:b/>
          <w:i w:val="0"/>
          <w:color w:val="0D1B2A"/>
          <w:sz w:val="21"/>
        </w:rPr>
        <w:t xml:space="preserve">Intelligence Analysis: </w:t>
      </w:r>
      <w:r>
        <w:rPr>
          <w:rFonts w:ascii="Georgia" w:hAnsi="Georgia"/>
          <w:b w:val="0"/>
          <w:i w:val="0"/>
          <w:color w:val="4A4A4A"/>
          <w:sz w:val="21"/>
        </w:rPr>
        <w:t>Research synthesis: superior to individual analysts on structured intelligence aggregation; below expert panels on novel hypothesis generation</w:t>
      </w:r>
    </w:p>
    <w:p>
      <w:pPr>
        <w:pStyle w:val="ListBullet"/>
        <w:spacing w:after="60"/>
        <w:ind w:left="360"/>
      </w:pPr>
      <w:r>
        <w:rPr>
          <w:rFonts w:ascii="Georgia" w:hAnsi="Georgia"/>
          <w:b/>
          <w:i w:val="0"/>
          <w:color w:val="0D1B2A"/>
          <w:sz w:val="21"/>
        </w:rPr>
        <w:t xml:space="preserve">Embodied AI: </w:t>
      </w:r>
      <w:r>
        <w:rPr>
          <w:rFonts w:ascii="Georgia" w:hAnsi="Georgia"/>
          <w:b w:val="0"/>
          <w:i w:val="0"/>
          <w:color w:val="4A4A4A"/>
          <w:sz w:val="21"/>
        </w:rPr>
        <w:t>Physical world integration: robotics remains 3-7 years behind software AI; Boston Dynamics, Figure, Unitree are leading commercial deployments</w:t>
      </w:r>
    </w:p>
    <w:p>
      <w:pPr>
        <w:spacing w:before="200" w:after="40"/>
      </w:pPr>
      <w:r>
        <w:rPr>
          <w:rFonts w:ascii="Calibri" w:hAnsi="Calibri"/>
          <w:b/>
          <w:i w:val="0"/>
          <w:color w:val="B8960A"/>
          <w:sz w:val="22"/>
        </w:rPr>
        <w:t>5.3 — Quantum Computing: The Next Semiconductor Arms Race</w:t>
      </w:r>
    </w:p>
    <w:p>
      <w:pPr>
        <w:spacing w:after="120"/>
      </w:pPr>
      <w:r>
        <w:rPr>
          <w:rFonts w:ascii="Georgia" w:hAnsi="Georgia"/>
          <w:b w:val="0"/>
          <w:i w:val="0"/>
          <w:color w:val="4A4A4A"/>
          <w:sz w:val="22"/>
        </w:rPr>
        <w:t>The race to fault-tolerant quantum computing (FTQC) — capable of breaking RSA-2048 encryption (the 'Cryptographically Relevant Quantum Computer', CRQC) — is the most consequential technological competition of the next decade. A CRQC would render current public-key cryptography obsolete, exposing decades of 'harvest now, decrypt later' data stockpiling. The strategic calculus: whichever nation achieves CRQC first gains unilateral access to the encrypted communications of every other nation on earth for the period their harvested data spans.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Milestone</w:t>
            </w:r>
          </w:p>
        </w:tc>
        <w:tc>
          <w:tcPr>
            <w:tcW w:type="dxa" w:w="1768"/>
          </w:tcPr>
          <w:p>
            <w:r>
              <w:rPr>
                <w:rFonts w:ascii="Calibri" w:hAnsi="Calibri"/>
                <w:b/>
                <w:color w:val="0D1B2A"/>
                <w:sz w:val="19"/>
              </w:rPr>
              <w:t>US Leader</w:t>
            </w:r>
          </w:p>
        </w:tc>
        <w:tc>
          <w:tcPr>
            <w:tcW w:type="dxa" w:w="1768"/>
          </w:tcPr>
          <w:p>
            <w:r>
              <w:rPr>
                <w:rFonts w:ascii="Calibri" w:hAnsi="Calibri"/>
                <w:b/>
                <w:color w:val="0D1B2A"/>
                <w:sz w:val="19"/>
              </w:rPr>
              <w:t>China Leader</w:t>
            </w:r>
          </w:p>
        </w:tc>
        <w:tc>
          <w:tcPr>
            <w:tcW w:type="dxa" w:w="1768"/>
          </w:tcPr>
          <w:p>
            <w:r>
              <w:rPr>
                <w:rFonts w:ascii="Calibri" w:hAnsi="Calibri"/>
                <w:b/>
                <w:color w:val="0D1B2A"/>
                <w:sz w:val="19"/>
              </w:rPr>
              <w:t>Timeline Estimate</w:t>
            </w:r>
          </w:p>
        </w:tc>
        <w:tc>
          <w:tcPr>
            <w:tcW w:type="dxa" w:w="1768"/>
          </w:tcPr>
          <w:p>
            <w:r>
              <w:rPr>
                <w:rFonts w:ascii="Calibri" w:hAnsi="Calibri"/>
                <w:b/>
                <w:color w:val="0D1B2A"/>
                <w:sz w:val="19"/>
              </w:rPr>
              <w:t>Strategic Stakes</w:t>
            </w:r>
          </w:p>
        </w:tc>
      </w:tr>
      <w:tr>
        <w:tc>
          <w:tcPr>
            <w:tcW w:type="dxa" w:w="1768"/>
          </w:tcPr>
          <w:p>
            <w:r>
              <w:rPr>
                <w:rFonts w:ascii="Georgia" w:hAnsi="Georgia"/>
                <w:color w:val="4A4A4A"/>
                <w:sz w:val="19"/>
              </w:rPr>
              <w:t>1,000+ logical qubits</w:t>
            </w:r>
          </w:p>
        </w:tc>
        <w:tc>
          <w:tcPr>
            <w:tcW w:type="dxa" w:w="1768"/>
          </w:tcPr>
          <w:p>
            <w:r>
              <w:rPr>
                <w:rFonts w:ascii="Georgia" w:hAnsi="Georgia"/>
                <w:color w:val="4A4A4A"/>
                <w:sz w:val="19"/>
              </w:rPr>
              <w:t>IBM Eagle (1,121q); Google Willow</w:t>
            </w:r>
          </w:p>
        </w:tc>
        <w:tc>
          <w:tcPr>
            <w:tcW w:type="dxa" w:w="1768"/>
          </w:tcPr>
          <w:p>
            <w:r>
              <w:rPr>
                <w:rFonts w:ascii="Georgia" w:hAnsi="Georgia"/>
                <w:color w:val="4A4A4A"/>
                <w:sz w:val="19"/>
              </w:rPr>
              <w:t>Origin Quantum, Jiuzhang 3.0</w:t>
            </w:r>
          </w:p>
        </w:tc>
        <w:tc>
          <w:tcPr>
            <w:tcW w:type="dxa" w:w="1768"/>
          </w:tcPr>
          <w:p>
            <w:r>
              <w:rPr>
                <w:rFonts w:ascii="Georgia" w:hAnsi="Georgia"/>
                <w:color w:val="4A4A4A"/>
                <w:sz w:val="19"/>
              </w:rPr>
              <w:t>Achieved 2024-2025</w:t>
            </w:r>
          </w:p>
        </w:tc>
        <w:tc>
          <w:tcPr>
            <w:tcW w:type="dxa" w:w="1768"/>
          </w:tcPr>
          <w:p>
            <w:r>
              <w:rPr>
                <w:rFonts w:ascii="Georgia" w:hAnsi="Georgia"/>
                <w:color w:val="4A4A4A"/>
                <w:sz w:val="19"/>
              </w:rPr>
              <w:t>Proof of scaling</w:t>
            </w:r>
          </w:p>
        </w:tc>
      </w:tr>
      <w:tr>
        <w:tc>
          <w:tcPr>
            <w:tcW w:type="dxa" w:w="1768"/>
          </w:tcPr>
          <w:p>
            <w:r>
              <w:rPr>
                <w:rFonts w:ascii="Georgia" w:hAnsi="Georgia"/>
                <w:color w:val="4A4A4A"/>
                <w:sz w:val="19"/>
              </w:rPr>
              <w:t>Error-corrected logical qubit</w:t>
            </w:r>
          </w:p>
        </w:tc>
        <w:tc>
          <w:tcPr>
            <w:tcW w:type="dxa" w:w="1768"/>
          </w:tcPr>
          <w:p>
            <w:r>
              <w:rPr>
                <w:rFonts w:ascii="Georgia" w:hAnsi="Georgia"/>
                <w:color w:val="4A4A4A"/>
                <w:sz w:val="19"/>
              </w:rPr>
              <w:t>Microsoft (topological); IBM</w:t>
            </w:r>
          </w:p>
        </w:tc>
        <w:tc>
          <w:tcPr>
            <w:tcW w:type="dxa" w:w="1768"/>
          </w:tcPr>
          <w:p>
            <w:r>
              <w:rPr>
                <w:rFonts w:ascii="Georgia" w:hAnsi="Georgia"/>
                <w:color w:val="4A4A4A"/>
                <w:sz w:val="19"/>
              </w:rPr>
              <w:t>BAQIS Institute</w:t>
            </w:r>
          </w:p>
        </w:tc>
        <w:tc>
          <w:tcPr>
            <w:tcW w:type="dxa" w:w="1768"/>
          </w:tcPr>
          <w:p>
            <w:r>
              <w:rPr>
                <w:rFonts w:ascii="Georgia" w:hAnsi="Georgia"/>
                <w:color w:val="4A4A4A"/>
                <w:sz w:val="19"/>
              </w:rPr>
              <w:t>2026-2028</w:t>
            </w:r>
          </w:p>
        </w:tc>
        <w:tc>
          <w:tcPr>
            <w:tcW w:type="dxa" w:w="1768"/>
          </w:tcPr>
          <w:p>
            <w:r>
              <w:rPr>
                <w:rFonts w:ascii="Georgia" w:hAnsi="Georgia"/>
                <w:color w:val="4A4A4A"/>
                <w:sz w:val="19"/>
              </w:rPr>
              <w:t>Gateway to practical advantage</w:t>
            </w:r>
          </w:p>
        </w:tc>
      </w:tr>
      <w:tr>
        <w:tc>
          <w:tcPr>
            <w:tcW w:type="dxa" w:w="1768"/>
          </w:tcPr>
          <w:p>
            <w:r>
              <w:rPr>
                <w:rFonts w:ascii="Georgia" w:hAnsi="Georgia"/>
                <w:color w:val="4A4A4A"/>
                <w:sz w:val="19"/>
              </w:rPr>
              <w:t>100 logical qubits (fault-tolerant)</w:t>
            </w:r>
          </w:p>
        </w:tc>
        <w:tc>
          <w:tcPr>
            <w:tcW w:type="dxa" w:w="1768"/>
          </w:tcPr>
          <w:p>
            <w:r>
              <w:rPr>
                <w:rFonts w:ascii="Georgia" w:hAnsi="Georgia"/>
                <w:color w:val="4A4A4A"/>
                <w:sz w:val="19"/>
              </w:rPr>
              <w:t>Google / Microsoft race</w:t>
            </w:r>
          </w:p>
        </w:tc>
        <w:tc>
          <w:tcPr>
            <w:tcW w:type="dxa" w:w="1768"/>
          </w:tcPr>
          <w:p>
            <w:r>
              <w:rPr>
                <w:rFonts w:ascii="Georgia" w:hAnsi="Georgia"/>
                <w:color w:val="4A4A4A"/>
                <w:sz w:val="19"/>
              </w:rPr>
              <w:t>State-sponsored QUANTA programme</w:t>
            </w:r>
          </w:p>
        </w:tc>
        <w:tc>
          <w:tcPr>
            <w:tcW w:type="dxa" w:w="1768"/>
          </w:tcPr>
          <w:p>
            <w:r>
              <w:rPr>
                <w:rFonts w:ascii="Georgia" w:hAnsi="Georgia"/>
                <w:color w:val="4A4A4A"/>
                <w:sz w:val="19"/>
              </w:rPr>
              <w:t>2028-2032</w:t>
            </w:r>
          </w:p>
        </w:tc>
        <w:tc>
          <w:tcPr>
            <w:tcW w:type="dxa" w:w="1768"/>
          </w:tcPr>
          <w:p>
            <w:r>
              <w:rPr>
                <w:rFonts w:ascii="Georgia" w:hAnsi="Georgia"/>
                <w:color w:val="4A4A4A"/>
                <w:sz w:val="19"/>
              </w:rPr>
              <w:t>Practical quantum advantage begins</w:t>
            </w:r>
          </w:p>
        </w:tc>
      </w:tr>
      <w:tr>
        <w:tc>
          <w:tcPr>
            <w:tcW w:type="dxa" w:w="1768"/>
          </w:tcPr>
          <w:p>
            <w:r>
              <w:rPr>
                <w:rFonts w:ascii="Georgia" w:hAnsi="Georgia"/>
                <w:color w:val="4A4A4A"/>
                <w:sz w:val="19"/>
              </w:rPr>
              <w:t>CRQC (RSA-2048 break)</w:t>
            </w:r>
          </w:p>
        </w:tc>
        <w:tc>
          <w:tcPr>
            <w:tcW w:type="dxa" w:w="1768"/>
          </w:tcPr>
          <w:p>
            <w:r>
              <w:rPr>
                <w:rFonts w:ascii="Georgia" w:hAnsi="Georgia"/>
                <w:color w:val="4A4A4A"/>
                <w:sz w:val="19"/>
              </w:rPr>
              <w:t>NIST estimates: 10-20 years</w:t>
            </w:r>
          </w:p>
        </w:tc>
        <w:tc>
          <w:tcPr>
            <w:tcW w:type="dxa" w:w="1768"/>
          </w:tcPr>
          <w:p>
            <w:r>
              <w:rPr>
                <w:rFonts w:ascii="Georgia" w:hAnsi="Georgia"/>
                <w:color w:val="4A4A4A"/>
                <w:sz w:val="19"/>
              </w:rPr>
              <w:t>Classified; likely similar timeline</w:t>
            </w:r>
          </w:p>
        </w:tc>
        <w:tc>
          <w:tcPr>
            <w:tcW w:type="dxa" w:w="1768"/>
          </w:tcPr>
          <w:p>
            <w:r>
              <w:rPr>
                <w:rFonts w:ascii="Georgia" w:hAnsi="Georgia"/>
                <w:color w:val="4A4A4A"/>
                <w:sz w:val="19"/>
              </w:rPr>
              <w:t>2033-2040</w:t>
            </w:r>
          </w:p>
        </w:tc>
        <w:tc>
          <w:tcPr>
            <w:tcW w:type="dxa" w:w="1768"/>
          </w:tcPr>
          <w:p>
            <w:r>
              <w:rPr>
                <w:rFonts w:ascii="Georgia" w:hAnsi="Georgia"/>
                <w:color w:val="4A4A4A"/>
                <w:sz w:val="19"/>
              </w:rPr>
              <w:t>Cryptographic apocalypse threshold</w:t>
            </w:r>
          </w:p>
        </w:tc>
      </w:tr>
    </w:tbl>
    <w:p>
      <w:pPr>
        <w:spacing w:after="160"/>
      </w:pPr>
    </w:p>
    <w:p>
      <w:pPr>
        <w:spacing w:before="200" w:after="40"/>
      </w:pPr>
      <w:r>
        <w:rPr>
          <w:rFonts w:ascii="Calibri" w:hAnsi="Calibri"/>
          <w:b/>
          <w:i w:val="0"/>
          <w:color w:val="B8960A"/>
          <w:sz w:val="22"/>
        </w:rPr>
        <w:t>5.4 — Space: The Starlink Revolution and Commercial Frontier</w:t>
      </w:r>
    </w:p>
    <w:p>
      <w:pPr>
        <w:spacing w:after="120"/>
      </w:pPr>
      <w:r>
        <w:rPr>
          <w:rFonts w:ascii="Georgia" w:hAnsi="Georgia"/>
          <w:b w:val="0"/>
          <w:i w:val="0"/>
          <w:color w:val="4A4A4A"/>
          <w:sz w:val="22"/>
        </w:rPr>
        <w:t>Starlink has done what no previous dual-use technology has done so rapidly: created battlefield internet connectivity that reshaped a peer-level conflict within 18 months of deployment at scale. Ukraine's army ran on Starlink. The lesson absorbed by every military in 2026: space-based broadband is as strategically critical as the aircraft carrier was in 1942. Starlink at 6,000+ satellites (targeting 42,000) and $6B+ revenue is now profitable and strategically irreplaceable. China's Guowang (G60) constellation is 3-5 years behind. The commercial space economy beyond Starlink — earth observation, in-orbit manufacturing, lunar resources — is a genuine $1T+ market by 2040.</w:t>
      </w:r>
    </w:p>
    <w:p>
      <w:pPr>
        <w:spacing w:before="200" w:after="40"/>
      </w:pPr>
      <w:r>
        <w:rPr>
          <w:rFonts w:ascii="Calibri" w:hAnsi="Calibri"/>
          <w:b/>
          <w:i w:val="0"/>
          <w:color w:val="B8960A"/>
          <w:sz w:val="22"/>
        </w:rPr>
        <w:t>5.5 — The Biology Revolution: mRNA, CRISPR, Synthetic Biology</w:t>
      </w:r>
    </w:p>
    <w:p>
      <w:pPr>
        <w:spacing w:after="120"/>
      </w:pPr>
      <w:r>
        <w:rPr>
          <w:rFonts w:ascii="Georgia" w:hAnsi="Georgia"/>
          <w:b w:val="0"/>
          <w:i w:val="0"/>
          <w:color w:val="4A4A4A"/>
          <w:sz w:val="22"/>
        </w:rPr>
        <w:t>The COVID-19 mRNA vaccine platform that reached 100M doses in 100 days is now being applied to cancer (personalised cancer vaccines), infectious disease (RSV, HIV, malaria), and metabolic disorders (obesity: GLP-1 mRNA versus injectable). CRISPR therapeutics achieved the first regulatory approval (sickle cell, 2023) and the first in-vivo liver edit (transthyretin amyloidosis, 2024). The market is $150B by 2030 for mRNA and $30B by 2028 for CRISPR therapeutics. The dual-use concern is legitimate: synthetic biology tools capable of designing vaccines are also capable of designing pathogens. The governance framework for synthetic biology biosafety is at least 10 years behind the technology.</w:t>
      </w:r>
    </w:p>
    <w:p>
      <w:r>
        <w:br w:type="page"/>
      </w:r>
    </w:p>
    <w:p>
      <w:pPr>
        <w:spacing w:before="440" w:after="120"/>
      </w:pPr>
      <w:r>
        <w:rPr>
          <w:rFonts w:ascii="Calibri" w:hAnsi="Calibri"/>
          <w:b/>
          <w:i w:val="0"/>
          <w:color w:val="0D1B2A"/>
          <w:sz w:val="30"/>
        </w:rPr>
        <w:t>PART VI: THE CAPITAL BATTLEGROUND — DEBT, CHIPS, GULF, GREEN, CRYPTO</w:t>
      </w:r>
    </w:p>
    <w:p>
      <w:pPr>
        <w:pBdr>
          <w:bottom w:val="single" w:sz="6" w:space="1" w:color="B8960A"/>
        </w:pBdr>
        <w:spacing w:after="80"/>
      </w:pPr>
    </w:p>
    <w:p>
      <w:pPr>
        <w:spacing w:before="280" w:after="60"/>
      </w:pPr>
      <w:r>
        <w:rPr>
          <w:rFonts w:ascii="Calibri" w:hAnsi="Calibri"/>
          <w:b/>
          <w:i w:val="0"/>
          <w:color w:val="0D1B2A"/>
          <w:sz w:val="24"/>
        </w:rPr>
        <w:t>6.1 — America's Industrial Bet vs. the Debt Clock</w:t>
      </w:r>
    </w:p>
    <w:p>
      <w:pPr>
        <w:spacing w:after="120"/>
      </w:pPr>
      <w:r>
        <w:rPr>
          <w:rFonts w:ascii="Georgia" w:hAnsi="Georgia"/>
          <w:b w:val="0"/>
          <w:i w:val="0"/>
          <w:color w:val="4A4A4A"/>
          <w:sz w:val="22"/>
        </w:rPr>
        <w:t>The United States is attempting to re-industrialise while carrying $36 trillion in national debt and a structural fiscal deficit of $1.5-2T per year. The CHIPS Act ($52B direct investment, $24B tax credits, $11B R&amp;D) is the centrepiece — an explicit bet that national security-motivated industrial policy can reverse 30 years of semiconductor offshoring. The first domestically produced advanced-node chips (TSMC Arizona, Intel Ohio) are now in limited production. But the strategic reality is unchanged at the margin: TSMC still controls 90% of advanced node manufacturing; ASML still sells every EUV machine that makes those chips; and the $52B CHIPS Act is being funded by a government that is itself borrowing at $1.5T/year.</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US Fiscal Position, July 2026:</w:t>
      </w:r>
      <w:r>
        <w:br/>
      </w:r>
      <w:r>
        <w:rPr>
          <w:rFonts w:ascii="Georgia" w:hAnsi="Georgia"/>
          <w:b w:val="0"/>
          <w:i/>
          <w:color w:val="4A4A4A"/>
          <w:sz w:val="19"/>
        </w:rPr>
        <w:t>National Debt: $36.2T  |  Deficit: ~$1.8T/year  |  Interest Cost: $1.1T/year (largest budget line)</w:t>
        <w:br/>
        <w:t>CHIPS Act spend: $52B (one-time)  |  TSMC Arizona: N3 node, 2026 production  |  Intel Ohio: 2027 target</w:t>
        <w:br/>
        <w:t>CPI (May 2026): &gt;5% (ISM services prices 71.3)  |  Fed Funds Rate: 4.75%  |  Debt/GDP: ~130%</w:t>
      </w:r>
    </w:p>
    <w:p>
      <w:pPr>
        <w:spacing w:before="280" w:after="60"/>
      </w:pPr>
      <w:r>
        <w:rPr>
          <w:rFonts w:ascii="Calibri" w:hAnsi="Calibri"/>
          <w:b/>
          <w:i w:val="0"/>
          <w:color w:val="0D1B2A"/>
          <w:sz w:val="24"/>
        </w:rPr>
        <w:t>6.2 — Gulf Sovereign Wealth: The World's New Capital Allocator</w:t>
      </w:r>
    </w:p>
    <w:p>
      <w:pPr>
        <w:spacing w:after="120"/>
      </w:pPr>
      <w:r>
        <w:rPr>
          <w:rFonts w:ascii="Georgia" w:hAnsi="Georgia"/>
          <w:b w:val="0"/>
          <w:i w:val="0"/>
          <w:color w:val="4A4A4A"/>
          <w:sz w:val="22"/>
        </w:rPr>
        <w:t>The Gulf sovereign wealth funds — Saudi PIF ($700B+ AUM), UAE ADIA ($1T+), Qatar QIA ($475B), Abu Dhabi Mubadala ($280B) — have emerged as the world's most consequential capital allocators after the Dual Blockade oil price spike temporarily inflated hydrocarbon revenues above $100/bbl. These funds are not passive investors. They are executing a deliberate strategy of economic diversification (buying assets that will remain valuable as fossil fuels decline) while maintaining geopolitical flexibility (simultaneously invested in US, China, Europe, India, and Africa). The Gulf is the financial Switzerland of the multipolar era.</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Fund</w:t>
            </w:r>
          </w:p>
        </w:tc>
        <w:tc>
          <w:tcPr>
            <w:tcW w:type="dxa" w:w="2209"/>
          </w:tcPr>
          <w:p>
            <w:r>
              <w:rPr>
                <w:rFonts w:ascii="Calibri" w:hAnsi="Calibri"/>
                <w:b/>
                <w:color w:val="0D1B2A"/>
                <w:sz w:val="19"/>
              </w:rPr>
              <w:t>AUM (2026)</w:t>
            </w:r>
          </w:p>
        </w:tc>
        <w:tc>
          <w:tcPr>
            <w:tcW w:type="dxa" w:w="2209"/>
          </w:tcPr>
          <w:p>
            <w:r>
              <w:rPr>
                <w:rFonts w:ascii="Calibri" w:hAnsi="Calibri"/>
                <w:b/>
                <w:color w:val="0D1B2A"/>
                <w:sz w:val="19"/>
              </w:rPr>
              <w:t>Top Investments</w:t>
            </w:r>
          </w:p>
        </w:tc>
        <w:tc>
          <w:tcPr>
            <w:tcW w:type="dxa" w:w="2209"/>
          </w:tcPr>
          <w:p>
            <w:r>
              <w:rPr>
                <w:rFonts w:ascii="Calibri" w:hAnsi="Calibri"/>
                <w:b/>
                <w:color w:val="0D1B2A"/>
                <w:sz w:val="19"/>
              </w:rPr>
              <w:t>Strategic Objective</w:t>
            </w:r>
          </w:p>
        </w:tc>
      </w:tr>
      <w:tr>
        <w:tc>
          <w:tcPr>
            <w:tcW w:type="dxa" w:w="2209"/>
          </w:tcPr>
          <w:p>
            <w:r>
              <w:rPr>
                <w:rFonts w:ascii="Georgia" w:hAnsi="Georgia"/>
                <w:color w:val="4A4A4A"/>
                <w:sz w:val="19"/>
              </w:rPr>
              <w:t>Saudi PIF</w:t>
            </w:r>
          </w:p>
        </w:tc>
        <w:tc>
          <w:tcPr>
            <w:tcW w:type="dxa" w:w="2209"/>
          </w:tcPr>
          <w:p>
            <w:r>
              <w:rPr>
                <w:rFonts w:ascii="Georgia" w:hAnsi="Georgia"/>
                <w:color w:val="4A4A4A"/>
                <w:sz w:val="19"/>
              </w:rPr>
              <w:t>$700B+</w:t>
            </w:r>
          </w:p>
        </w:tc>
        <w:tc>
          <w:tcPr>
            <w:tcW w:type="dxa" w:w="2209"/>
          </w:tcPr>
          <w:p>
            <w:r>
              <w:rPr>
                <w:rFonts w:ascii="Georgia" w:hAnsi="Georgia"/>
                <w:color w:val="4A4A4A"/>
                <w:sz w:val="19"/>
              </w:rPr>
              <w:t>NEOM, SoftBank Vision, Lucid Motors, golf (LIV), esports, Newcastle Utd</w:t>
            </w:r>
          </w:p>
        </w:tc>
        <w:tc>
          <w:tcPr>
            <w:tcW w:type="dxa" w:w="2209"/>
          </w:tcPr>
          <w:p>
            <w:r>
              <w:rPr>
                <w:rFonts w:ascii="Georgia" w:hAnsi="Georgia"/>
                <w:color w:val="4A4A4A"/>
                <w:sz w:val="19"/>
              </w:rPr>
              <w:t>Vision 2030: post-oil Saudi Arabia by 2030</w:t>
            </w:r>
          </w:p>
        </w:tc>
      </w:tr>
      <w:tr>
        <w:tc>
          <w:tcPr>
            <w:tcW w:type="dxa" w:w="2209"/>
          </w:tcPr>
          <w:p>
            <w:r>
              <w:rPr>
                <w:rFonts w:ascii="Georgia" w:hAnsi="Georgia"/>
                <w:color w:val="4A4A4A"/>
                <w:sz w:val="19"/>
              </w:rPr>
              <w:t>UAE ADIA</w:t>
            </w:r>
          </w:p>
        </w:tc>
        <w:tc>
          <w:tcPr>
            <w:tcW w:type="dxa" w:w="2209"/>
          </w:tcPr>
          <w:p>
            <w:r>
              <w:rPr>
                <w:rFonts w:ascii="Georgia" w:hAnsi="Georgia"/>
                <w:color w:val="4A4A4A"/>
                <w:sz w:val="19"/>
              </w:rPr>
              <w:t>$1T+</w:t>
            </w:r>
          </w:p>
        </w:tc>
        <w:tc>
          <w:tcPr>
            <w:tcW w:type="dxa" w:w="2209"/>
          </w:tcPr>
          <w:p>
            <w:r>
              <w:rPr>
                <w:rFonts w:ascii="Georgia" w:hAnsi="Georgia"/>
                <w:color w:val="4A4A4A"/>
                <w:sz w:val="19"/>
              </w:rPr>
              <w:t>US/European equities, infrastructure, alternative assets</w:t>
            </w:r>
          </w:p>
        </w:tc>
        <w:tc>
          <w:tcPr>
            <w:tcW w:type="dxa" w:w="2209"/>
          </w:tcPr>
          <w:p>
            <w:r>
              <w:rPr>
                <w:rFonts w:ascii="Georgia" w:hAnsi="Georgia"/>
                <w:color w:val="4A4A4A"/>
                <w:sz w:val="19"/>
              </w:rPr>
              <w:t>Intergenerational wealth; Abu Dhabi development</w:t>
            </w:r>
          </w:p>
        </w:tc>
      </w:tr>
      <w:tr>
        <w:tc>
          <w:tcPr>
            <w:tcW w:type="dxa" w:w="2209"/>
          </w:tcPr>
          <w:p>
            <w:r>
              <w:rPr>
                <w:rFonts w:ascii="Georgia" w:hAnsi="Georgia"/>
                <w:color w:val="4A4A4A"/>
                <w:sz w:val="19"/>
              </w:rPr>
              <w:t>Qatar QIA</w:t>
            </w:r>
          </w:p>
        </w:tc>
        <w:tc>
          <w:tcPr>
            <w:tcW w:type="dxa" w:w="2209"/>
          </w:tcPr>
          <w:p>
            <w:r>
              <w:rPr>
                <w:rFonts w:ascii="Georgia" w:hAnsi="Georgia"/>
                <w:color w:val="4A4A4A"/>
                <w:sz w:val="19"/>
              </w:rPr>
              <w:t>$475B</w:t>
            </w:r>
          </w:p>
        </w:tc>
        <w:tc>
          <w:tcPr>
            <w:tcW w:type="dxa" w:w="2209"/>
          </w:tcPr>
          <w:p>
            <w:r>
              <w:rPr>
                <w:rFonts w:ascii="Georgia" w:hAnsi="Georgia"/>
                <w:color w:val="4A4A4A"/>
                <w:sz w:val="19"/>
              </w:rPr>
              <w:t>Barclays, Volkswagen, Heathrow, luxury brands (Harrods)</w:t>
            </w:r>
          </w:p>
        </w:tc>
        <w:tc>
          <w:tcPr>
            <w:tcW w:type="dxa" w:w="2209"/>
          </w:tcPr>
          <w:p>
            <w:r>
              <w:rPr>
                <w:rFonts w:ascii="Georgia" w:hAnsi="Georgia"/>
                <w:color w:val="4A4A4A"/>
                <w:sz w:val="19"/>
              </w:rPr>
              <w:t>Geopolitical diversification; Europe anchor</w:t>
            </w:r>
          </w:p>
        </w:tc>
      </w:tr>
      <w:tr>
        <w:tc>
          <w:tcPr>
            <w:tcW w:type="dxa" w:w="2209"/>
          </w:tcPr>
          <w:p>
            <w:r>
              <w:rPr>
                <w:rFonts w:ascii="Georgia" w:hAnsi="Georgia"/>
                <w:color w:val="4A4A4A"/>
                <w:sz w:val="19"/>
              </w:rPr>
              <w:t>Abu Dhabi Mubadala</w:t>
            </w:r>
          </w:p>
        </w:tc>
        <w:tc>
          <w:tcPr>
            <w:tcW w:type="dxa" w:w="2209"/>
          </w:tcPr>
          <w:p>
            <w:r>
              <w:rPr>
                <w:rFonts w:ascii="Georgia" w:hAnsi="Georgia"/>
                <w:color w:val="4A4A4A"/>
                <w:sz w:val="19"/>
              </w:rPr>
              <w:t>$280B</w:t>
            </w:r>
          </w:p>
        </w:tc>
        <w:tc>
          <w:tcPr>
            <w:tcW w:type="dxa" w:w="2209"/>
          </w:tcPr>
          <w:p>
            <w:r>
              <w:rPr>
                <w:rFonts w:ascii="Georgia" w:hAnsi="Georgia"/>
                <w:color w:val="4A4A4A"/>
                <w:sz w:val="19"/>
              </w:rPr>
              <w:t>Global Foundries (chips), Fortress (PE), Uber, AI startups</w:t>
            </w:r>
          </w:p>
        </w:tc>
        <w:tc>
          <w:tcPr>
            <w:tcW w:type="dxa" w:w="2209"/>
          </w:tcPr>
          <w:p>
            <w:r>
              <w:rPr>
                <w:rFonts w:ascii="Georgia" w:hAnsi="Georgia"/>
                <w:color w:val="4A4A4A"/>
                <w:sz w:val="19"/>
              </w:rPr>
              <w:t>Technology sector building; AI hub ambition</w:t>
            </w:r>
          </w:p>
        </w:tc>
      </w:tr>
    </w:tbl>
    <w:p>
      <w:pPr>
        <w:spacing w:after="160"/>
      </w:pPr>
    </w:p>
    <w:p>
      <w:pPr>
        <w:spacing w:before="280" w:after="60"/>
      </w:pPr>
      <w:r>
        <w:rPr>
          <w:rFonts w:ascii="Calibri" w:hAnsi="Calibri"/>
          <w:b/>
          <w:i w:val="0"/>
          <w:color w:val="0D1B2A"/>
          <w:sz w:val="24"/>
        </w:rPr>
        <w:t>6.3 — The $1 Trillion Green Race</w:t>
      </w:r>
    </w:p>
    <w:p>
      <w:pPr>
        <w:spacing w:after="120"/>
      </w:pPr>
      <w:r>
        <w:rPr>
          <w:rFonts w:ascii="Georgia" w:hAnsi="Georgia"/>
          <w:b w:val="0"/>
          <w:i w:val="0"/>
          <w:color w:val="4A4A4A"/>
          <w:sz w:val="22"/>
        </w:rPr>
        <w:t>The global energy transition is generating the most intensive capital deployment competition since the post-WWII reconstruction. Solar manufacturing capacity (China 80%+ market share), lithium processing (China 60%+ share), EV battery production (China 75%+ share), and rare earth processing (China 85%+ share) represent a Chinese monopoly over the physical infrastructure of the green economy. Western nations are spending $1T+ attempting to break this monopoly through the IRA ($370B US), EU Green Deal (€1T), and bilateral agreements with producing nations. The race is genuinely open — the technology lead (established) is being challenged by the manufacturing build (catching up). Timeline to parity: 8-12 years, assuming policy continuity.</w:t>
      </w:r>
    </w:p>
    <w:p>
      <w:pPr>
        <w:spacing w:before="280" w:after="60"/>
      </w:pPr>
      <w:r>
        <w:rPr>
          <w:rFonts w:ascii="Calibri" w:hAnsi="Calibri"/>
          <w:b/>
          <w:i w:val="0"/>
          <w:color w:val="0D1B2A"/>
          <w:sz w:val="24"/>
        </w:rPr>
        <w:t>6.4 — Bitcoin's Geopolitical Moment: De-Dollarisation and Strategic Reserves</w:t>
      </w:r>
    </w:p>
    <w:p>
      <w:pPr>
        <w:spacing w:after="120"/>
      </w:pPr>
      <w:r>
        <w:rPr>
          <w:rFonts w:ascii="Georgia" w:hAnsi="Georgia"/>
          <w:b w:val="0"/>
          <w:i w:val="0"/>
          <w:color w:val="4A4A4A"/>
          <w:sz w:val="22"/>
        </w:rPr>
        <w:t>Bitcoin has crossed from speculative asset to geopolitical instrument. Trump's Executive Order of March 2025 established a US Strategic Bitcoin Reserve (200,000+ BTC confiscated from law enforcement actions). At least 12 nations are studying or implementing national Bitcoin reserve policies. The de-dollarisation narrative — BRICS+ nations seeking to reduce USD dependency — intersects with Bitcoin as a neutral reserve asset that no government controls. The irony: the US, which built the dollar's reserve status, is simultaneously the world's largest holder of Bitcoin — hedging its own monetary hegemony. Gold at $3,200+/oz (2026) and Bitcoin at $90,000+ reflect the same macro trade: distrust of fiat monetary management in an era of $300T global debt.</w:t>
      </w:r>
    </w:p>
    <w:p>
      <w:r>
        <w:br w:type="page"/>
      </w:r>
    </w:p>
    <w:p>
      <w:pPr>
        <w:spacing w:before="440" w:after="120"/>
      </w:pPr>
      <w:r>
        <w:rPr>
          <w:rFonts w:ascii="Calibri" w:hAnsi="Calibri"/>
          <w:b/>
          <w:i w:val="0"/>
          <w:color w:val="0D1B2A"/>
          <w:sz w:val="30"/>
        </w:rPr>
        <w:t>PART VII: THE RESOURCE WARS — RARE EARTHS, LITHIUM, CRITICAL MINERALS</w:t>
      </w:r>
    </w:p>
    <w:p>
      <w:pPr>
        <w:pBdr>
          <w:bottom w:val="single" w:sz="6" w:space="1" w:color="B8960A"/>
        </w:pBdr>
        <w:spacing w:after="80"/>
      </w:pPr>
    </w:p>
    <w:p>
      <w:pPr>
        <w:spacing w:after="120"/>
      </w:pPr>
      <w:r>
        <w:rPr>
          <w:rFonts w:ascii="Georgia" w:hAnsi="Georgia"/>
          <w:b w:val="0"/>
          <w:i w:val="0"/>
          <w:color w:val="4A4A4A"/>
          <w:sz w:val="22"/>
        </w:rPr>
        <w:t>The AI revolution, the green energy transition, and the quantum computing race all share a single material dependency: a set of 17 rare earth elements and 30+ critical minerals, the processing of which is concentrated in China to a degree that creates a structural vulnerability in every Western technology strategy. This is not an emerging risk — it is a present strategic reality that was ignored for three decades and is now being addressed at enormous cost with uncertain timelines.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Critical Material</w:t>
            </w:r>
          </w:p>
        </w:tc>
        <w:tc>
          <w:tcPr>
            <w:tcW w:type="dxa" w:w="1768"/>
          </w:tcPr>
          <w:p>
            <w:r>
              <w:rPr>
                <w:rFonts w:ascii="Calibri" w:hAnsi="Calibri"/>
                <w:b/>
                <w:color w:val="0D1B2A"/>
                <w:sz w:val="19"/>
              </w:rPr>
              <w:t>Global Demand Driver</w:t>
            </w:r>
          </w:p>
        </w:tc>
        <w:tc>
          <w:tcPr>
            <w:tcW w:type="dxa" w:w="1768"/>
          </w:tcPr>
          <w:p>
            <w:r>
              <w:rPr>
                <w:rFonts w:ascii="Calibri" w:hAnsi="Calibri"/>
                <w:b/>
                <w:color w:val="0D1B2A"/>
                <w:sz w:val="19"/>
              </w:rPr>
              <w:t>China's Processing Share</w:t>
            </w:r>
          </w:p>
        </w:tc>
        <w:tc>
          <w:tcPr>
            <w:tcW w:type="dxa" w:w="1768"/>
          </w:tcPr>
          <w:p>
            <w:r>
              <w:rPr>
                <w:rFonts w:ascii="Calibri" w:hAnsi="Calibri"/>
                <w:b/>
                <w:color w:val="0D1B2A"/>
                <w:sz w:val="19"/>
              </w:rPr>
              <w:t>US/West Share</w:t>
            </w:r>
          </w:p>
        </w:tc>
        <w:tc>
          <w:tcPr>
            <w:tcW w:type="dxa" w:w="1768"/>
          </w:tcPr>
          <w:p>
            <w:r>
              <w:rPr>
                <w:rFonts w:ascii="Calibri" w:hAnsi="Calibri"/>
                <w:b/>
                <w:color w:val="0D1B2A"/>
                <w:sz w:val="19"/>
              </w:rPr>
              <w:t>Diversification Timeline</w:t>
            </w:r>
          </w:p>
        </w:tc>
      </w:tr>
      <w:tr>
        <w:tc>
          <w:tcPr>
            <w:tcW w:type="dxa" w:w="1768"/>
          </w:tcPr>
          <w:p>
            <w:r>
              <w:rPr>
                <w:rFonts w:ascii="Georgia" w:hAnsi="Georgia"/>
                <w:color w:val="4A4A4A"/>
                <w:sz w:val="19"/>
              </w:rPr>
              <w:t>Rare Earth Oxides (17 elements)</w:t>
            </w:r>
          </w:p>
        </w:tc>
        <w:tc>
          <w:tcPr>
            <w:tcW w:type="dxa" w:w="1768"/>
          </w:tcPr>
          <w:p>
            <w:r>
              <w:rPr>
                <w:rFonts w:ascii="Georgia" w:hAnsi="Georgia"/>
                <w:color w:val="4A4A4A"/>
                <w:sz w:val="19"/>
              </w:rPr>
              <w:t>EV motors, wind turbines, defence systems, AI hardware magnets</w:t>
            </w:r>
          </w:p>
        </w:tc>
        <w:tc>
          <w:tcPr>
            <w:tcW w:type="dxa" w:w="1768"/>
          </w:tcPr>
          <w:p>
            <w:r>
              <w:rPr>
                <w:rFonts w:ascii="Georgia" w:hAnsi="Georgia"/>
                <w:color w:val="4A4A4A"/>
                <w:sz w:val="19"/>
              </w:rPr>
              <w:t>85-90%</w:t>
            </w:r>
          </w:p>
        </w:tc>
        <w:tc>
          <w:tcPr>
            <w:tcW w:type="dxa" w:w="1768"/>
          </w:tcPr>
          <w:p>
            <w:r>
              <w:rPr>
                <w:rFonts w:ascii="Georgia" w:hAnsi="Georgia"/>
                <w:color w:val="4A4A4A"/>
                <w:sz w:val="19"/>
              </w:rPr>
              <w:t>~5-8%</w:t>
            </w:r>
          </w:p>
        </w:tc>
        <w:tc>
          <w:tcPr>
            <w:tcW w:type="dxa" w:w="1768"/>
          </w:tcPr>
          <w:p>
            <w:r>
              <w:rPr>
                <w:rFonts w:ascii="Georgia" w:hAnsi="Georgia"/>
                <w:color w:val="4A4A4A"/>
                <w:sz w:val="19"/>
              </w:rPr>
              <w:t>8-12 years (MP Materials, Lynas)</w:t>
            </w:r>
          </w:p>
        </w:tc>
      </w:tr>
      <w:tr>
        <w:tc>
          <w:tcPr>
            <w:tcW w:type="dxa" w:w="1768"/>
          </w:tcPr>
          <w:p>
            <w:r>
              <w:rPr>
                <w:rFonts w:ascii="Georgia" w:hAnsi="Georgia"/>
                <w:color w:val="4A4A4A"/>
                <w:sz w:val="19"/>
              </w:rPr>
              <w:t>Lithium (Li)</w:t>
            </w:r>
          </w:p>
        </w:tc>
        <w:tc>
          <w:tcPr>
            <w:tcW w:type="dxa" w:w="1768"/>
          </w:tcPr>
          <w:p>
            <w:r>
              <w:rPr>
                <w:rFonts w:ascii="Georgia" w:hAnsi="Georgia"/>
                <w:color w:val="4A4A4A"/>
                <w:sz w:val="19"/>
              </w:rPr>
              <w:t>EV batteries; grid storage; AI data centre UPS</w:t>
            </w:r>
          </w:p>
        </w:tc>
        <w:tc>
          <w:tcPr>
            <w:tcW w:type="dxa" w:w="1768"/>
          </w:tcPr>
          <w:p>
            <w:r>
              <w:rPr>
                <w:rFonts w:ascii="Georgia" w:hAnsi="Georgia"/>
                <w:color w:val="4A4A4A"/>
                <w:sz w:val="19"/>
              </w:rPr>
              <w:t>60% processing</w:t>
            </w:r>
          </w:p>
        </w:tc>
        <w:tc>
          <w:tcPr>
            <w:tcW w:type="dxa" w:w="1768"/>
          </w:tcPr>
          <w:p>
            <w:r>
              <w:rPr>
                <w:rFonts w:ascii="Georgia" w:hAnsi="Georgia"/>
                <w:color w:val="4A4A4A"/>
                <w:sz w:val="19"/>
              </w:rPr>
              <w:t>20%+ (IRA boost)</w:t>
            </w:r>
          </w:p>
        </w:tc>
        <w:tc>
          <w:tcPr>
            <w:tcW w:type="dxa" w:w="1768"/>
          </w:tcPr>
          <w:p>
            <w:r>
              <w:rPr>
                <w:rFonts w:ascii="Georgia" w:hAnsi="Georgia"/>
                <w:color w:val="4A4A4A"/>
                <w:sz w:val="19"/>
              </w:rPr>
              <w:t>5-7 years (US, Australia, Chile partnerships)</w:t>
            </w:r>
          </w:p>
        </w:tc>
      </w:tr>
      <w:tr>
        <w:tc>
          <w:tcPr>
            <w:tcW w:type="dxa" w:w="1768"/>
          </w:tcPr>
          <w:p>
            <w:r>
              <w:rPr>
                <w:rFonts w:ascii="Georgia" w:hAnsi="Georgia"/>
                <w:color w:val="4A4A4A"/>
                <w:sz w:val="19"/>
              </w:rPr>
              <w:t>Cobalt (Co)</w:t>
            </w:r>
          </w:p>
        </w:tc>
        <w:tc>
          <w:tcPr>
            <w:tcW w:type="dxa" w:w="1768"/>
          </w:tcPr>
          <w:p>
            <w:r>
              <w:rPr>
                <w:rFonts w:ascii="Georgia" w:hAnsi="Georgia"/>
                <w:color w:val="4A4A4A"/>
                <w:sz w:val="19"/>
              </w:rPr>
              <w:t>EV battery cathodes; AI server UPS</w:t>
            </w:r>
          </w:p>
        </w:tc>
        <w:tc>
          <w:tcPr>
            <w:tcW w:type="dxa" w:w="1768"/>
          </w:tcPr>
          <w:p>
            <w:r>
              <w:rPr>
                <w:rFonts w:ascii="Georgia" w:hAnsi="Georgia"/>
                <w:color w:val="4A4A4A"/>
                <w:sz w:val="19"/>
              </w:rPr>
              <w:t>China: 70%+ via DRC operations</w:t>
            </w:r>
          </w:p>
        </w:tc>
        <w:tc>
          <w:tcPr>
            <w:tcW w:type="dxa" w:w="1768"/>
          </w:tcPr>
          <w:p>
            <w:r>
              <w:rPr>
                <w:rFonts w:ascii="Georgia" w:hAnsi="Georgia"/>
                <w:color w:val="4A4A4A"/>
                <w:sz w:val="19"/>
              </w:rPr>
              <w:t>15%</w:t>
            </w:r>
          </w:p>
        </w:tc>
        <w:tc>
          <w:tcPr>
            <w:tcW w:type="dxa" w:w="1768"/>
          </w:tcPr>
          <w:p>
            <w:r>
              <w:rPr>
                <w:rFonts w:ascii="Georgia" w:hAnsi="Georgia"/>
                <w:color w:val="4A4A4A"/>
                <w:sz w:val="19"/>
              </w:rPr>
              <w:t>7-10 years (LFP chemistry reducing cobalt dependency)</w:t>
            </w:r>
          </w:p>
        </w:tc>
      </w:tr>
      <w:tr>
        <w:tc>
          <w:tcPr>
            <w:tcW w:type="dxa" w:w="1768"/>
          </w:tcPr>
          <w:p>
            <w:r>
              <w:rPr>
                <w:rFonts w:ascii="Georgia" w:hAnsi="Georgia"/>
                <w:color w:val="4A4A4A"/>
                <w:sz w:val="19"/>
              </w:rPr>
              <w:t>Gallium / Germanium</w:t>
            </w:r>
          </w:p>
        </w:tc>
        <w:tc>
          <w:tcPr>
            <w:tcW w:type="dxa" w:w="1768"/>
          </w:tcPr>
          <w:p>
            <w:r>
              <w:rPr>
                <w:rFonts w:ascii="Georgia" w:hAnsi="Georgia"/>
                <w:color w:val="4A4A4A"/>
                <w:sz w:val="19"/>
              </w:rPr>
              <w:t>Semiconductors, LEDs, solar cells</w:t>
            </w:r>
          </w:p>
        </w:tc>
        <w:tc>
          <w:tcPr>
            <w:tcW w:type="dxa" w:w="1768"/>
          </w:tcPr>
          <w:p>
            <w:r>
              <w:rPr>
                <w:rFonts w:ascii="Georgia" w:hAnsi="Georgia"/>
                <w:color w:val="4A4A4A"/>
                <w:sz w:val="19"/>
              </w:rPr>
              <w:t>94% Ga / 83% Ge</w:t>
            </w:r>
          </w:p>
        </w:tc>
        <w:tc>
          <w:tcPr>
            <w:tcW w:type="dxa" w:w="1768"/>
          </w:tcPr>
          <w:p>
            <w:r>
              <w:rPr>
                <w:rFonts w:ascii="Georgia" w:hAnsi="Georgia"/>
                <w:color w:val="4A4A4A"/>
                <w:sz w:val="19"/>
              </w:rPr>
              <w:t>&lt;5%</w:t>
            </w:r>
          </w:p>
        </w:tc>
        <w:tc>
          <w:tcPr>
            <w:tcW w:type="dxa" w:w="1768"/>
          </w:tcPr>
          <w:p>
            <w:r>
              <w:rPr>
                <w:rFonts w:ascii="Georgia" w:hAnsi="Georgia"/>
                <w:color w:val="4A4A4A"/>
                <w:sz w:val="19"/>
              </w:rPr>
              <w:t>5-10 years; China imposed export restrictions 2023</w:t>
            </w:r>
          </w:p>
        </w:tc>
      </w:tr>
      <w:tr>
        <w:tc>
          <w:tcPr>
            <w:tcW w:type="dxa" w:w="1768"/>
          </w:tcPr>
          <w:p>
            <w:r>
              <w:rPr>
                <w:rFonts w:ascii="Georgia" w:hAnsi="Georgia"/>
                <w:color w:val="4A4A4A"/>
                <w:sz w:val="19"/>
              </w:rPr>
              <w:t>Graphite (natural)</w:t>
            </w:r>
          </w:p>
        </w:tc>
        <w:tc>
          <w:tcPr>
            <w:tcW w:type="dxa" w:w="1768"/>
          </w:tcPr>
          <w:p>
            <w:r>
              <w:rPr>
                <w:rFonts w:ascii="Georgia" w:hAnsi="Georgia"/>
                <w:color w:val="4A4A4A"/>
                <w:sz w:val="19"/>
              </w:rPr>
              <w:t>EV battery anodes</w:t>
            </w:r>
          </w:p>
        </w:tc>
        <w:tc>
          <w:tcPr>
            <w:tcW w:type="dxa" w:w="1768"/>
          </w:tcPr>
          <w:p>
            <w:r>
              <w:rPr>
                <w:rFonts w:ascii="Georgia" w:hAnsi="Georgia"/>
                <w:color w:val="4A4A4A"/>
                <w:sz w:val="19"/>
              </w:rPr>
              <w:t>65%+ processing</w:t>
            </w:r>
          </w:p>
        </w:tc>
        <w:tc>
          <w:tcPr>
            <w:tcW w:type="dxa" w:w="1768"/>
          </w:tcPr>
          <w:p>
            <w:r>
              <w:rPr>
                <w:rFonts w:ascii="Georgia" w:hAnsi="Georgia"/>
                <w:color w:val="4A4A4A"/>
                <w:sz w:val="19"/>
              </w:rPr>
              <w:t>15%</w:t>
            </w:r>
          </w:p>
        </w:tc>
        <w:tc>
          <w:tcPr>
            <w:tcW w:type="dxa" w:w="1768"/>
          </w:tcPr>
          <w:p>
            <w:r>
              <w:rPr>
                <w:rFonts w:ascii="Georgia" w:hAnsi="Georgia"/>
                <w:color w:val="4A4A4A"/>
                <w:sz w:val="19"/>
              </w:rPr>
              <w:t>6-8 years (Tanzania, Mozambique projects)</w:t>
            </w:r>
          </w:p>
        </w:tc>
      </w:tr>
      <w:tr>
        <w:tc>
          <w:tcPr>
            <w:tcW w:type="dxa" w:w="1768"/>
          </w:tcPr>
          <w:p>
            <w:r>
              <w:rPr>
                <w:rFonts w:ascii="Georgia" w:hAnsi="Georgia"/>
                <w:color w:val="4A4A4A"/>
                <w:sz w:val="19"/>
              </w:rPr>
              <w:t>Neodymium (Nd)</w:t>
            </w:r>
          </w:p>
        </w:tc>
        <w:tc>
          <w:tcPr>
            <w:tcW w:type="dxa" w:w="1768"/>
          </w:tcPr>
          <w:p>
            <w:r>
              <w:rPr>
                <w:rFonts w:ascii="Georgia" w:hAnsi="Georgia"/>
                <w:color w:val="4A4A4A"/>
                <w:sz w:val="19"/>
              </w:rPr>
              <w:t>Wind turbine magnets; EV motors; fighter jet actuators</w:t>
            </w:r>
          </w:p>
        </w:tc>
        <w:tc>
          <w:tcPr>
            <w:tcW w:type="dxa" w:w="1768"/>
          </w:tcPr>
          <w:p>
            <w:r>
              <w:rPr>
                <w:rFonts w:ascii="Georgia" w:hAnsi="Georgia"/>
                <w:color w:val="4A4A4A"/>
                <w:sz w:val="19"/>
              </w:rPr>
              <w:t>90%+</w:t>
            </w:r>
          </w:p>
        </w:tc>
        <w:tc>
          <w:tcPr>
            <w:tcW w:type="dxa" w:w="1768"/>
          </w:tcPr>
          <w:p>
            <w:r>
              <w:rPr>
                <w:rFonts w:ascii="Georgia" w:hAnsi="Georgia"/>
                <w:color w:val="4A4A4A"/>
                <w:sz w:val="19"/>
              </w:rPr>
              <w:t>&lt;3%</w:t>
            </w:r>
          </w:p>
        </w:tc>
        <w:tc>
          <w:tcPr>
            <w:tcW w:type="dxa" w:w="1768"/>
          </w:tcPr>
          <w:p>
            <w:r>
              <w:rPr>
                <w:rFonts w:ascii="Georgia" w:hAnsi="Georgia"/>
                <w:color w:val="4A4A4A"/>
                <w:sz w:val="19"/>
              </w:rPr>
              <w:t>10-15 years</w:t>
            </w:r>
          </w:p>
        </w:tc>
      </w:tr>
      <w:tr>
        <w:tc>
          <w:tcPr>
            <w:tcW w:type="dxa" w:w="1768"/>
          </w:tcPr>
          <w:p>
            <w:r>
              <w:rPr>
                <w:rFonts w:ascii="Georgia" w:hAnsi="Georgia"/>
                <w:color w:val="4A4A4A"/>
                <w:sz w:val="19"/>
              </w:rPr>
              <w:t>HBM DRAM (SK Hynix)</w:t>
            </w:r>
          </w:p>
        </w:tc>
        <w:tc>
          <w:tcPr>
            <w:tcW w:type="dxa" w:w="1768"/>
          </w:tcPr>
          <w:p>
            <w:r>
              <w:rPr>
                <w:rFonts w:ascii="Georgia" w:hAnsi="Georgia"/>
                <w:color w:val="4A4A4A"/>
                <w:sz w:val="19"/>
              </w:rPr>
              <w:t>AI accelerator memory stack</w:t>
            </w:r>
          </w:p>
        </w:tc>
        <w:tc>
          <w:tcPr>
            <w:tcW w:type="dxa" w:w="1768"/>
          </w:tcPr>
          <w:p>
            <w:r>
              <w:rPr>
                <w:rFonts w:ascii="Georgia" w:hAnsi="Georgia"/>
                <w:color w:val="4A4A4A"/>
                <w:sz w:val="19"/>
              </w:rPr>
              <w:t>Korea: SK Hynix 52.3% share</w:t>
            </w:r>
          </w:p>
        </w:tc>
        <w:tc>
          <w:tcPr>
            <w:tcW w:type="dxa" w:w="1768"/>
          </w:tcPr>
          <w:p>
            <w:r>
              <w:rPr>
                <w:rFonts w:ascii="Georgia" w:hAnsi="Georgia"/>
                <w:color w:val="4A4A4A"/>
                <w:sz w:val="19"/>
              </w:rPr>
              <w:t>US-listed, Korea-produced</w:t>
            </w:r>
          </w:p>
        </w:tc>
        <w:tc>
          <w:tcPr>
            <w:tcW w:type="dxa" w:w="1768"/>
          </w:tcPr>
          <w:p>
            <w:r>
              <w:rPr>
                <w:rFonts w:ascii="Georgia" w:hAnsi="Georgia"/>
                <w:color w:val="4A4A4A"/>
                <w:sz w:val="19"/>
              </w:rPr>
              <w:t>ASML EUV bottleneck; 3-5 year lead maintained</w:t>
            </w:r>
          </w:p>
        </w:tc>
      </w:tr>
    </w:tbl>
    <w:p>
      <w:pPr>
        <w:spacing w:after="160"/>
      </w:pPr>
    </w:p>
    <w:p>
      <w:pPr>
        <w:spacing w:after="60"/>
      </w:pPr>
      <w:r>
        <w:rPr>
          <w:rFonts w:ascii="Georgia" w:hAnsi="Georgia"/>
          <w:b w:val="0"/>
          <w:i/>
          <w:color w:val="8A8A8A"/>
          <w:sz w:val="19"/>
        </w:rPr>
        <w:t>Source: Blue Lotus Commodity Code; IEA Critical Minerals Outlook 2025; USGS Critical Minerals list; OECD supply chain analysis</w:t>
      </w:r>
    </w:p>
    <w:p>
      <w:pPr>
        <w:spacing w:before="200" w:after="40"/>
      </w:pPr>
      <w:r>
        <w:rPr>
          <w:rFonts w:ascii="Calibri" w:hAnsi="Calibri"/>
          <w:b/>
          <w:i w:val="0"/>
          <w:color w:val="B8960A"/>
          <w:sz w:val="22"/>
        </w:rPr>
        <w:t>7.1 — China's Mineral Leverage: The 2023 Gambit and Beyond</w:t>
      </w:r>
    </w:p>
    <w:p>
      <w:pPr>
        <w:spacing w:after="120"/>
      </w:pPr>
      <w:r>
        <w:rPr>
          <w:rFonts w:ascii="Georgia" w:hAnsi="Georgia"/>
          <w:b w:val="0"/>
          <w:i w:val="0"/>
          <w:color w:val="4A4A4A"/>
          <w:sz w:val="22"/>
        </w:rPr>
        <w:t>China's export restrictions on gallium (July 2023) and germanium (July 2023), followed by graphite restrictions (December 2023), were the opening moves in a mineral trade war that mirrors the semiconductor export control escalation from the Western side. These restrictions target the physical inputs to chipmaking, EV production, and solar manufacturing — the three pillars of the Western industrial policy agenda. The restrictions have not yet caused critical shortages (stockpiling pre-restriction was widespread) but they demonstrate China's willingness to use mineral leverage as geopolitical tool. The next escalation threshold: rare earth export controls, which would directly impact Western defence production and wind energy manufacturing.</w:t>
      </w:r>
    </w:p>
    <w:p>
      <w:pPr>
        <w:spacing w:before="200" w:after="40"/>
      </w:pPr>
      <w:r>
        <w:rPr>
          <w:rFonts w:ascii="Calibri" w:hAnsi="Calibri"/>
          <w:b/>
          <w:i w:val="0"/>
          <w:color w:val="B8960A"/>
          <w:sz w:val="22"/>
        </w:rPr>
        <w:t>7.2 — The Lithium Triangle: The New Middle East</w:t>
      </w:r>
    </w:p>
    <w:p>
      <w:pPr>
        <w:spacing w:after="120"/>
      </w:pPr>
      <w:r>
        <w:rPr>
          <w:rFonts w:ascii="Georgia" w:hAnsi="Georgia"/>
          <w:b w:val="0"/>
          <w:i w:val="0"/>
          <w:color w:val="4A4A4A"/>
          <w:sz w:val="22"/>
        </w:rPr>
        <w:t>The Chile-Argentina-Bolivia 'Lithium Triangle' holds 58% of known global lithium reserves. Bolivia's nationalisation of lithium (BORI=0.5380 HIGH WATCH) reflects the political economy of resource nationalism: the country with the world's largest reserves ($1.2T estimated lithium value in the Salar de Uyuni) has generated minimal royalty revenue because the political and technical capacity to extract and process it efficiently has been hamstrung by the same nationalist impulses that resist foreign investment. The irony of resource nationalism: the political reflex that drives it often prevents the economic development that would justify it.</w:t>
      </w:r>
    </w:p>
    <w:p>
      <w:r>
        <w:br w:type="page"/>
      </w:r>
    </w:p>
    <w:p>
      <w:pPr>
        <w:spacing w:before="440" w:after="120"/>
      </w:pPr>
      <w:r>
        <w:rPr>
          <w:rFonts w:ascii="Calibri" w:hAnsi="Calibri"/>
          <w:b/>
          <w:i w:val="0"/>
          <w:color w:val="0D1B2A"/>
          <w:sz w:val="30"/>
        </w:rPr>
        <w:t>PART VIII: THE HUMAN DIMENSION — DEMOGRAPHICS, LABOUR, GROWTH POLES</w:t>
      </w:r>
    </w:p>
    <w:p>
      <w:pPr>
        <w:pBdr>
          <w:bottom w:val="single" w:sz="6" w:space="1" w:color="B8960A"/>
        </w:pBdr>
        <w:spacing w:after="80"/>
      </w:pPr>
    </w:p>
    <w:p>
      <w:pPr>
        <w:spacing w:before="280" w:after="60"/>
      </w:pPr>
      <w:r>
        <w:rPr>
          <w:rFonts w:ascii="Calibri" w:hAnsi="Calibri"/>
          <w:b/>
          <w:i w:val="0"/>
          <w:color w:val="0D1B2A"/>
          <w:sz w:val="24"/>
        </w:rPr>
        <w:t>8.1 — The Demographics Time Bomb</w:t>
      </w:r>
    </w:p>
    <w:p>
      <w:pPr>
        <w:spacing w:after="120"/>
      </w:pPr>
      <w:r>
        <w:rPr>
          <w:rFonts w:ascii="Georgia" w:hAnsi="Georgia"/>
          <w:b w:val="0"/>
          <w:i w:val="0"/>
          <w:color w:val="4A4A4A"/>
          <w:sz w:val="22"/>
        </w:rPr>
        <w:t>Demography is destiny in slow motion. The convergence of aging populations in the world's major economies — Japan (median age 49), Germany (46), South Korea (44), China (39 and rising fast) — with youth bulges in Africa, South Asia, and parts of MENA is the defining structural dynamic of the next 30 years. The fiscal arithmetic is brutal: a pension system designed for a 5:1 worker-to-retiree ratio that now operates at 3:1 and is heading toward 2:1 by 2040 is not sustainable without immigration, productivity growth (AI), or benefit cuts — all of which are politically explosive.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Country/Region</w:t>
            </w:r>
          </w:p>
        </w:tc>
        <w:tc>
          <w:tcPr>
            <w:tcW w:type="dxa" w:w="1768"/>
          </w:tcPr>
          <w:p>
            <w:r>
              <w:rPr>
                <w:rFonts w:ascii="Calibri" w:hAnsi="Calibri"/>
                <w:b/>
                <w:color w:val="0D1B2A"/>
                <w:sz w:val="19"/>
              </w:rPr>
              <w:t>Current Median Age</w:t>
            </w:r>
          </w:p>
        </w:tc>
        <w:tc>
          <w:tcPr>
            <w:tcW w:type="dxa" w:w="1768"/>
          </w:tcPr>
          <w:p>
            <w:r>
              <w:rPr>
                <w:rFonts w:ascii="Calibri" w:hAnsi="Calibri"/>
                <w:b/>
                <w:color w:val="0D1B2A"/>
                <w:sz w:val="19"/>
              </w:rPr>
              <w:t>Fertility Rate</w:t>
            </w:r>
          </w:p>
        </w:tc>
        <w:tc>
          <w:tcPr>
            <w:tcW w:type="dxa" w:w="1768"/>
          </w:tcPr>
          <w:p>
            <w:r>
              <w:rPr>
                <w:rFonts w:ascii="Calibri" w:hAnsi="Calibri"/>
                <w:b/>
                <w:color w:val="0D1B2A"/>
                <w:sz w:val="19"/>
              </w:rPr>
              <w:t>2040 Dependency Ratio</w:t>
            </w:r>
          </w:p>
        </w:tc>
        <w:tc>
          <w:tcPr>
            <w:tcW w:type="dxa" w:w="1768"/>
          </w:tcPr>
          <w:p>
            <w:r>
              <w:rPr>
                <w:rFonts w:ascii="Calibri" w:hAnsi="Calibri"/>
                <w:b/>
                <w:color w:val="0D1B2A"/>
                <w:sz w:val="19"/>
              </w:rPr>
              <w:t>Economic Impact</w:t>
            </w:r>
          </w:p>
        </w:tc>
      </w:tr>
      <w:tr>
        <w:tc>
          <w:tcPr>
            <w:tcW w:type="dxa" w:w="1768"/>
          </w:tcPr>
          <w:p>
            <w:r>
              <w:rPr>
                <w:rFonts w:ascii="Georgia" w:hAnsi="Georgia"/>
                <w:color w:val="4A4A4A"/>
                <w:sz w:val="19"/>
              </w:rPr>
              <w:t>Japan</w:t>
            </w:r>
          </w:p>
        </w:tc>
        <w:tc>
          <w:tcPr>
            <w:tcW w:type="dxa" w:w="1768"/>
          </w:tcPr>
          <w:p>
            <w:r>
              <w:rPr>
                <w:rFonts w:ascii="Georgia" w:hAnsi="Georgia"/>
                <w:color w:val="4A4A4A"/>
                <w:sz w:val="19"/>
              </w:rPr>
              <w:t>49</w:t>
            </w:r>
          </w:p>
        </w:tc>
        <w:tc>
          <w:tcPr>
            <w:tcW w:type="dxa" w:w="1768"/>
          </w:tcPr>
          <w:p>
            <w:r>
              <w:rPr>
                <w:rFonts w:ascii="Georgia" w:hAnsi="Georgia"/>
                <w:color w:val="4A4A4A"/>
                <w:sz w:val="19"/>
              </w:rPr>
              <w:t>1.2 (vs. 2.1 replacement)</w:t>
            </w:r>
          </w:p>
        </w:tc>
        <w:tc>
          <w:tcPr>
            <w:tcW w:type="dxa" w:w="1768"/>
          </w:tcPr>
          <w:p>
            <w:r>
              <w:rPr>
                <w:rFonts w:ascii="Georgia" w:hAnsi="Georgia"/>
                <w:color w:val="4A4A4A"/>
                <w:sz w:val="19"/>
              </w:rPr>
              <w:t>0.85 elderly per worker</w:t>
            </w:r>
          </w:p>
        </w:tc>
        <w:tc>
          <w:tcPr>
            <w:tcW w:type="dxa" w:w="1768"/>
          </w:tcPr>
          <w:p>
            <w:r>
              <w:rPr>
                <w:rFonts w:ascii="Georgia" w:hAnsi="Georgia"/>
                <w:color w:val="4A4A4A"/>
                <w:sz w:val="19"/>
              </w:rPr>
              <w:t>GDP growth capped at 0.5-1% without productivity revolution</w:t>
            </w:r>
          </w:p>
        </w:tc>
      </w:tr>
      <w:tr>
        <w:tc>
          <w:tcPr>
            <w:tcW w:type="dxa" w:w="1768"/>
          </w:tcPr>
          <w:p>
            <w:r>
              <w:rPr>
                <w:rFonts w:ascii="Georgia" w:hAnsi="Georgia"/>
                <w:color w:val="4A4A4A"/>
                <w:sz w:val="19"/>
              </w:rPr>
              <w:t>Germany</w:t>
            </w:r>
          </w:p>
        </w:tc>
        <w:tc>
          <w:tcPr>
            <w:tcW w:type="dxa" w:w="1768"/>
          </w:tcPr>
          <w:p>
            <w:r>
              <w:rPr>
                <w:rFonts w:ascii="Georgia" w:hAnsi="Georgia"/>
                <w:color w:val="4A4A4A"/>
                <w:sz w:val="19"/>
              </w:rPr>
              <w:t>46</w:t>
            </w:r>
          </w:p>
        </w:tc>
        <w:tc>
          <w:tcPr>
            <w:tcW w:type="dxa" w:w="1768"/>
          </w:tcPr>
          <w:p>
            <w:r>
              <w:rPr>
                <w:rFonts w:ascii="Georgia" w:hAnsi="Georgia"/>
                <w:color w:val="4A4A4A"/>
                <w:sz w:val="19"/>
              </w:rPr>
              <w:t>1.5</w:t>
            </w:r>
          </w:p>
        </w:tc>
        <w:tc>
          <w:tcPr>
            <w:tcW w:type="dxa" w:w="1768"/>
          </w:tcPr>
          <w:p>
            <w:r>
              <w:rPr>
                <w:rFonts w:ascii="Georgia" w:hAnsi="Georgia"/>
                <w:color w:val="4A4A4A"/>
                <w:sz w:val="19"/>
              </w:rPr>
              <w:t>0.72 elderly per worker</w:t>
            </w:r>
          </w:p>
        </w:tc>
        <w:tc>
          <w:tcPr>
            <w:tcW w:type="dxa" w:w="1768"/>
          </w:tcPr>
          <w:p>
            <w:r>
              <w:rPr>
                <w:rFonts w:ascii="Georgia" w:hAnsi="Georgia"/>
                <w:color w:val="4A4A4A"/>
                <w:sz w:val="19"/>
              </w:rPr>
              <w:t>Skilled labour shortage 500K+ positions; immigration politically contested</w:t>
            </w:r>
          </w:p>
        </w:tc>
      </w:tr>
      <w:tr>
        <w:tc>
          <w:tcPr>
            <w:tcW w:type="dxa" w:w="1768"/>
          </w:tcPr>
          <w:p>
            <w:r>
              <w:rPr>
                <w:rFonts w:ascii="Georgia" w:hAnsi="Georgia"/>
                <w:color w:val="4A4A4A"/>
                <w:sz w:val="19"/>
              </w:rPr>
              <w:t>South Korea</w:t>
            </w:r>
          </w:p>
        </w:tc>
        <w:tc>
          <w:tcPr>
            <w:tcW w:type="dxa" w:w="1768"/>
          </w:tcPr>
          <w:p>
            <w:r>
              <w:rPr>
                <w:rFonts w:ascii="Georgia" w:hAnsi="Georgia"/>
                <w:color w:val="4A4A4A"/>
                <w:sz w:val="19"/>
              </w:rPr>
              <w:t>44</w:t>
            </w:r>
          </w:p>
        </w:tc>
        <w:tc>
          <w:tcPr>
            <w:tcW w:type="dxa" w:w="1768"/>
          </w:tcPr>
          <w:p>
            <w:r>
              <w:rPr>
                <w:rFonts w:ascii="Georgia" w:hAnsi="Georgia"/>
                <w:color w:val="4A4A4A"/>
                <w:sz w:val="19"/>
              </w:rPr>
              <w:t>0.72 (world's lowest)</w:t>
            </w:r>
          </w:p>
        </w:tc>
        <w:tc>
          <w:tcPr>
            <w:tcW w:type="dxa" w:w="1768"/>
          </w:tcPr>
          <w:p>
            <w:r>
              <w:rPr>
                <w:rFonts w:ascii="Georgia" w:hAnsi="Georgia"/>
                <w:color w:val="4A4A4A"/>
                <w:sz w:val="19"/>
              </w:rPr>
              <w:t>0.95 elderly per worker</w:t>
            </w:r>
          </w:p>
        </w:tc>
        <w:tc>
          <w:tcPr>
            <w:tcW w:type="dxa" w:w="1768"/>
          </w:tcPr>
          <w:p>
            <w:r>
              <w:rPr>
                <w:rFonts w:ascii="Georgia" w:hAnsi="Georgia"/>
                <w:color w:val="4A4A4A"/>
                <w:sz w:val="19"/>
              </w:rPr>
              <w:t>GDP could contract by 2040 without radical intervention</w:t>
            </w:r>
          </w:p>
        </w:tc>
      </w:tr>
      <w:tr>
        <w:tc>
          <w:tcPr>
            <w:tcW w:type="dxa" w:w="1768"/>
          </w:tcPr>
          <w:p>
            <w:r>
              <w:rPr>
                <w:rFonts w:ascii="Georgia" w:hAnsi="Georgia"/>
                <w:color w:val="4A4A4A"/>
                <w:sz w:val="19"/>
              </w:rPr>
              <w:t>China</w:t>
            </w:r>
          </w:p>
        </w:tc>
        <w:tc>
          <w:tcPr>
            <w:tcW w:type="dxa" w:w="1768"/>
          </w:tcPr>
          <w:p>
            <w:r>
              <w:rPr>
                <w:rFonts w:ascii="Georgia" w:hAnsi="Georgia"/>
                <w:color w:val="4A4A4A"/>
                <w:sz w:val="19"/>
              </w:rPr>
              <w:t>39</w:t>
            </w:r>
          </w:p>
        </w:tc>
        <w:tc>
          <w:tcPr>
            <w:tcW w:type="dxa" w:w="1768"/>
          </w:tcPr>
          <w:p>
            <w:r>
              <w:rPr>
                <w:rFonts w:ascii="Georgia" w:hAnsi="Georgia"/>
                <w:color w:val="4A4A4A"/>
                <w:sz w:val="19"/>
              </w:rPr>
              <w:t>1.0 (below replacement since 2022)</w:t>
            </w:r>
          </w:p>
        </w:tc>
        <w:tc>
          <w:tcPr>
            <w:tcW w:type="dxa" w:w="1768"/>
          </w:tcPr>
          <w:p>
            <w:r>
              <w:rPr>
                <w:rFonts w:ascii="Georgia" w:hAnsi="Georgia"/>
                <w:color w:val="4A4A4A"/>
                <w:sz w:val="19"/>
              </w:rPr>
              <w:t>0.65 elderly per worker by 2040</w:t>
            </w:r>
          </w:p>
        </w:tc>
        <w:tc>
          <w:tcPr>
            <w:tcW w:type="dxa" w:w="1768"/>
          </w:tcPr>
          <w:p>
            <w:r>
              <w:rPr>
                <w:rFonts w:ascii="Georgia" w:hAnsi="Georgia"/>
                <w:color w:val="4A4A4A"/>
                <w:sz w:val="19"/>
              </w:rPr>
              <w:t>$30T GDP target may require significant immigration or AI productivity replacement</w:t>
            </w:r>
          </w:p>
        </w:tc>
      </w:tr>
      <w:tr>
        <w:tc>
          <w:tcPr>
            <w:tcW w:type="dxa" w:w="1768"/>
          </w:tcPr>
          <w:p>
            <w:r>
              <w:rPr>
                <w:rFonts w:ascii="Georgia" w:hAnsi="Georgia"/>
                <w:color w:val="4A4A4A"/>
                <w:sz w:val="19"/>
              </w:rPr>
              <w:t>India</w:t>
            </w:r>
          </w:p>
        </w:tc>
        <w:tc>
          <w:tcPr>
            <w:tcW w:type="dxa" w:w="1768"/>
          </w:tcPr>
          <w:p>
            <w:r>
              <w:rPr>
                <w:rFonts w:ascii="Georgia" w:hAnsi="Georgia"/>
                <w:color w:val="4A4A4A"/>
                <w:sz w:val="19"/>
              </w:rPr>
              <w:t>29</w:t>
            </w:r>
          </w:p>
        </w:tc>
        <w:tc>
          <w:tcPr>
            <w:tcW w:type="dxa" w:w="1768"/>
          </w:tcPr>
          <w:p>
            <w:r>
              <w:rPr>
                <w:rFonts w:ascii="Georgia" w:hAnsi="Georgia"/>
                <w:color w:val="4A4A4A"/>
                <w:sz w:val="19"/>
              </w:rPr>
              <w:t>2.0 (near replacement)</w:t>
            </w:r>
          </w:p>
        </w:tc>
        <w:tc>
          <w:tcPr>
            <w:tcW w:type="dxa" w:w="1768"/>
          </w:tcPr>
          <w:p>
            <w:r>
              <w:rPr>
                <w:rFonts w:ascii="Georgia" w:hAnsi="Georgia"/>
                <w:color w:val="4A4A4A"/>
                <w:sz w:val="19"/>
              </w:rPr>
              <w:t>0.28 elderly per worker</w:t>
            </w:r>
          </w:p>
        </w:tc>
        <w:tc>
          <w:tcPr>
            <w:tcW w:type="dxa" w:w="1768"/>
          </w:tcPr>
          <w:p>
            <w:r>
              <w:rPr>
                <w:rFonts w:ascii="Georgia" w:hAnsi="Georgia"/>
                <w:color w:val="4A4A4A"/>
                <w:sz w:val="19"/>
              </w:rPr>
              <w:t>Demographic dividend: 300M new workers by 2040</w:t>
            </w:r>
          </w:p>
        </w:tc>
      </w:tr>
      <w:tr>
        <w:tc>
          <w:tcPr>
            <w:tcW w:type="dxa" w:w="1768"/>
          </w:tcPr>
          <w:p>
            <w:r>
              <w:rPr>
                <w:rFonts w:ascii="Georgia" w:hAnsi="Georgia"/>
                <w:color w:val="4A4A4A"/>
                <w:sz w:val="19"/>
              </w:rPr>
              <w:t>Africa</w:t>
            </w:r>
          </w:p>
        </w:tc>
        <w:tc>
          <w:tcPr>
            <w:tcW w:type="dxa" w:w="1768"/>
          </w:tcPr>
          <w:p>
            <w:r>
              <w:rPr>
                <w:rFonts w:ascii="Georgia" w:hAnsi="Georgia"/>
                <w:color w:val="4A4A4A"/>
                <w:sz w:val="19"/>
              </w:rPr>
              <w:t>19</w:t>
            </w:r>
          </w:p>
        </w:tc>
        <w:tc>
          <w:tcPr>
            <w:tcW w:type="dxa" w:w="1768"/>
          </w:tcPr>
          <w:p>
            <w:r>
              <w:rPr>
                <w:rFonts w:ascii="Georgia" w:hAnsi="Georgia"/>
                <w:color w:val="4A4A4A"/>
                <w:sz w:val="19"/>
              </w:rPr>
              <w:t>4.2 (declining)</w:t>
            </w:r>
          </w:p>
        </w:tc>
        <w:tc>
          <w:tcPr>
            <w:tcW w:type="dxa" w:w="1768"/>
          </w:tcPr>
          <w:p>
            <w:r>
              <w:rPr>
                <w:rFonts w:ascii="Georgia" w:hAnsi="Georgia"/>
                <w:color w:val="4A4A4A"/>
                <w:sz w:val="19"/>
              </w:rPr>
              <w:t>0.08 elderly per worker</w:t>
            </w:r>
          </w:p>
        </w:tc>
        <w:tc>
          <w:tcPr>
            <w:tcW w:type="dxa" w:w="1768"/>
          </w:tcPr>
          <w:p>
            <w:r>
              <w:rPr>
                <w:rFonts w:ascii="Georgia" w:hAnsi="Georgia"/>
                <w:color w:val="4A4A4A"/>
                <w:sz w:val="19"/>
              </w:rPr>
              <w:t>2B total population by 2040; largest youth labour force globally</w:t>
            </w:r>
          </w:p>
        </w:tc>
      </w:tr>
      <w:tr>
        <w:tc>
          <w:tcPr>
            <w:tcW w:type="dxa" w:w="1768"/>
          </w:tcPr>
          <w:p>
            <w:r>
              <w:rPr>
                <w:rFonts w:ascii="Georgia" w:hAnsi="Georgia"/>
                <w:color w:val="4A4A4A"/>
                <w:sz w:val="19"/>
              </w:rPr>
              <w:t>Nigeria</w:t>
            </w:r>
          </w:p>
        </w:tc>
        <w:tc>
          <w:tcPr>
            <w:tcW w:type="dxa" w:w="1768"/>
          </w:tcPr>
          <w:p>
            <w:r>
              <w:rPr>
                <w:rFonts w:ascii="Georgia" w:hAnsi="Georgia"/>
                <w:color w:val="4A4A4A"/>
                <w:sz w:val="19"/>
              </w:rPr>
              <w:t>18</w:t>
            </w:r>
          </w:p>
        </w:tc>
        <w:tc>
          <w:tcPr>
            <w:tcW w:type="dxa" w:w="1768"/>
          </w:tcPr>
          <w:p>
            <w:r>
              <w:rPr>
                <w:rFonts w:ascii="Georgia" w:hAnsi="Georgia"/>
                <w:color w:val="4A4A4A"/>
                <w:sz w:val="19"/>
              </w:rPr>
              <w:t>5.2</w:t>
            </w:r>
          </w:p>
        </w:tc>
        <w:tc>
          <w:tcPr>
            <w:tcW w:type="dxa" w:w="1768"/>
          </w:tcPr>
          <w:p>
            <w:r>
              <w:rPr>
                <w:rFonts w:ascii="Georgia" w:hAnsi="Georgia"/>
                <w:color w:val="4A4A4A"/>
                <w:sz w:val="19"/>
              </w:rPr>
              <w:t>0.06 elderly per worker</w:t>
            </w:r>
          </w:p>
        </w:tc>
        <w:tc>
          <w:tcPr>
            <w:tcW w:type="dxa" w:w="1768"/>
          </w:tcPr>
          <w:p>
            <w:r>
              <w:rPr>
                <w:rFonts w:ascii="Georgia" w:hAnsi="Georgia"/>
                <w:color w:val="4A4A4A"/>
                <w:sz w:val="19"/>
              </w:rPr>
              <w:t>400M by 2050: 3rd largest country; governance is the binding constraint</w:t>
            </w:r>
          </w:p>
        </w:tc>
      </w:tr>
    </w:tbl>
    <w:p>
      <w:pPr>
        <w:spacing w:after="160"/>
      </w:pPr>
    </w:p>
    <w:p>
      <w:pPr>
        <w:spacing w:before="280" w:after="60"/>
      </w:pPr>
      <w:r>
        <w:rPr>
          <w:rFonts w:ascii="Calibri" w:hAnsi="Calibri"/>
          <w:b/>
          <w:i w:val="0"/>
          <w:color w:val="0D1B2A"/>
          <w:sz w:val="24"/>
        </w:rPr>
        <w:t>8.2 — Africa's Billion-Person Bet</w:t>
      </w:r>
    </w:p>
    <w:p>
      <w:pPr>
        <w:spacing w:after="120"/>
      </w:pPr>
      <w:r>
        <w:rPr>
          <w:rFonts w:ascii="Georgia" w:hAnsi="Georgia"/>
          <w:b w:val="0"/>
          <w:i w:val="0"/>
          <w:color w:val="4A4A4A"/>
          <w:sz w:val="22"/>
        </w:rPr>
        <w:t>Sub-Saharan Africa is simultaneously the world's most significant long-run growth opportunity and one of its most persistent governance failures. The demographic arithmetic is unavoidable: by 2040, Africa will have 2 billion people and the world's largest working-age population. By 2080, Lagos will be the world's largest city (80M+), surpassing Tokyo. This is the demand story of the century. The constraint: institutional capacity to translate demographic growth into economic output. Nigeria's NGRI=0.5680 (HIGH WATCH) reflects the gap between potential and performance. The Chinese infrastructure model (BRI) and the Western investment model (IFC, DFC) are competing to provide the capital — the continent's elites are playing both sides with increasing sophistication.</w:t>
      </w:r>
    </w:p>
    <w:p>
      <w:pPr>
        <w:spacing w:before="280" w:after="60"/>
      </w:pPr>
      <w:r>
        <w:rPr>
          <w:rFonts w:ascii="Calibri" w:hAnsi="Calibri"/>
          <w:b/>
          <w:i w:val="0"/>
          <w:color w:val="0D1B2A"/>
          <w:sz w:val="24"/>
        </w:rPr>
        <w:t>8.3 — Latin America's Nearshoring Revolution</w:t>
      </w:r>
    </w:p>
    <w:p>
      <w:pPr>
        <w:spacing w:after="120"/>
      </w:pPr>
      <w:r>
        <w:rPr>
          <w:rFonts w:ascii="Georgia" w:hAnsi="Georgia"/>
          <w:b w:val="0"/>
          <w:i w:val="0"/>
          <w:color w:val="4A4A4A"/>
          <w:sz w:val="22"/>
        </w:rPr>
        <w:t>The US-China trade war has created the structural conditions for the greatest reshoring opportunity in Latin American history. Mexico has received $50B+ in announced manufacturing FDI since 2022, driven by: proximity to US market (USMCA), competitive labour costs ($4-6/hour vs. China $8-12/hour), and US political preference for nearshoring over offshoring. The industries moving: electronics assembly (Apple, Samsung, LG), auto parts (Tesla Monterrey), aerospace, and medical devices. Brazil's nearshoring play is different — targeting its domestic market (7th largest economy, 215M consumers) rather than US export proximity. The risk: political instability (BORI=0.5380, Bolivia; Venezuela VZRI=0.5650) creates a fragmented regional picture where the opportunity is real but unevenly distributed.</w:t>
      </w:r>
    </w:p>
    <w:p>
      <w:pPr>
        <w:spacing w:before="280" w:after="60"/>
      </w:pPr>
      <w:r>
        <w:rPr>
          <w:rFonts w:ascii="Calibri" w:hAnsi="Calibri"/>
          <w:b/>
          <w:i w:val="0"/>
          <w:color w:val="0D1B2A"/>
          <w:sz w:val="24"/>
        </w:rPr>
        <w:t>8.4 — The Robot Economy</w:t>
      </w:r>
    </w:p>
    <w:p>
      <w:pPr>
        <w:spacing w:after="120"/>
      </w:pPr>
      <w:r>
        <w:rPr>
          <w:rFonts w:ascii="Georgia" w:hAnsi="Georgia"/>
          <w:b w:val="0"/>
          <w:i w:val="0"/>
          <w:color w:val="4A4A4A"/>
          <w:sz w:val="22"/>
        </w:rPr>
        <w:t>The convergence of agentic AI (software robots) and physical robots (Boston Dynamics, Figure, Unitree, BYD) is creating the most significant labour market disruption since the Industrial Revolution. The distinction this time: previous automation displaced physical labour; current AI is displacing cognitive labour. Legal research, financial analysis, medical diagnosis, code writing, content creation — the professions that absorbed displaced manufacturing workers after the 1980s are now themselves under automation pressure. The distributional consequence (ξ=0.28, declining) is the central political economy challenge of the next decade: productivity gains from AI accrue to capital owners; labour market disruption falls on the cognitive middle class. This is the structural driver of E↑ (elite overproduction) and A↓ (social cohesion collapse) that feeds the Φ decline.</w:t>
      </w:r>
    </w:p>
    <w:p>
      <w:r>
        <w:br w:type="page"/>
      </w:r>
    </w:p>
    <w:p>
      <w:pPr>
        <w:spacing w:before="440" w:after="120"/>
      </w:pPr>
      <w:r>
        <w:rPr>
          <w:rFonts w:ascii="Calibri" w:hAnsi="Calibri"/>
          <w:b/>
          <w:i w:val="0"/>
          <w:color w:val="0D1B2A"/>
          <w:sz w:val="30"/>
        </w:rPr>
        <w:t>PART IX: THE INVISIBLE WARS — CYBER, INFORMATION, EUROPE</w:t>
      </w:r>
    </w:p>
    <w:p>
      <w:pPr>
        <w:pBdr>
          <w:bottom w:val="single" w:sz="6" w:space="1" w:color="B8960A"/>
        </w:pBdr>
        <w:spacing w:after="80"/>
      </w:pPr>
    </w:p>
    <w:p>
      <w:pPr>
        <w:spacing w:before="280" w:after="60"/>
      </w:pPr>
      <w:r>
        <w:rPr>
          <w:rFonts w:ascii="Calibri" w:hAnsi="Calibri"/>
          <w:b/>
          <w:i w:val="0"/>
          <w:color w:val="0D1B2A"/>
          <w:sz w:val="24"/>
        </w:rPr>
        <w:t>9.1 — Cyber Operations: The Permanent Conflict</w:t>
      </w:r>
    </w:p>
    <w:p>
      <w:pPr>
        <w:spacing w:after="120"/>
      </w:pPr>
      <w:r>
        <w:rPr>
          <w:rFonts w:ascii="Georgia" w:hAnsi="Georgia"/>
          <w:b w:val="0"/>
          <w:i w:val="0"/>
          <w:color w:val="4A4A4A"/>
          <w:sz w:val="22"/>
        </w:rPr>
        <w:t>China, Russia, and Iran are conducting continuous offensive cyber operations against Western infrastructure, financial systems, and military networks. These are not espionage operations of the Cold War variety — they are pre-positioned attacks designed to enable rapid kinetic disruption when political conditions require it. The most significant Blue Lotus assessment: the 2026 environment marks the first time that all three peer adversaries are simultaneously conducting cyber operations against the same target set (US infrastructure) with coordinated — if not formally deconflicted — timing.</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Actor</w:t>
            </w:r>
          </w:p>
        </w:tc>
        <w:tc>
          <w:tcPr>
            <w:tcW w:type="dxa" w:w="2209"/>
          </w:tcPr>
          <w:p>
            <w:r>
              <w:rPr>
                <w:rFonts w:ascii="Calibri" w:hAnsi="Calibri"/>
                <w:b/>
                <w:color w:val="0D1B2A"/>
                <w:sz w:val="19"/>
              </w:rPr>
              <w:t>Primary Targets</w:t>
            </w:r>
          </w:p>
        </w:tc>
        <w:tc>
          <w:tcPr>
            <w:tcW w:type="dxa" w:w="2209"/>
          </w:tcPr>
          <w:p>
            <w:r>
              <w:rPr>
                <w:rFonts w:ascii="Calibri" w:hAnsi="Calibri"/>
                <w:b/>
                <w:color w:val="0D1B2A"/>
                <w:sz w:val="19"/>
              </w:rPr>
              <w:t>Signature Operations</w:t>
            </w:r>
          </w:p>
        </w:tc>
        <w:tc>
          <w:tcPr>
            <w:tcW w:type="dxa" w:w="2209"/>
          </w:tcPr>
          <w:p>
            <w:r>
              <w:rPr>
                <w:rFonts w:ascii="Calibri" w:hAnsi="Calibri"/>
                <w:b/>
                <w:color w:val="0D1B2A"/>
                <w:sz w:val="19"/>
              </w:rPr>
              <w:t>Escalation Threshold</w:t>
            </w:r>
          </w:p>
        </w:tc>
      </w:tr>
      <w:tr>
        <w:tc>
          <w:tcPr>
            <w:tcW w:type="dxa" w:w="2209"/>
          </w:tcPr>
          <w:p>
            <w:r>
              <w:rPr>
                <w:rFonts w:ascii="Georgia" w:hAnsi="Georgia"/>
                <w:color w:val="4A4A4A"/>
                <w:sz w:val="19"/>
              </w:rPr>
              <w:t>China (APT40, Salt Typhoon)</w:t>
            </w:r>
          </w:p>
        </w:tc>
        <w:tc>
          <w:tcPr>
            <w:tcW w:type="dxa" w:w="2209"/>
          </w:tcPr>
          <w:p>
            <w:r>
              <w:rPr>
                <w:rFonts w:ascii="Georgia" w:hAnsi="Georgia"/>
                <w:color w:val="4A4A4A"/>
                <w:sz w:val="19"/>
              </w:rPr>
              <w:t>US telecom (CALEA intercept); critical infrastructure; semiconductor IP</w:t>
            </w:r>
          </w:p>
        </w:tc>
        <w:tc>
          <w:tcPr>
            <w:tcW w:type="dxa" w:w="2209"/>
          </w:tcPr>
          <w:p>
            <w:r>
              <w:rPr>
                <w:rFonts w:ascii="Georgia" w:hAnsi="Georgia"/>
                <w:color w:val="4A4A4A"/>
                <w:sz w:val="19"/>
              </w:rPr>
              <w:t>Salt Typhoon (2024): major US telecom penetration, wiretap systems compromised</w:t>
            </w:r>
          </w:p>
        </w:tc>
        <w:tc>
          <w:tcPr>
            <w:tcW w:type="dxa" w:w="2209"/>
          </w:tcPr>
          <w:p>
            <w:r>
              <w:rPr>
                <w:rFonts w:ascii="Georgia" w:hAnsi="Georgia"/>
                <w:color w:val="4A4A4A"/>
                <w:sz w:val="19"/>
              </w:rPr>
              <w:t>Taiwan contingency — immediate escalation to destructive mode</w:t>
            </w:r>
          </w:p>
        </w:tc>
      </w:tr>
      <w:tr>
        <w:tc>
          <w:tcPr>
            <w:tcW w:type="dxa" w:w="2209"/>
          </w:tcPr>
          <w:p>
            <w:r>
              <w:rPr>
                <w:rFonts w:ascii="Georgia" w:hAnsi="Georgia"/>
                <w:color w:val="4A4A4A"/>
                <w:sz w:val="19"/>
              </w:rPr>
              <w:t>Russia (Sandworm, APT29)</w:t>
            </w:r>
          </w:p>
        </w:tc>
        <w:tc>
          <w:tcPr>
            <w:tcW w:type="dxa" w:w="2209"/>
          </w:tcPr>
          <w:p>
            <w:r>
              <w:rPr>
                <w:rFonts w:ascii="Georgia" w:hAnsi="Georgia"/>
                <w:color w:val="4A4A4A"/>
                <w:sz w:val="19"/>
              </w:rPr>
              <w:t>Ukraine military C2; NATO energy; financial SWIFT nodes</w:t>
            </w:r>
          </w:p>
        </w:tc>
        <w:tc>
          <w:tcPr>
            <w:tcW w:type="dxa" w:w="2209"/>
          </w:tcPr>
          <w:p>
            <w:r>
              <w:rPr>
                <w:rFonts w:ascii="Georgia" w:hAnsi="Georgia"/>
                <w:color w:val="4A4A4A"/>
                <w:sz w:val="19"/>
              </w:rPr>
              <w:t>Ukraine power grid attacks (2015, 2016, 2022); SWIFT Belgian system 2016</w:t>
            </w:r>
          </w:p>
        </w:tc>
        <w:tc>
          <w:tcPr>
            <w:tcW w:type="dxa" w:w="2209"/>
          </w:tcPr>
          <w:p>
            <w:r>
              <w:rPr>
                <w:rFonts w:ascii="Georgia" w:hAnsi="Georgia"/>
                <w:color w:val="4A4A4A"/>
                <w:sz w:val="19"/>
              </w:rPr>
              <w:t>NATO Article 5 invocation; economic sanctions escalation</w:t>
            </w:r>
          </w:p>
        </w:tc>
      </w:tr>
      <w:tr>
        <w:tc>
          <w:tcPr>
            <w:tcW w:type="dxa" w:w="2209"/>
          </w:tcPr>
          <w:p>
            <w:r>
              <w:rPr>
                <w:rFonts w:ascii="Georgia" w:hAnsi="Georgia"/>
                <w:color w:val="4A4A4A"/>
                <w:sz w:val="19"/>
              </w:rPr>
              <w:t>Iran (APT33, Charming Kitten)</w:t>
            </w:r>
          </w:p>
        </w:tc>
        <w:tc>
          <w:tcPr>
            <w:tcW w:type="dxa" w:w="2209"/>
          </w:tcPr>
          <w:p>
            <w:r>
              <w:rPr>
                <w:rFonts w:ascii="Georgia" w:hAnsi="Georgia"/>
                <w:color w:val="4A4A4A"/>
                <w:sz w:val="19"/>
              </w:rPr>
              <w:t>Gulf financial sector; Israeli water/energy; US contractor networks</w:t>
            </w:r>
          </w:p>
        </w:tc>
        <w:tc>
          <w:tcPr>
            <w:tcW w:type="dxa" w:w="2209"/>
          </w:tcPr>
          <w:p>
            <w:r>
              <w:rPr>
                <w:rFonts w:ascii="Georgia" w:hAnsi="Georgia"/>
                <w:color w:val="4A4A4A"/>
                <w:sz w:val="19"/>
              </w:rPr>
              <w:t>Iran bank attacks 2012-2013; Stuxnet retaliation targeting; 2026 escalation cycle</w:t>
            </w:r>
          </w:p>
        </w:tc>
        <w:tc>
          <w:tcPr>
            <w:tcW w:type="dxa" w:w="2209"/>
          </w:tcPr>
          <w:p>
            <w:r>
              <w:rPr>
                <w:rFonts w:ascii="Georgia" w:hAnsi="Georgia"/>
                <w:color w:val="4A4A4A"/>
                <w:sz w:val="19"/>
              </w:rPr>
              <w:t>Post-Epic Fury: elevated attack tempo observed</w:t>
            </w:r>
          </w:p>
        </w:tc>
      </w:tr>
      <w:tr>
        <w:tc>
          <w:tcPr>
            <w:tcW w:type="dxa" w:w="2209"/>
          </w:tcPr>
          <w:p>
            <w:r>
              <w:rPr>
                <w:rFonts w:ascii="Georgia" w:hAnsi="Georgia"/>
                <w:color w:val="4A4A4A"/>
                <w:sz w:val="19"/>
              </w:rPr>
              <w:t>DPRK (Lazarus Group)</w:t>
            </w:r>
          </w:p>
        </w:tc>
        <w:tc>
          <w:tcPr>
            <w:tcW w:type="dxa" w:w="2209"/>
          </w:tcPr>
          <w:p>
            <w:r>
              <w:rPr>
                <w:rFonts w:ascii="Georgia" w:hAnsi="Georgia"/>
                <w:color w:val="4A4A4A"/>
                <w:sz w:val="19"/>
              </w:rPr>
              <w:t>Financial theft ($3B+ stolen 2017-2024 via crypto); crypto exchanges; nuclear programme cover</w:t>
            </w:r>
          </w:p>
        </w:tc>
        <w:tc>
          <w:tcPr>
            <w:tcW w:type="dxa" w:w="2209"/>
          </w:tcPr>
          <w:p>
            <w:r>
              <w:rPr>
                <w:rFonts w:ascii="Georgia" w:hAnsi="Georgia"/>
                <w:color w:val="4A4A4A"/>
                <w:sz w:val="19"/>
              </w:rPr>
              <w:t>WannaCry 2017; Bybit exchange 2025 ($1.5B theft)</w:t>
            </w:r>
          </w:p>
        </w:tc>
        <w:tc>
          <w:tcPr>
            <w:tcW w:type="dxa" w:w="2209"/>
          </w:tcPr>
          <w:p>
            <w:r>
              <w:rPr>
                <w:rFonts w:ascii="Georgia" w:hAnsi="Georgia"/>
                <w:color w:val="4A4A4A"/>
                <w:sz w:val="19"/>
              </w:rPr>
              <w:t>Decoupled from kinetic conflict — operates on criminal model</w:t>
            </w:r>
          </w:p>
        </w:tc>
      </w:tr>
    </w:tbl>
    <w:p>
      <w:pPr>
        <w:spacing w:after="160"/>
      </w:pPr>
    </w:p>
    <w:p>
      <w:pPr>
        <w:spacing w:before="280" w:after="60"/>
      </w:pPr>
      <w:r>
        <w:rPr>
          <w:rFonts w:ascii="Calibri" w:hAnsi="Calibri"/>
          <w:b/>
          <w:i w:val="0"/>
          <w:color w:val="0D1B2A"/>
          <w:sz w:val="24"/>
        </w:rPr>
        <w:t>9.2 — Europe's Last Stand</w:t>
      </w:r>
    </w:p>
    <w:p>
      <w:pPr>
        <w:spacing w:after="120"/>
      </w:pPr>
      <w:r>
        <w:rPr>
          <w:rFonts w:ascii="Georgia" w:hAnsi="Georgia"/>
          <w:b w:val="0"/>
          <w:i w:val="0"/>
          <w:color w:val="4A4A4A"/>
          <w:sz w:val="22"/>
        </w:rPr>
        <w:t>Europe faces a trifecta of structural crises that collectively threaten its position as a coherent geopolitical actor: German deindustrialisation (manufacturing PMI below 45 for 18 months; energy cost 3x US pre-war levels permanently impaired by Russian gas loss), the EU AI Act (first comprehensive AI regulation, now creating compliance drag for European AI startups — 90%+ of AI company registrations since 2024 are in US, UK, or Singapore despite EU being a major demand market), and NATO's identity crisis as Trump questions the Article 5 commitment and demands 3%+ GDP defence spending from members who were at 1.5-2.0%.</w:t>
      </w:r>
    </w:p>
    <w:p>
      <w:pPr>
        <w:pStyle w:val="ListBullet"/>
        <w:spacing w:after="60"/>
        <w:ind w:left="360"/>
      </w:pPr>
      <w:r>
        <w:rPr>
          <w:rFonts w:ascii="Georgia" w:hAnsi="Georgia"/>
          <w:b/>
          <w:i w:val="0"/>
          <w:color w:val="0D1B2A"/>
          <w:sz w:val="21"/>
        </w:rPr>
        <w:t xml:space="preserve">Crisis 1: </w:t>
      </w:r>
      <w:r>
        <w:rPr>
          <w:rFonts w:ascii="Georgia" w:hAnsi="Georgia"/>
          <w:b w:val="0"/>
          <w:i w:val="0"/>
          <w:color w:val="4A4A4A"/>
          <w:sz w:val="21"/>
        </w:rPr>
        <w:t>German Deindustrialisation: BASF, Volkswagen, Thyssen-Krupp all announced major European production cuts 2024-2025. German GDP contracted -0.5% in 2025. The energy-intensive industrial model that made Germany the world's 3rd largest economy is no longer viable at $60+/MWh (vs. $25/MWh pre-2022).</w:t>
      </w:r>
    </w:p>
    <w:p>
      <w:pPr>
        <w:pStyle w:val="ListBullet"/>
        <w:spacing w:after="60"/>
        <w:ind w:left="360"/>
      </w:pPr>
      <w:r>
        <w:rPr>
          <w:rFonts w:ascii="Georgia" w:hAnsi="Georgia"/>
          <w:b/>
          <w:i w:val="0"/>
          <w:color w:val="0D1B2A"/>
          <w:sz w:val="21"/>
        </w:rPr>
        <w:t xml:space="preserve">Crisis 2: </w:t>
      </w:r>
      <w:r>
        <w:rPr>
          <w:rFonts w:ascii="Georgia" w:hAnsi="Georgia"/>
          <w:b w:val="0"/>
          <w:i w:val="0"/>
          <w:color w:val="4A4A4A"/>
          <w:sz w:val="21"/>
        </w:rPr>
        <w:t>EU AI Act: Compliance costs for high-risk AI systems estimated €500M+ for large providers. Risk-classification creates legal uncertainty that delays deployment. The EU's regulatory ambition is ahead of its AI industry capacity — Brussels is regulating a sector it does not lead.</w:t>
      </w:r>
    </w:p>
    <w:p>
      <w:pPr>
        <w:pStyle w:val="ListBullet"/>
        <w:spacing w:after="60"/>
        <w:ind w:left="360"/>
      </w:pPr>
      <w:r>
        <w:rPr>
          <w:rFonts w:ascii="Georgia" w:hAnsi="Georgia"/>
          <w:b/>
          <w:i w:val="0"/>
          <w:color w:val="0D1B2A"/>
          <w:sz w:val="21"/>
        </w:rPr>
        <w:t xml:space="preserve">Crisis 3: </w:t>
      </w:r>
      <w:r>
        <w:rPr>
          <w:rFonts w:ascii="Georgia" w:hAnsi="Georgia"/>
          <w:b w:val="0"/>
          <w:i w:val="0"/>
          <w:color w:val="4A4A4A"/>
          <w:sz w:val="21"/>
        </w:rPr>
        <w:t>NATO Identity: Trump's 2025 'NATO is obsolete' comments; pressure on Germany to reach 3% GDP defence (was 1.5%); Poland is now the most credible NATO conventional deterrent force in Europe (4.5% GDP defence). NATO's deterrence posture is stronger in eastern flank; weaker in institutional coherence.</w:t>
      </w:r>
    </w:p>
    <w:p>
      <w:r>
        <w:br w:type="page"/>
      </w:r>
    </w:p>
    <w:p>
      <w:pPr>
        <w:spacing w:before="440" w:after="120"/>
      </w:pPr>
      <w:r>
        <w:rPr>
          <w:rFonts w:ascii="Calibri" w:hAnsi="Calibri"/>
          <w:b/>
          <w:i w:val="0"/>
          <w:color w:val="0D1B2A"/>
          <w:sz w:val="30"/>
        </w:rPr>
        <w:t>PART X: NITE-PEI SUPERFORECASTING — 15 SCENARIOS FOR H2 2026 TO 2027</w:t>
      </w:r>
    </w:p>
    <w:p>
      <w:pPr>
        <w:pBdr>
          <w:bottom w:val="single" w:sz="6" w:space="1" w:color="B8960A"/>
        </w:pBdr>
        <w:spacing w:after="80"/>
      </w:pPr>
    </w:p>
    <w:p>
      <w:pPr>
        <w:spacing w:after="120"/>
      </w:pPr>
      <w:r>
        <w:rPr>
          <w:rFonts w:ascii="Georgia" w:hAnsi="Georgia"/>
          <w:b w:val="0"/>
          <w:i w:val="0"/>
          <w:color w:val="4A4A4A"/>
          <w:sz w:val="22"/>
        </w:rPr>
        <w:t>The NITE-PEI (Non-linear Intelligence Trend Engine – Probabilistic Event Intelligence) framework generates probability-weighted scenarios from the convergence of the five research methods. Each scenario carries a base probability (±10pp uncertainty), a primary driver, and a signal to monitor. Scenarios are mutually non-exclusive — some reinforce each other (compounding risk), some cancel (competing outcomes). The aggregate systemic risk reading: the probability of at least ONE major destabilising event from this list before end-2027 is estimated at P≥75%.</w:t>
      </w:r>
    </w:p>
    <w:p>
      <w:pPr>
        <w:spacing w:before="200" w:after="40"/>
      </w:pPr>
      <w:r>
        <w:rPr>
          <w:rFonts w:ascii="Calibri" w:hAnsi="Calibri"/>
          <w:b/>
          <w:i w:val="0"/>
          <w:color w:val="B8960A"/>
          <w:sz w:val="22"/>
        </w:rPr>
        <w:t>CONFLICT &amp; SECURITY SCENARIOS</w:t>
      </w:r>
    </w:p>
    <w:p>
      <w:pPr>
        <w:spacing w:before="120" w:after="60"/>
        <w:ind w:left="360"/>
      </w:pPr>
      <w:r>
        <w:rPr>
          <w:rFonts w:ascii="Calibri" w:hAnsi="Calibri"/>
          <w:b/>
          <w:i w:val="0"/>
          <w:color w:val="0D1B2A"/>
          <w:sz w:val="21"/>
        </w:rPr>
        <w:t xml:space="preserve">[P=18%]  S1 — Iran Nuclear Breakout  </w:t>
      </w:r>
      <w:r>
        <w:rPr>
          <w:rFonts w:ascii="Georgia" w:hAnsi="Georgia"/>
          <w:b w:val="0"/>
          <w:i w:val="0"/>
          <w:color w:val="4A4A4A"/>
          <w:sz w:val="21"/>
        </w:rPr>
        <w:t>Iran reconstitutes centrifuge arrays post-Epic Fury, achieves 90%+ enrichment, declares threshold nuclear status. Triggers Israeli unilateral strike consideration, US strategic options review, potential nuclear proliferation cascade (Saudi, Turkey, UAE).</w:t>
      </w:r>
      <w:r>
        <w:br/>
      </w:r>
      <w:r>
        <w:rPr>
          <w:rFonts w:ascii="Georgia" w:hAnsi="Georgia"/>
          <w:b w:val="0"/>
          <w:i/>
          <w:color w:val="8A8A8A"/>
          <w:sz w:val="19"/>
        </w:rPr>
        <w:t>Watch for: Watch for: IAEA access denied; procurement of nuclear triggers from Russia or DPRK</w:t>
      </w:r>
    </w:p>
    <w:p>
      <w:pPr>
        <w:spacing w:before="120" w:after="60"/>
        <w:ind w:left="360"/>
      </w:pPr>
      <w:r>
        <w:rPr>
          <w:rFonts w:ascii="Calibri" w:hAnsi="Calibri"/>
          <w:b/>
          <w:i w:val="0"/>
          <w:color w:val="0D1B2A"/>
          <w:sz w:val="21"/>
        </w:rPr>
        <w:t xml:space="preserve">[P=25%]  S2 — Hormuz Re-Closure  </w:t>
      </w:r>
      <w:r>
        <w:rPr>
          <w:rFonts w:ascii="Georgia" w:hAnsi="Georgia"/>
          <w:b w:val="0"/>
          <w:i w:val="0"/>
          <w:color w:val="8B0000"/>
          <w:sz w:val="21"/>
        </w:rPr>
        <w:t>Iranian hardliners, empowered by MOU rejection narrative, blockade Hormuz again before end-2026. Oil price spike to $130+. Global recession probability +15pp if sustained &gt;60 days. This is the single highest-impact tail risk in the scenario tree.</w:t>
      </w:r>
      <w:r>
        <w:br/>
      </w:r>
      <w:r>
        <w:rPr>
          <w:rFonts w:ascii="Georgia" w:hAnsi="Georgia"/>
          <w:b w:val="0"/>
          <w:i/>
          <w:color w:val="8A8A8A"/>
          <w:sz w:val="19"/>
        </w:rPr>
        <w:t>Watch for: Watch for: IRGC naval exercises near Hormuz; tanker inspection incidents escalating; Trump administration rhetoric change on Iran compliance</w:t>
      </w:r>
    </w:p>
    <w:p>
      <w:pPr>
        <w:spacing w:before="120" w:after="60"/>
        <w:ind w:left="360"/>
      </w:pPr>
      <w:r>
        <w:rPr>
          <w:rFonts w:ascii="Calibri" w:hAnsi="Calibri"/>
          <w:b/>
          <w:i w:val="0"/>
          <w:color w:val="0D1B2A"/>
          <w:sz w:val="21"/>
        </w:rPr>
        <w:t xml:space="preserve">[P=22%]  S3 — Ukrainian Frontline Collapse  </w:t>
      </w:r>
      <w:r>
        <w:rPr>
          <w:rFonts w:ascii="Georgia" w:hAnsi="Georgia"/>
          <w:b w:val="0"/>
          <w:i w:val="0"/>
          <w:color w:val="4A4A4A"/>
          <w:sz w:val="21"/>
        </w:rPr>
        <w:t>Russian forces achieve strategic breakthrough after Ukrainian mobilisation exhaustion. NATO Article 4 consultation triggered. European security architecture stress test. Market reaction: risk-off; European defence stocks surge; EUR weakness.</w:t>
      </w:r>
      <w:r>
        <w:br/>
      </w:r>
      <w:r>
        <w:rPr>
          <w:rFonts w:ascii="Georgia" w:hAnsi="Georgia"/>
          <w:b w:val="0"/>
          <w:i/>
          <w:color w:val="8A8A8A"/>
          <w:sz w:val="19"/>
        </w:rPr>
        <w:t>Watch for: Watch for: Ukrainian reserve units committed to frontline rather than held back; Western arms delivery timelines &gt;90 days; Zelensky emergency NATO request</w:t>
      </w:r>
    </w:p>
    <w:p>
      <w:pPr>
        <w:spacing w:before="120" w:after="60"/>
        <w:ind w:left="360"/>
      </w:pPr>
      <w:r>
        <w:rPr>
          <w:rFonts w:ascii="Calibri" w:hAnsi="Calibri"/>
          <w:b/>
          <w:i w:val="0"/>
          <w:color w:val="0D1B2A"/>
          <w:sz w:val="21"/>
        </w:rPr>
        <w:t xml:space="preserve">[P=15%]  S4 — Taiwan Strait Escalation (Below Armed Conflict)  </w:t>
      </w:r>
      <w:r>
        <w:rPr>
          <w:rFonts w:ascii="Georgia" w:hAnsi="Georgia"/>
          <w:b w:val="0"/>
          <w:i w:val="0"/>
          <w:color w:val="4A4A4A"/>
          <w:sz w:val="21"/>
        </w:rPr>
        <w:t>PLA conducts Fourth Taiwan Strait Crisis exercise larger than 2022 (which was 2x 1996). Not an invasion — a demonstration designed to test US resolve and market tolerance. Taiwan Semiconductor production risk = $1T+ global GDP at risk.</w:t>
      </w:r>
      <w:r>
        <w:br/>
      </w:r>
      <w:r>
        <w:rPr>
          <w:rFonts w:ascii="Georgia" w:hAnsi="Georgia"/>
          <w:b w:val="0"/>
          <w:i/>
          <w:color w:val="8A8A8A"/>
          <w:sz w:val="19"/>
        </w:rPr>
        <w:t>Watch for: Watch for: PLA East Theatre Command exercise alerts; Taiwan presidential statements on independence</w:t>
      </w:r>
    </w:p>
    <w:p>
      <w:pPr>
        <w:spacing w:before="120" w:after="60"/>
        <w:ind w:left="360"/>
      </w:pPr>
      <w:r>
        <w:rPr>
          <w:rFonts w:ascii="Calibri" w:hAnsi="Calibri"/>
          <w:b/>
          <w:i w:val="0"/>
          <w:color w:val="0D1B2A"/>
          <w:sz w:val="21"/>
        </w:rPr>
        <w:t xml:space="preserve">[P=8%]  S5 — Nuclear Threshold Event  </w:t>
      </w:r>
      <w:r>
        <w:rPr>
          <w:rFonts w:ascii="Georgia" w:hAnsi="Georgia"/>
          <w:b w:val="0"/>
          <w:i w:val="0"/>
          <w:color w:val="4A4A4A"/>
          <w:sz w:val="21"/>
        </w:rPr>
        <w:t>DPRK nuclear test (7th); tactical nuclear weapon use in a theatre conflict; or Iranian test. The lowest probability but highest severity scenario. At P=8%, this deserves more serious contingency planning than most institutions allocate.</w:t>
      </w:r>
      <w:r>
        <w:br/>
      </w:r>
      <w:r>
        <w:rPr>
          <w:rFonts w:ascii="Georgia" w:hAnsi="Georgia"/>
          <w:b w:val="0"/>
          <w:i/>
          <w:color w:val="8A8A8A"/>
          <w:sz w:val="19"/>
        </w:rPr>
        <w:t>Watch for: Watch for: DPRK seismic activity at Punggye-ri; IAEA Iran access suspended; Russian nuclear doctrine invocation in Ukraine</w:t>
      </w:r>
    </w:p>
    <w:p>
      <w:pPr>
        <w:spacing w:before="200" w:after="40"/>
      </w:pPr>
      <w:r>
        <w:rPr>
          <w:rFonts w:ascii="Calibri" w:hAnsi="Calibri"/>
          <w:b/>
          <w:i w:val="0"/>
          <w:color w:val="B8960A"/>
          <w:sz w:val="22"/>
        </w:rPr>
        <w:t>ECONOMICS &amp; MARKETS SCENARIOS</w:t>
      </w:r>
    </w:p>
    <w:p>
      <w:pPr>
        <w:spacing w:before="120" w:after="60"/>
        <w:ind w:left="360"/>
      </w:pPr>
      <w:r>
        <w:rPr>
          <w:rFonts w:ascii="Calibri" w:hAnsi="Calibri"/>
          <w:b/>
          <w:i w:val="0"/>
          <w:color w:val="0D1B2A"/>
          <w:sz w:val="21"/>
        </w:rPr>
        <w:t xml:space="preserve">[P=30%]  S6 — AI Capex Bubble Deflation  </w:t>
      </w:r>
      <w:r>
        <w:rPr>
          <w:rFonts w:ascii="Georgia" w:hAnsi="Georgia"/>
          <w:b w:val="0"/>
          <w:i w:val="0"/>
          <w:color w:val="8B0000"/>
          <w:sz w:val="21"/>
        </w:rPr>
        <w:t>A major hyperscaler (Microsoft, Meta, or Amazon) revises AI capex guidance down significantly, citing demand disappointment. Triggers NVIDIA re-rating, SK Hynix HBM demand signal, and VC AI investment freeze. Similar to Cisco 2000 but potentially faster and deeper given concentration of exposed capital.</w:t>
      </w:r>
      <w:r>
        <w:br/>
      </w:r>
      <w:r>
        <w:rPr>
          <w:rFonts w:ascii="Georgia" w:hAnsi="Georgia"/>
          <w:b w:val="0"/>
          <w:i/>
          <w:color w:val="8A8A8A"/>
          <w:sz w:val="19"/>
        </w:rPr>
        <w:t>Watch for: Watch for: Azure/AWS AI revenue growth decelerating below 35% YoY; OpenAI revenue guidance cut; Nvidia data center segment guidance revision</w:t>
      </w:r>
    </w:p>
    <w:p>
      <w:pPr>
        <w:spacing w:before="120" w:after="60"/>
        <w:ind w:left="360"/>
      </w:pPr>
      <w:r>
        <w:rPr>
          <w:rFonts w:ascii="Calibri" w:hAnsi="Calibri"/>
          <w:b/>
          <w:i w:val="0"/>
          <w:color w:val="0D1B2A"/>
          <w:sz w:val="21"/>
        </w:rPr>
        <w:t xml:space="preserve">[P=28%]  S7 — BOJ Shock / Yen Carry Unwind  </w:t>
      </w:r>
      <w:r>
        <w:rPr>
          <w:rFonts w:ascii="Georgia" w:hAnsi="Georgia"/>
          <w:b w:val="0"/>
          <w:i w:val="0"/>
          <w:color w:val="4A4A4A"/>
          <w:sz w:val="21"/>
        </w:rPr>
        <w:t>Bank of Japan rate hike to 1.5%+ triggers mass unwinding of $3-4T JPY carry trade. Simultaneous deleveraging in global equities, EM bonds, and crypto. August 2024 was the preview (Nikkei -12% in one session); the 2026 version could be 3-4x larger as the full carry trade position is more vulnerable.</w:t>
      </w:r>
      <w:r>
        <w:br/>
      </w:r>
      <w:r>
        <w:rPr>
          <w:rFonts w:ascii="Georgia" w:hAnsi="Georgia"/>
          <w:b w:val="0"/>
          <w:i/>
          <w:color w:val="8A8A8A"/>
          <w:sz w:val="19"/>
        </w:rPr>
        <w:t>Watch for: Watch for: JPY strengthening through 130/USD; BOJ statement language on 'normalisation'; leveraged fund positioning data from CFTC</w:t>
      </w:r>
    </w:p>
    <w:p>
      <w:pPr>
        <w:spacing w:before="120" w:after="60"/>
        <w:ind w:left="360"/>
      </w:pPr>
      <w:r>
        <w:rPr>
          <w:rFonts w:ascii="Calibri" w:hAnsi="Calibri"/>
          <w:b/>
          <w:i w:val="0"/>
          <w:color w:val="0D1B2A"/>
          <w:sz w:val="21"/>
        </w:rPr>
        <w:t xml:space="preserve">[P=35%]  S8 — Argentina Sovereign Default  </w:t>
      </w:r>
      <w:r>
        <w:rPr>
          <w:rFonts w:ascii="Georgia" w:hAnsi="Georgia"/>
          <w:b w:val="0"/>
          <w:i w:val="0"/>
          <w:color w:val="4A4A4A"/>
          <w:sz w:val="21"/>
        </w:rPr>
        <w:t>Milei reform program fails politically: congress blocks austerity measures, social protests force policy reversal, IMF programme suspended. 16th sovereign default in Argentine history. Peso devaluation 50%+. Regional contagion risk limited (markets already price Argentina as isolated).</w:t>
      </w:r>
      <w:r>
        <w:br/>
      </w:r>
      <w:r>
        <w:rPr>
          <w:rFonts w:ascii="Georgia" w:hAnsi="Georgia"/>
          <w:b w:val="0"/>
          <w:i/>
          <w:color w:val="8A8A8A"/>
          <w:sz w:val="19"/>
        </w:rPr>
        <w:t>Watch for: Watch for: Congressional midterm results 2025; IMF review outcome; FX reserve level</w:t>
      </w:r>
    </w:p>
    <w:p>
      <w:pPr>
        <w:spacing w:before="120" w:after="60"/>
        <w:ind w:left="360"/>
      </w:pPr>
      <w:r>
        <w:rPr>
          <w:rFonts w:ascii="Calibri" w:hAnsi="Calibri"/>
          <w:b/>
          <w:i w:val="0"/>
          <w:color w:val="0D1B2A"/>
          <w:sz w:val="21"/>
        </w:rPr>
        <w:t xml:space="preserve">[P=30%]  S9 — Global Recession 2026-2027  </w:t>
      </w:r>
      <w:r>
        <w:rPr>
          <w:rFonts w:ascii="Georgia" w:hAnsi="Georgia"/>
          <w:b w:val="0"/>
          <w:i w:val="0"/>
          <w:color w:val="4A4A4A"/>
          <w:sz w:val="21"/>
        </w:rPr>
        <w:t>Triggered by any combination of: Hormuz re-closure, AI capex deflation, BOJ carry unwind, or sustained Fed rates above neutral rate. GDP contraction in US (-1%), EU (-2%), Japan (-1.5%). Emerging markets: differentiated — India resilient; EM commodity exporters hit.</w:t>
      </w:r>
      <w:r>
        <w:br/>
      </w:r>
      <w:r>
        <w:rPr>
          <w:rFonts w:ascii="Georgia" w:hAnsi="Georgia"/>
          <w:b w:val="0"/>
          <w:i/>
          <w:color w:val="8A8A8A"/>
          <w:sz w:val="19"/>
        </w:rPr>
        <w:t>Watch for: Watch for: US yield curve inversion persisting &gt;6 months; PMI services &lt;50 in US for 2+ consecutive months</w:t>
      </w:r>
    </w:p>
    <w:p>
      <w:pPr>
        <w:spacing w:before="120" w:after="60"/>
        <w:ind w:left="360"/>
      </w:pPr>
      <w:r>
        <w:rPr>
          <w:rFonts w:ascii="Calibri" w:hAnsi="Calibri"/>
          <w:b/>
          <w:i w:val="0"/>
          <w:color w:val="0D1B2A"/>
          <w:sz w:val="21"/>
        </w:rPr>
        <w:t xml:space="preserve">[P=25%]  S10 — Turkey Debt Crisis  </w:t>
      </w:r>
      <w:r>
        <w:rPr>
          <w:rFonts w:ascii="Georgia" w:hAnsi="Georgia"/>
          <w:b w:val="0"/>
          <w:i w:val="0"/>
          <w:color w:val="4A4A4A"/>
          <w:sz w:val="21"/>
        </w:rPr>
        <w:t>Turkey's current account deficit, USD-denominated corporate debt ($150B+), and lira vulnerability create a crisis risk comparable to 2018-2019 episodes but at larger scale. TKRI=0.5520 reflects elevated probability.</w:t>
      </w:r>
      <w:r>
        <w:br/>
      </w:r>
      <w:r>
        <w:rPr>
          <w:rFonts w:ascii="Georgia" w:hAnsi="Georgia"/>
          <w:b w:val="0"/>
          <w:i/>
          <w:color w:val="8A8A8A"/>
          <w:sz w:val="19"/>
        </w:rPr>
        <w:t>Watch for: Watch for: USD/TRY through 45; Turkish banking sector NPL ratio &gt;15%; S&amp;P/Moody's negative outlook on sovereign debt</w:t>
      </w:r>
    </w:p>
    <w:p>
      <w:pPr>
        <w:spacing w:before="200" w:after="40"/>
      </w:pPr>
      <w:r>
        <w:rPr>
          <w:rFonts w:ascii="Calibri" w:hAnsi="Calibri"/>
          <w:b/>
          <w:i w:val="0"/>
          <w:color w:val="B8960A"/>
          <w:sz w:val="22"/>
        </w:rPr>
        <w:t>OPPORTUNITY &amp; STRUCTURAL SCENARIOS</w:t>
      </w:r>
    </w:p>
    <w:p>
      <w:pPr>
        <w:spacing w:before="120" w:after="60"/>
        <w:ind w:left="360"/>
      </w:pPr>
      <w:r>
        <w:rPr>
          <w:rFonts w:ascii="Calibri" w:hAnsi="Calibri"/>
          <w:b/>
          <w:i w:val="0"/>
          <w:color w:val="0D1B2A"/>
          <w:sz w:val="21"/>
        </w:rPr>
        <w:t xml:space="preserve">[P=55%]  S11 — India Outperformance (Growth Acceleration)  </w:t>
      </w:r>
      <w:r>
        <w:rPr>
          <w:rFonts w:ascii="Georgia" w:hAnsi="Georgia"/>
          <w:b w:val="0"/>
          <w:i w:val="0"/>
          <w:color w:val="1A5C2A"/>
          <w:sz w:val="21"/>
        </w:rPr>
        <w:t>India maintains 7-8% GDP growth, manufacturing FDI exceeds $100B/year, UPI digital infrastructure attracts further APAC fintech investment. India becomes world's 3rd largest economy by 2030. Most positive macro scenario.</w:t>
      </w:r>
      <w:r>
        <w:br/>
      </w:r>
      <w:r>
        <w:rPr>
          <w:rFonts w:ascii="Georgia" w:hAnsi="Georgia"/>
          <w:b w:val="0"/>
          <w:i/>
          <w:color w:val="8A8A8A"/>
          <w:sz w:val="19"/>
        </w:rPr>
        <w:t>Watch for: Watch for: Apple India revenue share &gt;15%; Modi manufacturing corridor progress reports</w:t>
      </w:r>
    </w:p>
    <w:p>
      <w:pPr>
        <w:spacing w:before="120" w:after="60"/>
        <w:ind w:left="360"/>
      </w:pPr>
      <w:r>
        <w:rPr>
          <w:rFonts w:ascii="Calibri" w:hAnsi="Calibri"/>
          <w:b/>
          <w:i w:val="0"/>
          <w:color w:val="0D1B2A"/>
          <w:sz w:val="21"/>
        </w:rPr>
        <w:t xml:space="preserve">[P=60%]  S12 — Latin America Nearshoring Boom  </w:t>
      </w:r>
      <w:r>
        <w:rPr>
          <w:rFonts w:ascii="Georgia" w:hAnsi="Georgia"/>
          <w:b w:val="0"/>
          <w:i w:val="0"/>
          <w:color w:val="1A5C2A"/>
          <w:sz w:val="21"/>
        </w:rPr>
        <w:t>Mexico and Brazil capture $150B+ in annual manufacturing FDI through 2028. Mexico GDP grows 3.5-4.5% sustained. USMCA utilisation increases. Latin America becomes the supply chain hedge for North American strategic sectors.</w:t>
      </w:r>
      <w:r>
        <w:br/>
      </w:r>
      <w:r>
        <w:rPr>
          <w:rFonts w:ascii="Georgia" w:hAnsi="Georgia"/>
          <w:b w:val="0"/>
          <w:i/>
          <w:color w:val="8A8A8A"/>
          <w:sz w:val="19"/>
        </w:rPr>
        <w:t>Watch for: Watch for: Announced factory openings in Monterrey, Saltillo, Juárez; Tesla Gigafactory Mexico production ramp</w:t>
      </w:r>
    </w:p>
    <w:p>
      <w:pPr>
        <w:spacing w:before="120" w:after="60"/>
        <w:ind w:left="360"/>
      </w:pPr>
      <w:r>
        <w:rPr>
          <w:rFonts w:ascii="Calibri" w:hAnsi="Calibri"/>
          <w:b/>
          <w:i w:val="0"/>
          <w:color w:val="0D1B2A"/>
          <w:sz w:val="21"/>
        </w:rPr>
        <w:t xml:space="preserve">[P=60%]  S13 — Green Energy Transition Acceleration  </w:t>
      </w:r>
      <w:r>
        <w:rPr>
          <w:rFonts w:ascii="Georgia" w:hAnsi="Georgia"/>
          <w:b w:val="0"/>
          <w:i w:val="0"/>
          <w:color w:val="1A5C2A"/>
          <w:sz w:val="21"/>
        </w:rPr>
        <w:t>IRA investment triggers 3-4x increase in US clean energy manufacturing. Solar LCOE falls below $20/MWh globally. EV adoption reaches 50%+ of new car sales in US and EU. China's solar monopoly faces first serious Western competition.</w:t>
      </w:r>
      <w:r>
        <w:br/>
      </w:r>
      <w:r>
        <w:rPr>
          <w:rFonts w:ascii="Georgia" w:hAnsi="Georgia"/>
          <w:b w:val="0"/>
          <w:i/>
          <w:color w:val="8A8A8A"/>
          <w:sz w:val="19"/>
        </w:rPr>
        <w:t>Watch for: Watch for: NREL solar cost data; IRA project completion rates; EV sales share in Q3 2026</w:t>
      </w:r>
    </w:p>
    <w:p>
      <w:pPr>
        <w:spacing w:before="120" w:after="60"/>
        <w:ind w:left="360"/>
      </w:pPr>
      <w:r>
        <w:rPr>
          <w:rFonts w:ascii="Calibri" w:hAnsi="Calibri"/>
          <w:b/>
          <w:i w:val="0"/>
          <w:color w:val="0D1B2A"/>
          <w:sz w:val="21"/>
        </w:rPr>
        <w:t xml:space="preserve">[P=35%]  S14 — Gulf-Israel Normalisation (Abraham Accords 2.0)  </w:t>
      </w:r>
      <w:r>
        <w:rPr>
          <w:rFonts w:ascii="Georgia" w:hAnsi="Georgia"/>
          <w:b w:val="0"/>
          <w:i w:val="0"/>
          <w:color w:val="1A5C2A"/>
          <w:sz w:val="21"/>
        </w:rPr>
        <w:t>Saudi-Israel normalisation achieves formal diplomatic breakthrough. Changes regional architecture: Iran's isolation deepened; Gulf capital flows into Israeli tech sector; Palestinian Authority in crisis as Arab states normalise without Palestinian state creation.</w:t>
      </w:r>
      <w:r>
        <w:br/>
      </w:r>
      <w:r>
        <w:rPr>
          <w:rFonts w:ascii="Georgia" w:hAnsi="Georgia"/>
          <w:b w:val="0"/>
          <w:i/>
          <w:color w:val="8A8A8A"/>
          <w:sz w:val="19"/>
        </w:rPr>
        <w:t>Watch for: Watch for: Saudi-Israeli direct flight announcement; MBS-Netanyahu contact; US backing for deal at UNGA</w:t>
      </w:r>
    </w:p>
    <w:p>
      <w:pPr>
        <w:spacing w:before="120" w:after="60"/>
        <w:ind w:left="360"/>
      </w:pPr>
      <w:r>
        <w:rPr>
          <w:rFonts w:ascii="Calibri" w:hAnsi="Calibri"/>
          <w:b/>
          <w:i w:val="0"/>
          <w:color w:val="0D1B2A"/>
          <w:sz w:val="21"/>
        </w:rPr>
        <w:t xml:space="preserve">[P=12%]  S15 — AGI-Precursor Capability Demonstration  </w:t>
      </w:r>
      <w:r>
        <w:rPr>
          <w:rFonts w:ascii="Georgia" w:hAnsi="Georgia"/>
          <w:b w:val="0"/>
          <w:i w:val="0"/>
          <w:color w:val="1A5C2A"/>
          <w:sz w:val="21"/>
        </w:rPr>
        <w:t>A frontier AI system demonstrates sustained, general-purpose reasoning substantially beyond any current system, in a validated external benchmark. Not AGI — but the first system that causes most experts to move their AGI timeline estimate from 'decades' to 'years'. Market impact: NVIDIA +40%; frontier AI companies re-rating; governance crisis as no existing framework applies.</w:t>
      </w:r>
      <w:r>
        <w:br/>
      </w:r>
      <w:r>
        <w:rPr>
          <w:rFonts w:ascii="Georgia" w:hAnsi="Georgia"/>
          <w:b w:val="0"/>
          <w:i/>
          <w:color w:val="8A8A8A"/>
          <w:sz w:val="19"/>
        </w:rPr>
        <w:t>Watch for: Watch for: OpenAI 'Strawberry' / GPT-6 announcement; Google DeepMind internal benchmark leak; Anthropic Constitutional AI 3.0 capability report</w:t>
      </w:r>
    </w:p>
    <w:p>
      <w:r>
        <w:br w:type="page"/>
      </w:r>
    </w:p>
    <w:p>
      <w:pPr>
        <w:spacing w:before="440" w:after="120"/>
      </w:pPr>
      <w:r>
        <w:rPr>
          <w:rFonts w:ascii="Calibri" w:hAnsi="Calibri"/>
          <w:b/>
          <w:i w:val="0"/>
          <w:color w:val="0D1B2A"/>
          <w:sz w:val="30"/>
        </w:rPr>
        <w:t>PART XI: FIVE-METHOD SYNTHESIS — CONVERGENT INTELLIGENCE FINDINGS</w:t>
      </w:r>
    </w:p>
    <w:p>
      <w:pPr>
        <w:pBdr>
          <w:bottom w:val="single" w:sz="6" w:space="1" w:color="B8960A"/>
        </w:pBdr>
        <w:spacing w:after="80"/>
      </w:pPr>
    </w:p>
    <w:p>
      <w:pPr>
        <w:spacing w:after="120"/>
      </w:pPr>
      <w:r>
        <w:rPr>
          <w:rFonts w:ascii="Georgia" w:hAnsi="Georgia"/>
          <w:b w:val="0"/>
          <w:i w:val="0"/>
          <w:color w:val="4A4A4A"/>
          <w:sz w:val="22"/>
        </w:rPr>
        <w:t>The five-method protocol — qualitative, quantitative, ethnographic, superforecasting, and adversarial-collaborative — is designed to surface intelligence that no single method can produce alone. Convergent findings (conclusions reached independently by multiple methods) carry highest confidence. Divergent signals (where methods disagree) mark genuine uncertainty rather than analytical failure.</w:t>
      </w:r>
    </w:p>
    <w:p>
      <w:pPr>
        <w:spacing w:before="200" w:after="40"/>
      </w:pPr>
      <w:r>
        <w:rPr>
          <w:rFonts w:ascii="Calibri" w:hAnsi="Calibri"/>
          <w:b/>
          <w:i w:val="0"/>
          <w:color w:val="B8960A"/>
          <w:sz w:val="22"/>
        </w:rPr>
        <w:t>11.1 — Convergent High-Confidence Findings (All Five Methods Agree)</w:t>
      </w:r>
    </w:p>
    <w:p>
      <w:pPr>
        <w:spacing w:before="160" w:after="80"/>
        <w:ind w:left="432" w:right="432"/>
        <w:pBdr>
          <w:left w:val="single" w:sz="16" w:space="8" w:color="0D1B2A"/>
        </w:pBdr>
      </w:pPr>
      <w:r>
        <w:rPr>
          <w:rFonts w:ascii="Calibri" w:hAnsi="Calibri"/>
          <w:b/>
          <w:i w:val="0"/>
          <w:color w:val="0D1B2A"/>
          <w:sz w:val="21"/>
        </w:rPr>
        <w:t>KEY FINDING C1 — INSTITUTIONAL LEGITIMACY IS THE CENTRAL CRISIS</w:t>
      </w:r>
      <w:r>
        <w:br/>
      </w:r>
      <w:r>
        <w:rPr>
          <w:rFonts w:ascii="Georgia" w:hAnsi="Georgia"/>
          <w:b w:val="0"/>
          <w:i/>
          <w:color w:val="4A4A4A"/>
          <w:sz w:val="21"/>
        </w:rPr>
        <w:t>Every method converges: the crisis of 2026 is not military, not economic, not technological. It is a crisis of institutional legitimacy (L=0.39, floor=0.45 breached) that is generating political instability faster than institutions can adapt. Qualitative: populism surge in 17/24 democracies. Quantitative: trust-in-government indices at 40-year lows in OECD. Ethnographic: composite voices across 8 countries show consistent theme of 'no one speaks for us'. Superforecasting: scenarios where legitimacy recovers carry cumulative P&lt;20%. Adversarial: steelman of optimism (AI productivity) fails to outweigh pessimism (distributional inequality acceleration). This is not a policy preference — it is the dominant signal.</w:t>
      </w:r>
      <w:r>
        <w:br/>
      </w:r>
      <w:r>
        <w:rPr>
          <w:rFonts w:ascii="Georgia" w:hAnsi="Georgia"/>
          <w:b w:val="0"/>
          <w:i w:val="0"/>
          <w:color w:val="8A8A8A"/>
          <w:sz w:val="20"/>
        </w:rPr>
        <w:t>Evidence: Φ L-variable reading; Turchin 2023; Blue Lotus Psychohistory Thesis; 108 Canaries WATCH/ELEVATED counts</w:t>
      </w:r>
    </w:p>
    <w:p>
      <w:pPr>
        <w:spacing w:before="160" w:after="80"/>
        <w:ind w:left="432" w:right="432"/>
        <w:pBdr>
          <w:left w:val="single" w:sz="16" w:space="8" w:color="0D1B2A"/>
        </w:pBdr>
      </w:pPr>
      <w:r>
        <w:rPr>
          <w:rFonts w:ascii="Calibri" w:hAnsi="Calibri"/>
          <w:b/>
          <w:i w:val="0"/>
          <w:color w:val="0D1B2A"/>
          <w:sz w:val="21"/>
        </w:rPr>
        <w:t>KEY FINDING C2 — TECHNOLOGY IS OUTRUNNING GOVERNANCE — AND THE GAP IS WIDENING</w:t>
      </w:r>
      <w:r>
        <w:br/>
      </w:r>
      <w:r>
        <w:rPr>
          <w:rFonts w:ascii="Georgia" w:hAnsi="Georgia"/>
          <w:b w:val="0"/>
          <w:i/>
          <w:color w:val="4A4A4A"/>
          <w:sz w:val="21"/>
        </w:rPr>
        <w:t>AI systems are being deployed at a rate that outpaces the regulatory, legal, and ethical infrastructure to govern them. The EU AI Act is 3-5 years behind the technology. US NIST frameworks are advisory, not binding. The governance gap is not merely an inconvenience — it is the mechanism by which K (Knowledge) advances while I (Institutions) stagnates, widening the K-I decoupling that feeds Φ decline.</w:t>
      </w:r>
      <w:r>
        <w:br/>
      </w:r>
      <w:r>
        <w:rPr>
          <w:rFonts w:ascii="Georgia" w:hAnsi="Georgia"/>
          <w:b w:val="0"/>
          <w:i w:val="0"/>
          <w:color w:val="8A8A8A"/>
          <w:sz w:val="20"/>
        </w:rPr>
        <w:t>Evidence: Blue Lotus Frontier Agentic AI Reference; EU AI Act analysis; NIST AI RMF 2025</w:t>
      </w:r>
    </w:p>
    <w:p>
      <w:pPr>
        <w:spacing w:before="160" w:after="80"/>
        <w:ind w:left="432" w:right="432"/>
        <w:pBdr>
          <w:left w:val="single" w:sz="16" w:space="8" w:color="0D1B2A"/>
        </w:pBdr>
      </w:pPr>
      <w:r>
        <w:rPr>
          <w:rFonts w:ascii="Calibri" w:hAnsi="Calibri"/>
          <w:b/>
          <w:i w:val="0"/>
          <w:color w:val="0D1B2A"/>
          <w:sz w:val="21"/>
        </w:rPr>
        <w:t>KEY FINDING C3 — THE DUAL BLOCKADE HAS PERMANENTLY CHANGED THE ENERGY RISK CALCULUS</w:t>
      </w:r>
      <w:r>
        <w:br/>
      </w:r>
      <w:r>
        <w:rPr>
          <w:rFonts w:ascii="Georgia" w:hAnsi="Georgia"/>
          <w:b w:val="0"/>
          <w:i/>
          <w:color w:val="4A4A4A"/>
          <w:sz w:val="21"/>
        </w:rPr>
        <w:t>Even if Hormuz and Bab al-Mandab never close simultaneously again, the fact that they DID close — for 110 days — has fundamentally altered the risk premium every buyer of Asian-destined crude must price in. Insurance markets, tanker routing, and national strategic reserve policies have permanently shifted. The expected cost of energy supply disruption is now priced 15-25% higher in Asia than pre-2025. This is a structural, not cyclical, change in the global energy architecture.</w:t>
      </w:r>
      <w:r>
        <w:br/>
      </w:r>
      <w:r>
        <w:rPr>
          <w:rFonts w:ascii="Georgia" w:hAnsi="Georgia"/>
          <w:b w:val="0"/>
          <w:i w:val="0"/>
          <w:color w:val="8A8A8A"/>
          <w:sz w:val="20"/>
        </w:rPr>
        <w:t>Evidence: Blue Lotus Dual Blockade Report; EIA data; Lloyd's of London maritime insurance adjustments</w:t>
      </w:r>
    </w:p>
    <w:p>
      <w:pPr>
        <w:spacing w:before="200" w:after="40"/>
      </w:pPr>
      <w:r>
        <w:rPr>
          <w:rFonts w:ascii="Calibri" w:hAnsi="Calibri"/>
          <w:b/>
          <w:i w:val="0"/>
          <w:color w:val="B8960A"/>
          <w:sz w:val="22"/>
        </w:rPr>
        <w:t>11.2 — Key Divergences (Methods Disagree — Genuine Uncertainty)</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Question</w:t>
            </w:r>
          </w:p>
        </w:tc>
        <w:tc>
          <w:tcPr>
            <w:tcW w:type="dxa" w:w="2209"/>
          </w:tcPr>
          <w:p>
            <w:r>
              <w:rPr>
                <w:rFonts w:ascii="Calibri" w:hAnsi="Calibri"/>
                <w:b/>
                <w:color w:val="0D1B2A"/>
                <w:sz w:val="19"/>
              </w:rPr>
              <w:t>Optimistic Signal</w:t>
            </w:r>
          </w:p>
        </w:tc>
        <w:tc>
          <w:tcPr>
            <w:tcW w:type="dxa" w:w="2209"/>
          </w:tcPr>
          <w:p>
            <w:r>
              <w:rPr>
                <w:rFonts w:ascii="Calibri" w:hAnsi="Calibri"/>
                <w:b/>
                <w:color w:val="0D1B2A"/>
                <w:sz w:val="19"/>
              </w:rPr>
              <w:t>Pessimistic Signal</w:t>
            </w:r>
          </w:p>
        </w:tc>
        <w:tc>
          <w:tcPr>
            <w:tcW w:type="dxa" w:w="2209"/>
          </w:tcPr>
          <w:p>
            <w:r>
              <w:rPr>
                <w:rFonts w:ascii="Calibri" w:hAnsi="Calibri"/>
                <w:b/>
                <w:color w:val="0D1B2A"/>
                <w:sz w:val="19"/>
              </w:rPr>
              <w:t>Blue Lotus Resolution</w:t>
            </w:r>
          </w:p>
        </w:tc>
      </w:tr>
      <w:tr>
        <w:tc>
          <w:tcPr>
            <w:tcW w:type="dxa" w:w="2209"/>
          </w:tcPr>
          <w:p>
            <w:r>
              <w:rPr>
                <w:rFonts w:ascii="Georgia" w:hAnsi="Georgia"/>
                <w:color w:val="4A4A4A"/>
                <w:sz w:val="19"/>
              </w:rPr>
              <w:t>Will AI generate enough productivity to offset distributional harm?</w:t>
            </w:r>
          </w:p>
        </w:tc>
        <w:tc>
          <w:tcPr>
            <w:tcW w:type="dxa" w:w="2209"/>
          </w:tcPr>
          <w:p>
            <w:r>
              <w:rPr>
                <w:rFonts w:ascii="Georgia" w:hAnsi="Georgia"/>
                <w:color w:val="4A4A4A"/>
                <w:sz w:val="19"/>
              </w:rPr>
              <w:t>Historical evidence: each technology revolution (steam, electricity, internet) raised overall welfare</w:t>
            </w:r>
          </w:p>
        </w:tc>
        <w:tc>
          <w:tcPr>
            <w:tcW w:type="dxa" w:w="2209"/>
          </w:tcPr>
          <w:p>
            <w:r>
              <w:rPr>
                <w:rFonts w:ascii="Georgia" w:hAnsi="Georgia"/>
                <w:color w:val="4A4A4A"/>
                <w:sz w:val="19"/>
              </w:rPr>
              <w:t>AI cognitive displacement differs: no 'new jobs' sector clearly visible for displaced cognitive workers</w:t>
            </w:r>
          </w:p>
        </w:tc>
        <w:tc>
          <w:tcPr>
            <w:tcW w:type="dxa" w:w="2209"/>
          </w:tcPr>
          <w:p>
            <w:r>
              <w:rPr>
                <w:rFonts w:ascii="Georgia" w:hAnsi="Georgia"/>
                <w:color w:val="4A4A4A"/>
                <w:sz w:val="19"/>
              </w:rPr>
              <w:t>No resolution — this is a genuine civilisational experiment. Watch ξ variable closely.</w:t>
            </w:r>
          </w:p>
        </w:tc>
      </w:tr>
      <w:tr>
        <w:tc>
          <w:tcPr>
            <w:tcW w:type="dxa" w:w="2209"/>
          </w:tcPr>
          <w:p>
            <w:r>
              <w:rPr>
                <w:rFonts w:ascii="Georgia" w:hAnsi="Georgia"/>
                <w:color w:val="4A4A4A"/>
                <w:sz w:val="19"/>
              </w:rPr>
              <w:t>Is Iran's nuclear programme permanently degraded?</w:t>
            </w:r>
          </w:p>
        </w:tc>
        <w:tc>
          <w:tcPr>
            <w:tcW w:type="dxa" w:w="2209"/>
          </w:tcPr>
          <w:p>
            <w:r>
              <w:rPr>
                <w:rFonts w:ascii="Georgia" w:hAnsi="Georgia"/>
                <w:color w:val="4A4A4A"/>
                <w:sz w:val="19"/>
              </w:rPr>
              <w:t>2026 NDS: 'obliterated'; physical infrastructure destroyed</w:t>
            </w:r>
          </w:p>
        </w:tc>
        <w:tc>
          <w:tcPr>
            <w:tcW w:type="dxa" w:w="2209"/>
          </w:tcPr>
          <w:p>
            <w:r>
              <w:rPr>
                <w:rFonts w:ascii="Georgia" w:hAnsi="Georgia"/>
                <w:color w:val="4A4A4A"/>
                <w:sz w:val="19"/>
              </w:rPr>
              <w:t>Iran's knowledge base intact; international sanctions regime weakened; reconstitution possible in 5-7 years</w:t>
            </w:r>
          </w:p>
        </w:tc>
        <w:tc>
          <w:tcPr>
            <w:tcW w:type="dxa" w:w="2209"/>
          </w:tcPr>
          <w:p>
            <w:r>
              <w:rPr>
                <w:rFonts w:ascii="Georgia" w:hAnsi="Georgia"/>
                <w:color w:val="4A4A4A"/>
                <w:sz w:val="19"/>
              </w:rPr>
              <w:t>CRS/2025 NSS framing ('significantly degraded') more evidence-consistent. P(Iran nuclear threshold by 2030)=18%.</w:t>
            </w:r>
          </w:p>
        </w:tc>
      </w:tr>
      <w:tr>
        <w:tc>
          <w:tcPr>
            <w:tcW w:type="dxa" w:w="2209"/>
          </w:tcPr>
          <w:p>
            <w:r>
              <w:rPr>
                <w:rFonts w:ascii="Georgia" w:hAnsi="Georgia"/>
                <w:color w:val="4A4A4A"/>
                <w:sz w:val="19"/>
              </w:rPr>
              <w:t>Will the AI capex bubble burst in 2026-2027?</w:t>
            </w:r>
          </w:p>
        </w:tc>
        <w:tc>
          <w:tcPr>
            <w:tcW w:type="dxa" w:w="2209"/>
          </w:tcPr>
          <w:p>
            <w:r>
              <w:rPr>
                <w:rFonts w:ascii="Georgia" w:hAnsi="Georgia"/>
                <w:color w:val="4A4A4A"/>
                <w:sz w:val="19"/>
              </w:rPr>
              <w:t>Cloud AI revenues accelerating; enterprise adoption early-stage; long-run TAM $5T+</w:t>
            </w:r>
          </w:p>
        </w:tc>
        <w:tc>
          <w:tcPr>
            <w:tcW w:type="dxa" w:w="2209"/>
          </w:tcPr>
          <w:p>
            <w:r>
              <w:rPr>
                <w:rFonts w:ascii="Georgia" w:hAnsi="Georgia"/>
                <w:color w:val="4A4A4A"/>
                <w:sz w:val="19"/>
              </w:rPr>
              <w:t>Current capex-to-revenue ratio unsustainable; no clear monetisation for $270B/year spend</w:t>
            </w:r>
          </w:p>
        </w:tc>
        <w:tc>
          <w:tcPr>
            <w:tcW w:type="dxa" w:w="2209"/>
          </w:tcPr>
          <w:p>
            <w:r>
              <w:rPr>
                <w:rFonts w:ascii="Georgia" w:hAnsi="Georgia"/>
                <w:color w:val="4A4A4A"/>
                <w:sz w:val="19"/>
              </w:rPr>
              <w:t>Bubble deflation P=30% but not imminent. The plateau is real; the cliff timing is uncertain.</w:t>
            </w:r>
          </w:p>
        </w:tc>
      </w:tr>
      <w:tr>
        <w:tc>
          <w:tcPr>
            <w:tcW w:type="dxa" w:w="2209"/>
          </w:tcPr>
          <w:p>
            <w:r>
              <w:rPr>
                <w:rFonts w:ascii="Georgia" w:hAnsi="Georgia"/>
                <w:color w:val="4A4A4A"/>
                <w:sz w:val="19"/>
              </w:rPr>
              <w:t>Is India's growth trajectory sustainable at 7-8%?</w:t>
            </w:r>
          </w:p>
        </w:tc>
        <w:tc>
          <w:tcPr>
            <w:tcW w:type="dxa" w:w="2209"/>
          </w:tcPr>
          <w:p>
            <w:r>
              <w:rPr>
                <w:rFonts w:ascii="Georgia" w:hAnsi="Georgia"/>
                <w:color w:val="4A4A4A"/>
                <w:sz w:val="19"/>
              </w:rPr>
              <w:t>Demographics, digital infrastructure, manufacturing shift create structural tailwinds</w:t>
            </w:r>
          </w:p>
        </w:tc>
        <w:tc>
          <w:tcPr>
            <w:tcW w:type="dxa" w:w="2209"/>
          </w:tcPr>
          <w:p>
            <w:r>
              <w:rPr>
                <w:rFonts w:ascii="Georgia" w:hAnsi="Georgia"/>
                <w:color w:val="4A4A4A"/>
                <w:sz w:val="19"/>
              </w:rPr>
              <w:t>Infrastructure bottlenecks, agricultural stagnation, BJP political overreach are real constraints</w:t>
            </w:r>
          </w:p>
        </w:tc>
        <w:tc>
          <w:tcPr>
            <w:tcW w:type="dxa" w:w="2209"/>
          </w:tcPr>
          <w:p>
            <w:r>
              <w:rPr>
                <w:rFonts w:ascii="Georgia" w:hAnsi="Georgia"/>
                <w:color w:val="4A4A4A"/>
                <w:sz w:val="19"/>
              </w:rPr>
              <w:t>Base case: 6-7% sustained. $10T by 2040 achievable but not certain (P=55%).</w:t>
            </w:r>
          </w:p>
        </w:tc>
      </w:tr>
    </w:tbl>
    <w:p>
      <w:pPr>
        <w:spacing w:after="160"/>
      </w:pPr>
    </w:p>
    <w:p>
      <w:pPr>
        <w:spacing w:before="200" w:after="40"/>
      </w:pPr>
      <w:r>
        <w:rPr>
          <w:rFonts w:ascii="Calibri" w:hAnsi="Calibri"/>
          <w:b/>
          <w:i w:val="0"/>
          <w:color w:val="B8960A"/>
          <w:sz w:val="22"/>
        </w:rPr>
        <w:t>11.3 — Intelligence Gaps (What Blue Lotus Cannot Assess With Confidence)</w:t>
      </w:r>
    </w:p>
    <w:p>
      <w:pPr>
        <w:pStyle w:val="ListBullet"/>
        <w:spacing w:after="60"/>
        <w:ind w:left="360"/>
      </w:pPr>
      <w:r>
        <w:rPr>
          <w:rFonts w:ascii="Georgia" w:hAnsi="Georgia"/>
          <w:b w:val="0"/>
          <w:i w:val="0"/>
          <w:color w:val="4A4A4A"/>
          <w:sz w:val="21"/>
        </w:rPr>
        <w:t>Iran's actual enriched uranium stockpile disposition: how much survived the strikes; where it is now; whether a parallel programme exists. This is the central unknown of the Middle East security assessment.</w:t>
      </w:r>
    </w:p>
    <w:p>
      <w:pPr>
        <w:pStyle w:val="ListBullet"/>
        <w:spacing w:after="60"/>
        <w:ind w:left="360"/>
      </w:pPr>
      <w:r>
        <w:rPr>
          <w:rFonts w:ascii="Georgia" w:hAnsi="Georgia"/>
          <w:b w:val="0"/>
          <w:i w:val="0"/>
          <w:color w:val="4A4A4A"/>
          <w:sz w:val="21"/>
        </w:rPr>
        <w:t>China's AI capability in classified military applications: the optimization trap analysis covers civilian AI; the PLA AI capability is operationally classified and may be more advanced than public evidence suggests.</w:t>
      </w:r>
    </w:p>
    <w:p>
      <w:pPr>
        <w:pStyle w:val="ListBullet"/>
        <w:spacing w:after="60"/>
        <w:ind w:left="360"/>
      </w:pPr>
      <w:r>
        <w:rPr>
          <w:rFonts w:ascii="Georgia" w:hAnsi="Georgia"/>
          <w:b w:val="0"/>
          <w:i w:val="0"/>
          <w:color w:val="4A4A4A"/>
          <w:sz w:val="21"/>
        </w:rPr>
        <w:t>Russia's actual reserve force capacity: Russian casualty figures are contested; the actual regeneration capacity of the Russian military is unknown with current intelligence access.</w:t>
      </w:r>
    </w:p>
    <w:p>
      <w:pPr>
        <w:pStyle w:val="ListBullet"/>
        <w:spacing w:after="60"/>
        <w:ind w:left="360"/>
      </w:pPr>
      <w:r>
        <w:rPr>
          <w:rFonts w:ascii="Georgia" w:hAnsi="Georgia"/>
          <w:b w:val="0"/>
          <w:i w:val="0"/>
          <w:color w:val="4A4A4A"/>
          <w:sz w:val="21"/>
        </w:rPr>
        <w:t>The BOJ's private risk model: what probability does the BOJ assign to carry trade systemic risk from its own rate hikes? This determines the pace of normalisation more than any public statement.</w:t>
      </w:r>
    </w:p>
    <w:p>
      <w:r>
        <w:br w:type="page"/>
      </w:r>
    </w:p>
    <w:p>
      <w:pPr>
        <w:spacing w:before="440" w:after="120"/>
      </w:pPr>
      <w:r>
        <w:rPr>
          <w:rFonts w:ascii="Calibri" w:hAnsi="Calibri"/>
          <w:b/>
          <w:i w:val="0"/>
          <w:color w:val="0D1B2A"/>
          <w:sz w:val="30"/>
        </w:rPr>
        <w:t>PART XII: GRAND REFERENCE MATRIX</w:t>
      </w:r>
    </w:p>
    <w:p>
      <w:pPr>
        <w:pBdr>
          <w:bottom w:val="single" w:sz="6" w:space="1" w:color="B8960A"/>
        </w:pBdr>
        <w:spacing w:after="80"/>
      </w:pPr>
    </w:p>
    <w:p>
      <w:pPr>
        <w:spacing w:after="120"/>
      </w:pPr>
      <w:r>
        <w:rPr>
          <w:rFonts w:ascii="Georgia" w:hAnsi="Georgia"/>
          <w:b w:val="0"/>
          <w:i w:val="0"/>
          <w:color w:val="4A4A4A"/>
          <w:sz w:val="22"/>
        </w:rPr>
        <w:t>All intelligence claims in this report trace to one or more of the following sources. Blue Lotus publications are primary; external sources provide corroboration and context. The 56-RAG research corpus (1.73M+ document chunks) underlies all Blue Lotus publications and is the intelligence infrastructure supporting this synthesis.</w:t>
      </w:r>
    </w:p>
    <w:p>
      <w:pPr>
        <w:spacing w:before="200" w:after="40"/>
      </w:pPr>
      <w:r>
        <w:rPr>
          <w:rFonts w:ascii="Calibri" w:hAnsi="Calibri"/>
          <w:b/>
          <w:i w:val="0"/>
          <w:color w:val="B8960A"/>
          <w:sz w:val="22"/>
        </w:rPr>
        <w:t>Blue Lotus Intelligence Publications (July 2026 Series)</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Publication</w:t>
            </w:r>
          </w:p>
        </w:tc>
        <w:tc>
          <w:tcPr>
            <w:tcW w:type="dxa" w:w="2946"/>
          </w:tcPr>
          <w:p>
            <w:r>
              <w:rPr>
                <w:rFonts w:ascii="Calibri" w:hAnsi="Calibri"/>
                <w:b/>
                <w:color w:val="0D1B2A"/>
                <w:sz w:val="19"/>
              </w:rPr>
              <w:t>Primary Intelligence Domain</w:t>
            </w:r>
          </w:p>
        </w:tc>
        <w:tc>
          <w:tcPr>
            <w:tcW w:type="dxa" w:w="2946"/>
          </w:tcPr>
          <w:p>
            <w:r>
              <w:rPr>
                <w:rFonts w:ascii="Calibri" w:hAnsi="Calibri"/>
                <w:b/>
                <w:color w:val="0D1B2A"/>
                <w:sz w:val="19"/>
              </w:rPr>
              <w:t>Key Finding</w:t>
            </w:r>
          </w:p>
        </w:tc>
      </w:tr>
      <w:tr>
        <w:tc>
          <w:tcPr>
            <w:tcW w:type="dxa" w:w="2946"/>
          </w:tcPr>
          <w:p>
            <w:r>
              <w:rPr>
                <w:rFonts w:ascii="Georgia" w:hAnsi="Georgia"/>
                <w:color w:val="4A4A4A"/>
                <w:sz w:val="19"/>
              </w:rPr>
              <w:t>The Civilisational Persistence Index Φ — Method Paper 01</w:t>
            </w:r>
          </w:p>
        </w:tc>
        <w:tc>
          <w:tcPr>
            <w:tcW w:type="dxa" w:w="2946"/>
          </w:tcPr>
          <w:p>
            <w:r>
              <w:rPr>
                <w:rFonts w:ascii="Georgia" w:hAnsi="Georgia"/>
                <w:color w:val="4A4A4A"/>
                <w:sz w:val="19"/>
              </w:rPr>
              <w:t>Framework: Φ, 7 variables, Seldon Thesis</w:t>
            </w:r>
          </w:p>
        </w:tc>
        <w:tc>
          <w:tcPr>
            <w:tcW w:type="dxa" w:w="2946"/>
          </w:tcPr>
          <w:p>
            <w:r>
              <w:rPr>
                <w:rFonts w:ascii="Georgia" w:hAnsi="Georgia"/>
                <w:color w:val="4A4A4A"/>
                <w:sz w:val="19"/>
              </w:rPr>
              <w:t>Φ(C,2026) = 0.31; 5 of 7 variables in danger zone</w:t>
            </w:r>
          </w:p>
        </w:tc>
      </w:tr>
      <w:tr>
        <w:tc>
          <w:tcPr>
            <w:tcW w:type="dxa" w:w="2946"/>
          </w:tcPr>
          <w:p>
            <w:r>
              <w:rPr>
                <w:rFonts w:ascii="Georgia" w:hAnsi="Georgia"/>
                <w:color w:val="4A4A4A"/>
                <w:sz w:val="19"/>
              </w:rPr>
              <w:t>US-Iran War: Trump's Gambit</w:t>
            </w:r>
          </w:p>
        </w:tc>
        <w:tc>
          <w:tcPr>
            <w:tcW w:type="dxa" w:w="2946"/>
          </w:tcPr>
          <w:p>
            <w:r>
              <w:rPr>
                <w:rFonts w:ascii="Georgia" w:hAnsi="Georgia"/>
                <w:color w:val="4A4A4A"/>
                <w:sz w:val="19"/>
              </w:rPr>
              <w:t>Middle East conflict; military strategy</w:t>
            </w:r>
          </w:p>
        </w:tc>
        <w:tc>
          <w:tcPr>
            <w:tcW w:type="dxa" w:w="2946"/>
          </w:tcPr>
          <w:p>
            <w:r>
              <w:rPr>
                <w:rFonts w:ascii="Georgia" w:hAnsi="Georgia"/>
                <w:color w:val="4A4A4A"/>
                <w:sz w:val="19"/>
              </w:rPr>
              <w:t>Operation Midnight Hammer + Epic Fury; Hormuz 110-day closure</w:t>
            </w:r>
          </w:p>
        </w:tc>
      </w:tr>
      <w:tr>
        <w:tc>
          <w:tcPr>
            <w:tcW w:type="dxa" w:w="2946"/>
          </w:tcPr>
          <w:p>
            <w:r>
              <w:rPr>
                <w:rFonts w:ascii="Georgia" w:hAnsi="Georgia"/>
                <w:color w:val="4A4A4A"/>
                <w:sz w:val="19"/>
              </w:rPr>
              <w:t>The Axis of Resistance: Iran's Proxy War Machine</w:t>
            </w:r>
          </w:p>
        </w:tc>
        <w:tc>
          <w:tcPr>
            <w:tcW w:type="dxa" w:w="2946"/>
          </w:tcPr>
          <w:p>
            <w:r>
              <w:rPr>
                <w:rFonts w:ascii="Georgia" w:hAnsi="Georgia"/>
                <w:color w:val="4A4A4A"/>
                <w:sz w:val="19"/>
              </w:rPr>
              <w:t>Hezbollah, Hamas, Houthis, PMF</w:t>
            </w:r>
          </w:p>
        </w:tc>
        <w:tc>
          <w:tcPr>
            <w:tcW w:type="dxa" w:w="2946"/>
          </w:tcPr>
          <w:p>
            <w:r>
              <w:rPr>
                <w:rFonts w:ascii="Georgia" w:hAnsi="Georgia"/>
                <w:color w:val="4A4A4A"/>
                <w:sz w:val="19"/>
              </w:rPr>
              <w:t>3-layer business model; Nash equilibrium; dual-chokepoint endgame</w:t>
            </w:r>
          </w:p>
        </w:tc>
      </w:tr>
      <w:tr>
        <w:tc>
          <w:tcPr>
            <w:tcW w:type="dxa" w:w="2946"/>
          </w:tcPr>
          <w:p>
            <w:r>
              <w:rPr>
                <w:rFonts w:ascii="Georgia" w:hAnsi="Georgia"/>
                <w:color w:val="4A4A4A"/>
                <w:sz w:val="19"/>
              </w:rPr>
              <w:t>The Dual Blockade</w:t>
            </w:r>
          </w:p>
        </w:tc>
        <w:tc>
          <w:tcPr>
            <w:tcW w:type="dxa" w:w="2946"/>
          </w:tcPr>
          <w:p>
            <w:r>
              <w:rPr>
                <w:rFonts w:ascii="Georgia" w:hAnsi="Georgia"/>
                <w:color w:val="4A4A4A"/>
                <w:sz w:val="19"/>
              </w:rPr>
              <w:t>Energy security; chokepoint analysis</w:t>
            </w:r>
          </w:p>
        </w:tc>
        <w:tc>
          <w:tcPr>
            <w:tcW w:type="dxa" w:w="2946"/>
          </w:tcPr>
          <w:p>
            <w:r>
              <w:rPr>
                <w:rFonts w:ascii="Georgia" w:hAnsi="Georgia"/>
                <w:color w:val="4A4A4A"/>
                <w:sz w:val="19"/>
              </w:rPr>
              <w:t>27.4 Mb/d at risk; first dual simultaneous closure in history</w:t>
            </w:r>
          </w:p>
        </w:tc>
      </w:tr>
      <w:tr>
        <w:tc>
          <w:tcPr>
            <w:tcW w:type="dxa" w:w="2946"/>
          </w:tcPr>
          <w:p>
            <w:r>
              <w:rPr>
                <w:rFonts w:ascii="Georgia" w:hAnsi="Georgia"/>
                <w:color w:val="4A4A4A"/>
                <w:sz w:val="19"/>
              </w:rPr>
              <w:t>The Optimization Trap: China's AI Involution</w:t>
            </w:r>
          </w:p>
        </w:tc>
        <w:tc>
          <w:tcPr>
            <w:tcW w:type="dxa" w:w="2946"/>
          </w:tcPr>
          <w:p>
            <w:r>
              <w:rPr>
                <w:rFonts w:ascii="Georgia" w:hAnsi="Georgia"/>
                <w:color w:val="4A4A4A"/>
                <w:sz w:val="19"/>
              </w:rPr>
              <w:t>China technology strategy</w:t>
            </w:r>
          </w:p>
        </w:tc>
        <w:tc>
          <w:tcPr>
            <w:tcW w:type="dxa" w:w="2946"/>
          </w:tcPr>
          <w:p>
            <w:r>
              <w:rPr>
                <w:rFonts w:ascii="Georgia" w:hAnsi="Georgia"/>
                <w:color w:val="4A4A4A"/>
                <w:sz w:val="19"/>
              </w:rPr>
              <w:t>Zero foundational breakthroughs despite $1T investment; 4 structural mechanisms</w:t>
            </w:r>
          </w:p>
        </w:tc>
      </w:tr>
      <w:tr>
        <w:tc>
          <w:tcPr>
            <w:tcW w:type="dxa" w:w="2946"/>
          </w:tcPr>
          <w:p>
            <w:r>
              <w:rPr>
                <w:rFonts w:ascii="Georgia" w:hAnsi="Georgia"/>
                <w:color w:val="4A4A4A"/>
                <w:sz w:val="19"/>
              </w:rPr>
              <w:t>China's AI Involution: The Token Price War</w:t>
            </w:r>
          </w:p>
        </w:tc>
        <w:tc>
          <w:tcPr>
            <w:tcW w:type="dxa" w:w="2946"/>
          </w:tcPr>
          <w:p>
            <w:r>
              <w:rPr>
                <w:rFonts w:ascii="Georgia" w:hAnsi="Georgia"/>
                <w:color w:val="4A4A4A"/>
                <w:sz w:val="19"/>
              </w:rPr>
              <w:t>AI market economics; China competitive dynamics</w:t>
            </w:r>
          </w:p>
        </w:tc>
        <w:tc>
          <w:tcPr>
            <w:tcW w:type="dxa" w:w="2946"/>
          </w:tcPr>
          <w:p>
            <w:r>
              <w:rPr>
                <w:rFonts w:ascii="Georgia" w:hAnsi="Georgia"/>
                <w:color w:val="4A4A4A"/>
                <w:sz w:val="19"/>
              </w:rPr>
              <w:t>DeepSeek $6M run → domestic price war → margin destruction</w:t>
            </w:r>
          </w:p>
        </w:tc>
      </w:tr>
      <w:tr>
        <w:tc>
          <w:tcPr>
            <w:tcW w:type="dxa" w:w="2946"/>
          </w:tcPr>
          <w:p>
            <w:r>
              <w:rPr>
                <w:rFonts w:ascii="Georgia" w:hAnsi="Georgia"/>
                <w:color w:val="4A4A4A"/>
                <w:sz w:val="19"/>
              </w:rPr>
              <w:t>Frontier Agentic AI: A Reference Book</w:t>
            </w:r>
          </w:p>
        </w:tc>
        <w:tc>
          <w:tcPr>
            <w:tcW w:type="dxa" w:w="2946"/>
          </w:tcPr>
          <w:p>
            <w:r>
              <w:rPr>
                <w:rFonts w:ascii="Georgia" w:hAnsi="Georgia"/>
                <w:color w:val="4A4A4A"/>
                <w:sz w:val="19"/>
              </w:rPr>
              <w:t>AI capability assessment</w:t>
            </w:r>
          </w:p>
        </w:tc>
        <w:tc>
          <w:tcPr>
            <w:tcW w:type="dxa" w:w="2946"/>
          </w:tcPr>
          <w:p>
            <w:r>
              <w:rPr>
                <w:rFonts w:ascii="Georgia" w:hAnsi="Georgia"/>
                <w:color w:val="4A4A4A"/>
                <w:sz w:val="19"/>
              </w:rPr>
              <w:t>Agentic systems at production-grade; governance 10 years behind</w:t>
            </w:r>
          </w:p>
        </w:tc>
      </w:tr>
      <w:tr>
        <w:tc>
          <w:tcPr>
            <w:tcW w:type="dxa" w:w="2946"/>
          </w:tcPr>
          <w:p>
            <w:r>
              <w:rPr>
                <w:rFonts w:ascii="Georgia" w:hAnsi="Georgia"/>
                <w:color w:val="4A4A4A"/>
                <w:sz w:val="19"/>
              </w:rPr>
              <w:t>AI Follow the Money</w:t>
            </w:r>
          </w:p>
        </w:tc>
        <w:tc>
          <w:tcPr>
            <w:tcW w:type="dxa" w:w="2946"/>
          </w:tcPr>
          <w:p>
            <w:r>
              <w:rPr>
                <w:rFonts w:ascii="Georgia" w:hAnsi="Georgia"/>
                <w:color w:val="4A4A4A"/>
                <w:sz w:val="19"/>
              </w:rPr>
              <w:t>AI industry capital flows; forensic accounting</w:t>
            </w:r>
          </w:p>
        </w:tc>
        <w:tc>
          <w:tcPr>
            <w:tcW w:type="dxa" w:w="2946"/>
          </w:tcPr>
          <w:p>
            <w:r>
              <w:rPr>
                <w:rFonts w:ascii="Georgia" w:hAnsi="Georgia"/>
                <w:color w:val="4A4A4A"/>
                <w:sz w:val="19"/>
              </w:rPr>
              <w:t>$270B capex; OpenAI -$5B/year; NVIDIA 57.4% margins</w:t>
            </w:r>
          </w:p>
        </w:tc>
      </w:tr>
      <w:tr>
        <w:tc>
          <w:tcPr>
            <w:tcW w:type="dxa" w:w="2946"/>
          </w:tcPr>
          <w:p>
            <w:r>
              <w:rPr>
                <w:rFonts w:ascii="Georgia" w:hAnsi="Georgia"/>
                <w:color w:val="4A4A4A"/>
                <w:sz w:val="19"/>
              </w:rPr>
              <w:t>The Trump Decade: An Investigative Reckoning</w:t>
            </w:r>
          </w:p>
        </w:tc>
        <w:tc>
          <w:tcPr>
            <w:tcW w:type="dxa" w:w="2946"/>
          </w:tcPr>
          <w:p>
            <w:r>
              <w:rPr>
                <w:rFonts w:ascii="Georgia" w:hAnsi="Georgia"/>
                <w:color w:val="4A4A4A"/>
                <w:sz w:val="19"/>
              </w:rPr>
              <w:t>US foreign and economic policy 2017-2026</w:t>
            </w:r>
          </w:p>
        </w:tc>
        <w:tc>
          <w:tcPr>
            <w:tcW w:type="dxa" w:w="2946"/>
          </w:tcPr>
          <w:p>
            <w:r>
              <w:rPr>
                <w:rFonts w:ascii="Georgia" w:hAnsi="Georgia"/>
                <w:color w:val="4A4A4A"/>
                <w:sz w:val="19"/>
              </w:rPr>
              <w:t>Liberation Day tariffs; Iran war; Abraham Accords; fiscal arithmetic</w:t>
            </w:r>
          </w:p>
        </w:tc>
      </w:tr>
      <w:tr>
        <w:tc>
          <w:tcPr>
            <w:tcW w:type="dxa" w:w="2946"/>
          </w:tcPr>
          <w:p>
            <w:r>
              <w:rPr>
                <w:rFonts w:ascii="Georgia" w:hAnsi="Georgia"/>
                <w:color w:val="4A4A4A"/>
                <w:sz w:val="19"/>
              </w:rPr>
              <w:t>Russia's Frozen War</w:t>
            </w:r>
          </w:p>
        </w:tc>
        <w:tc>
          <w:tcPr>
            <w:tcW w:type="dxa" w:w="2946"/>
          </w:tcPr>
          <w:p>
            <w:r>
              <w:rPr>
                <w:rFonts w:ascii="Georgia" w:hAnsi="Georgia"/>
                <w:color w:val="4A4A4A"/>
                <w:sz w:val="19"/>
              </w:rPr>
              <w:t>Ukraine war; European security</w:t>
            </w:r>
          </w:p>
        </w:tc>
        <w:tc>
          <w:tcPr>
            <w:tcW w:type="dxa" w:w="2946"/>
          </w:tcPr>
          <w:p>
            <w:r>
              <w:rPr>
                <w:rFonts w:ascii="Georgia" w:hAnsi="Georgia"/>
                <w:color w:val="4A4A4A"/>
                <w:sz w:val="19"/>
              </w:rPr>
              <w:t>Stalemate assessment; 3 scenarios; 22% frontline collapse probability</w:t>
            </w:r>
          </w:p>
        </w:tc>
      </w:tr>
      <w:tr>
        <w:tc>
          <w:tcPr>
            <w:tcW w:type="dxa" w:w="2946"/>
          </w:tcPr>
          <w:p>
            <w:r>
              <w:rPr>
                <w:rFonts w:ascii="Georgia" w:hAnsi="Georgia"/>
                <w:color w:val="4A4A4A"/>
                <w:sz w:val="19"/>
              </w:rPr>
              <w:t>India: The $10 Trillion Bet</w:t>
            </w:r>
          </w:p>
        </w:tc>
        <w:tc>
          <w:tcPr>
            <w:tcW w:type="dxa" w:w="2946"/>
          </w:tcPr>
          <w:p>
            <w:r>
              <w:rPr>
                <w:rFonts w:ascii="Georgia" w:hAnsi="Georgia"/>
                <w:color w:val="4A4A4A"/>
                <w:sz w:val="19"/>
              </w:rPr>
              <w:t>India geopolitics and economic strategy</w:t>
            </w:r>
          </w:p>
        </w:tc>
        <w:tc>
          <w:tcPr>
            <w:tcW w:type="dxa" w:w="2946"/>
          </w:tcPr>
          <w:p>
            <w:r>
              <w:rPr>
                <w:rFonts w:ascii="Georgia" w:hAnsi="Georgia"/>
                <w:color w:val="4A4A4A"/>
                <w:sz w:val="19"/>
              </w:rPr>
              <w:t>Strategic autonomy; $3.7T → $10T target; demographic dividend</w:t>
            </w:r>
          </w:p>
        </w:tc>
      </w:tr>
      <w:tr>
        <w:tc>
          <w:tcPr>
            <w:tcW w:type="dxa" w:w="2946"/>
          </w:tcPr>
          <w:p>
            <w:r>
              <w:rPr>
                <w:rFonts w:ascii="Georgia" w:hAnsi="Georgia"/>
                <w:color w:val="4A4A4A"/>
                <w:sz w:val="19"/>
              </w:rPr>
              <w:t>The $1 Trillion Green Race</w:t>
            </w:r>
          </w:p>
        </w:tc>
        <w:tc>
          <w:tcPr>
            <w:tcW w:type="dxa" w:w="2946"/>
          </w:tcPr>
          <w:p>
            <w:r>
              <w:rPr>
                <w:rFonts w:ascii="Georgia" w:hAnsi="Georgia"/>
                <w:color w:val="4A4A4A"/>
                <w:sz w:val="19"/>
              </w:rPr>
              <w:t>Energy transition; critical minerals; climate</w:t>
            </w:r>
          </w:p>
        </w:tc>
        <w:tc>
          <w:tcPr>
            <w:tcW w:type="dxa" w:w="2946"/>
          </w:tcPr>
          <w:p>
            <w:r>
              <w:rPr>
                <w:rFonts w:ascii="Georgia" w:hAnsi="Georgia"/>
                <w:color w:val="4A4A4A"/>
                <w:sz w:val="19"/>
              </w:rPr>
              <w:t>China's clean energy monopoly; IRA response; 8-12 year parity timeline</w:t>
            </w:r>
          </w:p>
        </w:tc>
      </w:tr>
      <w:tr>
        <w:tc>
          <w:tcPr>
            <w:tcW w:type="dxa" w:w="2946"/>
          </w:tcPr>
          <w:p>
            <w:r>
              <w:rPr>
                <w:rFonts w:ascii="Georgia" w:hAnsi="Georgia"/>
                <w:color w:val="4A4A4A"/>
                <w:sz w:val="19"/>
              </w:rPr>
              <w:t>Europe's Last Stand</w:t>
            </w:r>
          </w:p>
        </w:tc>
        <w:tc>
          <w:tcPr>
            <w:tcW w:type="dxa" w:w="2946"/>
          </w:tcPr>
          <w:p>
            <w:r>
              <w:rPr>
                <w:rFonts w:ascii="Georgia" w:hAnsi="Georgia"/>
                <w:color w:val="4A4A4A"/>
                <w:sz w:val="19"/>
              </w:rPr>
              <w:t>EU AI Act; German deindustrialisation; NATO</w:t>
            </w:r>
          </w:p>
        </w:tc>
        <w:tc>
          <w:tcPr>
            <w:tcW w:type="dxa" w:w="2946"/>
          </w:tcPr>
          <w:p>
            <w:r>
              <w:rPr>
                <w:rFonts w:ascii="Georgia" w:hAnsi="Georgia"/>
                <w:color w:val="4A4A4A"/>
                <w:sz w:val="19"/>
              </w:rPr>
              <w:t>Regulatory overreach; energy cost permanent impairment; Article 5 credibility</w:t>
            </w:r>
          </w:p>
        </w:tc>
      </w:tr>
      <w:tr>
        <w:tc>
          <w:tcPr>
            <w:tcW w:type="dxa" w:w="2946"/>
          </w:tcPr>
          <w:p>
            <w:r>
              <w:rPr>
                <w:rFonts w:ascii="Georgia" w:hAnsi="Georgia"/>
                <w:color w:val="4A4A4A"/>
                <w:sz w:val="19"/>
              </w:rPr>
              <w:t>Invisible Wars</w:t>
            </w:r>
          </w:p>
        </w:tc>
        <w:tc>
          <w:tcPr>
            <w:tcW w:type="dxa" w:w="2946"/>
          </w:tcPr>
          <w:p>
            <w:r>
              <w:rPr>
                <w:rFonts w:ascii="Georgia" w:hAnsi="Georgia"/>
                <w:color w:val="4A4A4A"/>
                <w:sz w:val="19"/>
              </w:rPr>
              <w:t>Cyber operations; information warfare</w:t>
            </w:r>
          </w:p>
        </w:tc>
        <w:tc>
          <w:tcPr>
            <w:tcW w:type="dxa" w:w="2946"/>
          </w:tcPr>
          <w:p>
            <w:r>
              <w:rPr>
                <w:rFonts w:ascii="Georgia" w:hAnsi="Georgia"/>
                <w:color w:val="4A4A4A"/>
                <w:sz w:val="19"/>
              </w:rPr>
              <w:t>China/Russia/Iran simultaneous ops against US infrastructure</w:t>
            </w:r>
          </w:p>
        </w:tc>
      </w:tr>
      <w:tr>
        <w:tc>
          <w:tcPr>
            <w:tcW w:type="dxa" w:w="2946"/>
          </w:tcPr>
          <w:p>
            <w:r>
              <w:rPr>
                <w:rFonts w:ascii="Georgia" w:hAnsi="Georgia"/>
                <w:color w:val="4A4A4A"/>
                <w:sz w:val="19"/>
              </w:rPr>
              <w:t>The Commodity Code</w:t>
            </w:r>
          </w:p>
        </w:tc>
        <w:tc>
          <w:tcPr>
            <w:tcW w:type="dxa" w:w="2946"/>
          </w:tcPr>
          <w:p>
            <w:r>
              <w:rPr>
                <w:rFonts w:ascii="Georgia" w:hAnsi="Georgia"/>
                <w:color w:val="4A4A4A"/>
                <w:sz w:val="19"/>
              </w:rPr>
              <w:t>Rare earths; critical minerals; resource geopolitics</w:t>
            </w:r>
          </w:p>
        </w:tc>
        <w:tc>
          <w:tcPr>
            <w:tcW w:type="dxa" w:w="2946"/>
          </w:tcPr>
          <w:p>
            <w:r>
              <w:rPr>
                <w:rFonts w:ascii="Georgia" w:hAnsi="Georgia"/>
                <w:color w:val="4A4A4A"/>
                <w:sz w:val="19"/>
              </w:rPr>
              <w:t>China 85%+ rare earth processing; Western 8-12 year diversification horizon</w:t>
            </w:r>
          </w:p>
        </w:tc>
      </w:tr>
      <w:tr>
        <w:tc>
          <w:tcPr>
            <w:tcW w:type="dxa" w:w="2946"/>
          </w:tcPr>
          <w:p>
            <w:r>
              <w:rPr>
                <w:rFonts w:ascii="Georgia" w:hAnsi="Georgia"/>
                <w:color w:val="4A4A4A"/>
                <w:sz w:val="19"/>
              </w:rPr>
              <w:t>Quantum Supremacy</w:t>
            </w:r>
          </w:p>
        </w:tc>
        <w:tc>
          <w:tcPr>
            <w:tcW w:type="dxa" w:w="2946"/>
          </w:tcPr>
          <w:p>
            <w:r>
              <w:rPr>
                <w:rFonts w:ascii="Georgia" w:hAnsi="Georgia"/>
                <w:color w:val="4A4A4A"/>
                <w:sz w:val="19"/>
              </w:rPr>
              <w:t>Quantum computing; cryptographic risk</w:t>
            </w:r>
          </w:p>
        </w:tc>
        <w:tc>
          <w:tcPr>
            <w:tcW w:type="dxa" w:w="2946"/>
          </w:tcPr>
          <w:p>
            <w:r>
              <w:rPr>
                <w:rFonts w:ascii="Georgia" w:hAnsi="Georgia"/>
                <w:color w:val="4A4A4A"/>
                <w:sz w:val="19"/>
              </w:rPr>
              <w:t>CRQC timeline 2033-2040; harvest-now-decrypt-later risk operational</w:t>
            </w:r>
          </w:p>
        </w:tc>
      </w:tr>
      <w:tr>
        <w:tc>
          <w:tcPr>
            <w:tcW w:type="dxa" w:w="2946"/>
          </w:tcPr>
          <w:p>
            <w:r>
              <w:rPr>
                <w:rFonts w:ascii="Georgia" w:hAnsi="Georgia"/>
                <w:color w:val="4A4A4A"/>
                <w:sz w:val="19"/>
              </w:rPr>
              <w:t>Bitcoin's Geopolitical Moment</w:t>
            </w:r>
          </w:p>
        </w:tc>
        <w:tc>
          <w:tcPr>
            <w:tcW w:type="dxa" w:w="2946"/>
          </w:tcPr>
          <w:p>
            <w:r>
              <w:rPr>
                <w:rFonts w:ascii="Georgia" w:hAnsi="Georgia"/>
                <w:color w:val="4A4A4A"/>
                <w:sz w:val="19"/>
              </w:rPr>
              <w:t>Crypto; de-dollarisation; reserve assets</w:t>
            </w:r>
          </w:p>
        </w:tc>
        <w:tc>
          <w:tcPr>
            <w:tcW w:type="dxa" w:w="2946"/>
          </w:tcPr>
          <w:p>
            <w:r>
              <w:rPr>
                <w:rFonts w:ascii="Georgia" w:hAnsi="Georgia"/>
                <w:color w:val="4A4A4A"/>
                <w:sz w:val="19"/>
              </w:rPr>
              <w:t>US Strategic Bitcoin Reserve; 12 nations studying BTC reserves; gold at $3,200+</w:t>
            </w:r>
          </w:p>
        </w:tc>
      </w:tr>
      <w:tr>
        <w:tc>
          <w:tcPr>
            <w:tcW w:type="dxa" w:w="2946"/>
          </w:tcPr>
          <w:p>
            <w:r>
              <w:rPr>
                <w:rFonts w:ascii="Georgia" w:hAnsi="Georgia"/>
                <w:color w:val="4A4A4A"/>
                <w:sz w:val="19"/>
              </w:rPr>
              <w:t>The Space Economy</w:t>
            </w:r>
          </w:p>
        </w:tc>
        <w:tc>
          <w:tcPr>
            <w:tcW w:type="dxa" w:w="2946"/>
          </w:tcPr>
          <w:p>
            <w:r>
              <w:rPr>
                <w:rFonts w:ascii="Georgia" w:hAnsi="Georgia"/>
                <w:color w:val="4A4A4A"/>
                <w:sz w:val="19"/>
              </w:rPr>
              <w:t>Space; Starlink; commercial satellite</w:t>
            </w:r>
          </w:p>
        </w:tc>
        <w:tc>
          <w:tcPr>
            <w:tcW w:type="dxa" w:w="2946"/>
          </w:tcPr>
          <w:p>
            <w:r>
              <w:rPr>
                <w:rFonts w:ascii="Georgia" w:hAnsi="Georgia"/>
                <w:color w:val="4A4A4A"/>
                <w:sz w:val="19"/>
              </w:rPr>
              <w:t>Starlink changed Ukraine war; $6B+ revenue; 6,000+ satellites</w:t>
            </w:r>
          </w:p>
        </w:tc>
      </w:tr>
      <w:tr>
        <w:tc>
          <w:tcPr>
            <w:tcW w:type="dxa" w:w="2946"/>
          </w:tcPr>
          <w:p>
            <w:r>
              <w:rPr>
                <w:rFonts w:ascii="Georgia" w:hAnsi="Georgia"/>
                <w:color w:val="4A4A4A"/>
                <w:sz w:val="19"/>
              </w:rPr>
              <w:t>The Biology Revolution</w:t>
            </w:r>
          </w:p>
        </w:tc>
        <w:tc>
          <w:tcPr>
            <w:tcW w:type="dxa" w:w="2946"/>
          </w:tcPr>
          <w:p>
            <w:r>
              <w:rPr>
                <w:rFonts w:ascii="Georgia" w:hAnsi="Georgia"/>
                <w:color w:val="4A4A4A"/>
                <w:sz w:val="19"/>
              </w:rPr>
              <w:t>mRNA, CRISPR, synthetic biology</w:t>
            </w:r>
          </w:p>
        </w:tc>
        <w:tc>
          <w:tcPr>
            <w:tcW w:type="dxa" w:w="2946"/>
          </w:tcPr>
          <w:p>
            <w:r>
              <w:rPr>
                <w:rFonts w:ascii="Georgia" w:hAnsi="Georgia"/>
                <w:color w:val="4A4A4A"/>
                <w:sz w:val="19"/>
              </w:rPr>
              <w:t>$150B mRNA market by 2030; dual-use biosafety governance gap</w:t>
            </w:r>
          </w:p>
        </w:tc>
      </w:tr>
      <w:tr>
        <w:tc>
          <w:tcPr>
            <w:tcW w:type="dxa" w:w="2946"/>
          </w:tcPr>
          <w:p>
            <w:r>
              <w:rPr>
                <w:rFonts w:ascii="Georgia" w:hAnsi="Georgia"/>
                <w:color w:val="4A4A4A"/>
                <w:sz w:val="19"/>
              </w:rPr>
              <w:t>Gulf Capital</w:t>
            </w:r>
          </w:p>
        </w:tc>
        <w:tc>
          <w:tcPr>
            <w:tcW w:type="dxa" w:w="2946"/>
          </w:tcPr>
          <w:p>
            <w:r>
              <w:rPr>
                <w:rFonts w:ascii="Georgia" w:hAnsi="Georgia"/>
                <w:color w:val="4A4A4A"/>
                <w:sz w:val="19"/>
              </w:rPr>
              <w:t>Sovereign wealth; Gulf strategy</w:t>
            </w:r>
          </w:p>
        </w:tc>
        <w:tc>
          <w:tcPr>
            <w:tcW w:type="dxa" w:w="2946"/>
          </w:tcPr>
          <w:p>
            <w:r>
              <w:rPr>
                <w:rFonts w:ascii="Georgia" w:hAnsi="Georgia"/>
                <w:color w:val="4A4A4A"/>
                <w:sz w:val="19"/>
              </w:rPr>
              <w:t>PIF $700B, ADIA $1T+, QIA $475B; Gulf = new financial Switzerland</w:t>
            </w:r>
          </w:p>
        </w:tc>
      </w:tr>
      <w:tr>
        <w:tc>
          <w:tcPr>
            <w:tcW w:type="dxa" w:w="2946"/>
          </w:tcPr>
          <w:p>
            <w:r>
              <w:rPr>
                <w:rFonts w:ascii="Georgia" w:hAnsi="Georgia"/>
                <w:color w:val="4A4A4A"/>
                <w:sz w:val="19"/>
              </w:rPr>
              <w:t>The CHIPS Act, Debt Clock, and Fed</w:t>
            </w:r>
          </w:p>
        </w:tc>
        <w:tc>
          <w:tcPr>
            <w:tcW w:type="dxa" w:w="2946"/>
          </w:tcPr>
          <w:p>
            <w:r>
              <w:rPr>
                <w:rFonts w:ascii="Georgia" w:hAnsi="Georgia"/>
                <w:color w:val="4A4A4A"/>
                <w:sz w:val="19"/>
              </w:rPr>
              <w:t>US industrial policy; fiscal sustainability</w:t>
            </w:r>
          </w:p>
        </w:tc>
        <w:tc>
          <w:tcPr>
            <w:tcW w:type="dxa" w:w="2946"/>
          </w:tcPr>
          <w:p>
            <w:r>
              <w:rPr>
                <w:rFonts w:ascii="Georgia" w:hAnsi="Georgia"/>
                <w:color w:val="4A4A4A"/>
                <w:sz w:val="19"/>
              </w:rPr>
              <w:t>$36T debt; CHIPS Act results; Fed inflation-recession dilemma</w:t>
            </w:r>
          </w:p>
        </w:tc>
      </w:tr>
      <w:tr>
        <w:tc>
          <w:tcPr>
            <w:tcW w:type="dxa" w:w="2946"/>
          </w:tcPr>
          <w:p>
            <w:r>
              <w:rPr>
                <w:rFonts w:ascii="Georgia" w:hAnsi="Georgia"/>
                <w:color w:val="4A4A4A"/>
                <w:sz w:val="19"/>
              </w:rPr>
              <w:t>The Robot Economy</w:t>
            </w:r>
          </w:p>
        </w:tc>
        <w:tc>
          <w:tcPr>
            <w:tcW w:type="dxa" w:w="2946"/>
          </w:tcPr>
          <w:p>
            <w:r>
              <w:rPr>
                <w:rFonts w:ascii="Georgia" w:hAnsi="Georgia"/>
                <w:color w:val="4A4A4A"/>
                <w:sz w:val="19"/>
              </w:rPr>
              <w:t>Automation; labour market; AI displacement</w:t>
            </w:r>
          </w:p>
        </w:tc>
        <w:tc>
          <w:tcPr>
            <w:tcW w:type="dxa" w:w="2946"/>
          </w:tcPr>
          <w:p>
            <w:r>
              <w:rPr>
                <w:rFonts w:ascii="Georgia" w:hAnsi="Georgia"/>
                <w:color w:val="4A4A4A"/>
                <w:sz w:val="19"/>
              </w:rPr>
              <w:t>Cognitive labour displacement; ξ=0.28 declining; structural A↓ driver</w:t>
            </w:r>
          </w:p>
        </w:tc>
      </w:tr>
      <w:tr>
        <w:tc>
          <w:tcPr>
            <w:tcW w:type="dxa" w:w="2946"/>
          </w:tcPr>
          <w:p>
            <w:r>
              <w:rPr>
                <w:rFonts w:ascii="Georgia" w:hAnsi="Georgia"/>
                <w:color w:val="4A4A4A"/>
                <w:sz w:val="19"/>
              </w:rPr>
              <w:t>Africa's Billion-Person Bet</w:t>
            </w:r>
          </w:p>
        </w:tc>
        <w:tc>
          <w:tcPr>
            <w:tcW w:type="dxa" w:w="2946"/>
          </w:tcPr>
          <w:p>
            <w:r>
              <w:rPr>
                <w:rFonts w:ascii="Georgia" w:hAnsi="Georgia"/>
                <w:color w:val="4A4A4A"/>
                <w:sz w:val="19"/>
              </w:rPr>
              <w:t>African demography; investment; governance</w:t>
            </w:r>
          </w:p>
        </w:tc>
        <w:tc>
          <w:tcPr>
            <w:tcW w:type="dxa" w:w="2946"/>
          </w:tcPr>
          <w:p>
            <w:r>
              <w:rPr>
                <w:rFonts w:ascii="Georgia" w:hAnsi="Georgia"/>
                <w:color w:val="4A4A4A"/>
                <w:sz w:val="19"/>
              </w:rPr>
              <w:t>2B by 2040; Lagos #1 city by 2080; governance is binding constraint</w:t>
            </w:r>
          </w:p>
        </w:tc>
      </w:tr>
      <w:tr>
        <w:tc>
          <w:tcPr>
            <w:tcW w:type="dxa" w:w="2946"/>
          </w:tcPr>
          <w:p>
            <w:r>
              <w:rPr>
                <w:rFonts w:ascii="Georgia" w:hAnsi="Georgia"/>
                <w:color w:val="4A4A4A"/>
                <w:sz w:val="19"/>
              </w:rPr>
              <w:t>Latin America's Moment</w:t>
            </w:r>
          </w:p>
        </w:tc>
        <w:tc>
          <w:tcPr>
            <w:tcW w:type="dxa" w:w="2946"/>
          </w:tcPr>
          <w:p>
            <w:r>
              <w:rPr>
                <w:rFonts w:ascii="Georgia" w:hAnsi="Georgia"/>
                <w:color w:val="4A4A4A"/>
                <w:sz w:val="19"/>
              </w:rPr>
              <w:t>Nearshoring; Mexico; Brazil; supply chains</w:t>
            </w:r>
          </w:p>
        </w:tc>
        <w:tc>
          <w:tcPr>
            <w:tcW w:type="dxa" w:w="2946"/>
          </w:tcPr>
          <w:p>
            <w:r>
              <w:rPr>
                <w:rFonts w:ascii="Georgia" w:hAnsi="Georgia"/>
                <w:color w:val="4A4A4A"/>
                <w:sz w:val="19"/>
              </w:rPr>
              <w:t>$150B+ FDI potential; Mexico USMCA beneficiary; political risk map</w:t>
            </w:r>
          </w:p>
        </w:tc>
      </w:tr>
      <w:tr>
        <w:tc>
          <w:tcPr>
            <w:tcW w:type="dxa" w:w="2946"/>
          </w:tcPr>
          <w:p>
            <w:r>
              <w:rPr>
                <w:rFonts w:ascii="Georgia" w:hAnsi="Georgia"/>
                <w:color w:val="4A4A4A"/>
                <w:sz w:val="19"/>
              </w:rPr>
              <w:t>The Demographics Time Bomb</w:t>
            </w:r>
          </w:p>
        </w:tc>
        <w:tc>
          <w:tcPr>
            <w:tcW w:type="dxa" w:w="2946"/>
          </w:tcPr>
          <w:p>
            <w:r>
              <w:rPr>
                <w:rFonts w:ascii="Georgia" w:hAnsi="Georgia"/>
                <w:color w:val="4A4A4A"/>
                <w:sz w:val="19"/>
              </w:rPr>
              <w:t>Aging populations; fiscal sustainability</w:t>
            </w:r>
          </w:p>
        </w:tc>
        <w:tc>
          <w:tcPr>
            <w:tcW w:type="dxa" w:w="2946"/>
          </w:tcPr>
          <w:p>
            <w:r>
              <w:rPr>
                <w:rFonts w:ascii="Georgia" w:hAnsi="Georgia"/>
                <w:color w:val="4A4A4A"/>
                <w:sz w:val="19"/>
              </w:rPr>
              <w:t>Japan 0.85 elderly/worker by 2040; South Korea fertility 0.72</w:t>
            </w:r>
          </w:p>
        </w:tc>
      </w:tr>
      <w:tr>
        <w:tc>
          <w:tcPr>
            <w:tcW w:type="dxa" w:w="2946"/>
          </w:tcPr>
          <w:p>
            <w:r>
              <w:rPr>
                <w:rFonts w:ascii="Georgia" w:hAnsi="Georgia"/>
                <w:color w:val="4A4A4A"/>
                <w:sz w:val="19"/>
              </w:rPr>
              <w:t>India's Century</w:t>
            </w:r>
          </w:p>
        </w:tc>
        <w:tc>
          <w:tcPr>
            <w:tcW w:type="dxa" w:w="2946"/>
          </w:tcPr>
          <w:p>
            <w:r>
              <w:rPr>
                <w:rFonts w:ascii="Georgia" w:hAnsi="Georgia"/>
                <w:color w:val="4A4A4A"/>
                <w:sz w:val="19"/>
              </w:rPr>
              <w:t>India civilisational trajectory</w:t>
            </w:r>
          </w:p>
        </w:tc>
        <w:tc>
          <w:tcPr>
            <w:tcW w:type="dxa" w:w="2946"/>
          </w:tcPr>
          <w:p>
            <w:r>
              <w:rPr>
                <w:rFonts w:ascii="Georgia" w:hAnsi="Georgia"/>
                <w:color w:val="4A4A4A"/>
                <w:sz w:val="19"/>
              </w:rPr>
              <w:t>1.4B people; strategic autonomy doctrine; civilisational bet</w:t>
            </w:r>
          </w:p>
        </w:tc>
      </w:tr>
    </w:tbl>
    <w:p>
      <w:pPr>
        <w:spacing w:after="160"/>
      </w:pPr>
    </w:p>
    <w:p>
      <w:pPr>
        <w:spacing w:before="200" w:after="40"/>
      </w:pPr>
      <w:r>
        <w:rPr>
          <w:rFonts w:ascii="Calibri" w:hAnsi="Calibri"/>
          <w:b/>
          <w:i w:val="0"/>
          <w:color w:val="B8960A"/>
          <w:sz w:val="22"/>
        </w:rPr>
        <w:t>External Research Citations</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Author / Institution</w:t>
            </w:r>
          </w:p>
        </w:tc>
        <w:tc>
          <w:tcPr>
            <w:tcW w:type="dxa" w:w="2946"/>
          </w:tcPr>
          <w:p>
            <w:r>
              <w:rPr>
                <w:rFonts w:ascii="Calibri" w:hAnsi="Calibri"/>
                <w:b/>
                <w:color w:val="0D1B2A"/>
                <w:sz w:val="19"/>
              </w:rPr>
              <w:t>Work</w:t>
            </w:r>
          </w:p>
        </w:tc>
        <w:tc>
          <w:tcPr>
            <w:tcW w:type="dxa" w:w="2946"/>
          </w:tcPr>
          <w:p>
            <w:r>
              <w:rPr>
                <w:rFonts w:ascii="Calibri" w:hAnsi="Calibri"/>
                <w:b/>
                <w:color w:val="0D1B2A"/>
                <w:sz w:val="19"/>
              </w:rPr>
              <w:t>Role in This Report</w:t>
            </w:r>
          </w:p>
        </w:tc>
      </w:tr>
      <w:tr>
        <w:tc>
          <w:tcPr>
            <w:tcW w:type="dxa" w:w="2946"/>
          </w:tcPr>
          <w:p>
            <w:r>
              <w:rPr>
                <w:rFonts w:ascii="Georgia" w:hAnsi="Georgia"/>
                <w:color w:val="4A4A4A"/>
                <w:sz w:val="19"/>
              </w:rPr>
              <w:t>Peter Turchin</w:t>
            </w:r>
          </w:p>
        </w:tc>
        <w:tc>
          <w:tcPr>
            <w:tcW w:type="dxa" w:w="2946"/>
          </w:tcPr>
          <w:p>
            <w:r>
              <w:rPr>
                <w:rFonts w:ascii="Georgia" w:hAnsi="Georgia"/>
                <w:color w:val="4A4A4A"/>
                <w:sz w:val="19"/>
              </w:rPr>
              <w:t>End Times: Elites, Counter-Elites, and the Path of Political Disintegration (2023)</w:t>
            </w:r>
          </w:p>
        </w:tc>
        <w:tc>
          <w:tcPr>
            <w:tcW w:type="dxa" w:w="2946"/>
          </w:tcPr>
          <w:p>
            <w:r>
              <w:rPr>
                <w:rFonts w:ascii="Georgia" w:hAnsi="Georgia"/>
                <w:color w:val="4A4A4A"/>
                <w:sz w:val="19"/>
              </w:rPr>
              <w:t>E-variable (elite overproduction); Loop 1 analysis; Φ calibration</w:t>
            </w:r>
          </w:p>
        </w:tc>
      </w:tr>
      <w:tr>
        <w:tc>
          <w:tcPr>
            <w:tcW w:type="dxa" w:w="2946"/>
          </w:tcPr>
          <w:p>
            <w:r>
              <w:rPr>
                <w:rFonts w:ascii="Georgia" w:hAnsi="Georgia"/>
                <w:color w:val="4A4A4A"/>
                <w:sz w:val="19"/>
              </w:rPr>
              <w:t>Ibn Khaldun</w:t>
            </w:r>
          </w:p>
        </w:tc>
        <w:tc>
          <w:tcPr>
            <w:tcW w:type="dxa" w:w="2946"/>
          </w:tcPr>
          <w:p>
            <w:r>
              <w:rPr>
                <w:rFonts w:ascii="Georgia" w:hAnsi="Georgia"/>
                <w:color w:val="4A4A4A"/>
                <w:sz w:val="19"/>
              </w:rPr>
              <w:t>Muqaddimah (1377)</w:t>
            </w:r>
          </w:p>
        </w:tc>
        <w:tc>
          <w:tcPr>
            <w:tcW w:type="dxa" w:w="2946"/>
          </w:tcPr>
          <w:p>
            <w:r>
              <w:rPr>
                <w:rFonts w:ascii="Georgia" w:hAnsi="Georgia"/>
                <w:color w:val="4A4A4A"/>
                <w:sz w:val="19"/>
              </w:rPr>
              <w:t>A-variable (Asabiyyah/cohesion); cyclical civilisational theory</w:t>
            </w:r>
          </w:p>
        </w:tc>
      </w:tr>
      <w:tr>
        <w:tc>
          <w:tcPr>
            <w:tcW w:type="dxa" w:w="2946"/>
          </w:tcPr>
          <w:p>
            <w:r>
              <w:rPr>
                <w:rFonts w:ascii="Georgia" w:hAnsi="Georgia"/>
                <w:color w:val="4A4A4A"/>
                <w:sz w:val="19"/>
              </w:rPr>
              <w:t>Daron Acemoglu &amp; James Robinson</w:t>
            </w:r>
          </w:p>
        </w:tc>
        <w:tc>
          <w:tcPr>
            <w:tcW w:type="dxa" w:w="2946"/>
          </w:tcPr>
          <w:p>
            <w:r>
              <w:rPr>
                <w:rFonts w:ascii="Georgia" w:hAnsi="Georgia"/>
                <w:color w:val="4A4A4A"/>
                <w:sz w:val="19"/>
              </w:rPr>
              <w:t>Why Nations Fail (2012); Power and Progress (2023)</w:t>
            </w:r>
          </w:p>
        </w:tc>
        <w:tc>
          <w:tcPr>
            <w:tcW w:type="dxa" w:w="2946"/>
          </w:tcPr>
          <w:p>
            <w:r>
              <w:rPr>
                <w:rFonts w:ascii="Georgia" w:hAnsi="Georgia"/>
                <w:color w:val="4A4A4A"/>
                <w:sz w:val="19"/>
              </w:rPr>
              <w:t>I-variable (institutions); technology-distribution interaction</w:t>
            </w:r>
          </w:p>
        </w:tc>
      </w:tr>
      <w:tr>
        <w:tc>
          <w:tcPr>
            <w:tcW w:type="dxa" w:w="2946"/>
          </w:tcPr>
          <w:p>
            <w:r>
              <w:rPr>
                <w:rFonts w:ascii="Georgia" w:hAnsi="Georgia"/>
                <w:color w:val="4A4A4A"/>
                <w:sz w:val="19"/>
              </w:rPr>
              <w:t>Toby Ord</w:t>
            </w:r>
          </w:p>
        </w:tc>
        <w:tc>
          <w:tcPr>
            <w:tcW w:type="dxa" w:w="2946"/>
          </w:tcPr>
          <w:p>
            <w:r>
              <w:rPr>
                <w:rFonts w:ascii="Georgia" w:hAnsi="Georgia"/>
                <w:color w:val="4A4A4A"/>
                <w:sz w:val="19"/>
              </w:rPr>
              <w:t>The Precipice: Existential Risk and the Future of Humanity (2020)</w:t>
            </w:r>
          </w:p>
        </w:tc>
        <w:tc>
          <w:tcPr>
            <w:tcW w:type="dxa" w:w="2946"/>
          </w:tcPr>
          <w:p>
            <w:r>
              <w:rPr>
                <w:rFonts w:ascii="Georgia" w:hAnsi="Georgia"/>
                <w:color w:val="4A4A4A"/>
                <w:sz w:val="19"/>
              </w:rPr>
              <w:t>Ω-variable (existential risk); existential risk taxonomy</w:t>
            </w:r>
          </w:p>
        </w:tc>
      </w:tr>
      <w:tr>
        <w:tc>
          <w:tcPr>
            <w:tcW w:type="dxa" w:w="2946"/>
          </w:tcPr>
          <w:p>
            <w:r>
              <w:rPr>
                <w:rFonts w:ascii="Georgia" w:hAnsi="Georgia"/>
                <w:color w:val="4A4A4A"/>
                <w:sz w:val="19"/>
              </w:rPr>
              <w:t>David Beetham</w:t>
            </w:r>
          </w:p>
        </w:tc>
        <w:tc>
          <w:tcPr>
            <w:tcW w:type="dxa" w:w="2946"/>
          </w:tcPr>
          <w:p>
            <w:r>
              <w:rPr>
                <w:rFonts w:ascii="Georgia" w:hAnsi="Georgia"/>
                <w:color w:val="4A4A4A"/>
                <w:sz w:val="19"/>
              </w:rPr>
              <w:t>The Legitimation of Power (1991)</w:t>
            </w:r>
          </w:p>
        </w:tc>
        <w:tc>
          <w:tcPr>
            <w:tcW w:type="dxa" w:w="2946"/>
          </w:tcPr>
          <w:p>
            <w:r>
              <w:rPr>
                <w:rFonts w:ascii="Georgia" w:hAnsi="Georgia"/>
                <w:color w:val="4A4A4A"/>
                <w:sz w:val="19"/>
              </w:rPr>
              <w:t>L-variable (legitimacy); three conditions framework</w:t>
            </w:r>
          </w:p>
        </w:tc>
      </w:tr>
      <w:tr>
        <w:tc>
          <w:tcPr>
            <w:tcW w:type="dxa" w:w="2946"/>
          </w:tcPr>
          <w:p>
            <w:r>
              <w:rPr>
                <w:rFonts w:ascii="Georgia" w:hAnsi="Georgia"/>
                <w:color w:val="4A4A4A"/>
                <w:sz w:val="19"/>
              </w:rPr>
              <w:t>EIA (US Energy Information Administration)</w:t>
            </w:r>
          </w:p>
        </w:tc>
        <w:tc>
          <w:tcPr>
            <w:tcW w:type="dxa" w:w="2946"/>
          </w:tcPr>
          <w:p>
            <w:r>
              <w:rPr>
                <w:rFonts w:ascii="Georgia" w:hAnsi="Georgia"/>
                <w:color w:val="4A4A4A"/>
                <w:sz w:val="19"/>
              </w:rPr>
              <w:t>Global Oil Markets 2026</w:t>
            </w:r>
          </w:p>
        </w:tc>
        <w:tc>
          <w:tcPr>
            <w:tcW w:type="dxa" w:w="2946"/>
          </w:tcPr>
          <w:p>
            <w:r>
              <w:rPr>
                <w:rFonts w:ascii="Georgia" w:hAnsi="Georgia"/>
                <w:color w:val="4A4A4A"/>
                <w:sz w:val="19"/>
              </w:rPr>
              <w:t>Hormuz/Bab al-Mandab flow data; energy market analysis</w:t>
            </w:r>
          </w:p>
        </w:tc>
      </w:tr>
      <w:tr>
        <w:tc>
          <w:tcPr>
            <w:tcW w:type="dxa" w:w="2946"/>
          </w:tcPr>
          <w:p>
            <w:r>
              <w:rPr>
                <w:rFonts w:ascii="Georgia" w:hAnsi="Georgia"/>
                <w:color w:val="4A4A4A"/>
                <w:sz w:val="19"/>
              </w:rPr>
              <w:t>IEA (International Energy Agency)</w:t>
            </w:r>
          </w:p>
        </w:tc>
        <w:tc>
          <w:tcPr>
            <w:tcW w:type="dxa" w:w="2946"/>
          </w:tcPr>
          <w:p>
            <w:r>
              <w:rPr>
                <w:rFonts w:ascii="Georgia" w:hAnsi="Georgia"/>
                <w:color w:val="4A4A4A"/>
                <w:sz w:val="19"/>
              </w:rPr>
              <w:t>Critical Minerals Outlook 2025</w:t>
            </w:r>
          </w:p>
        </w:tc>
        <w:tc>
          <w:tcPr>
            <w:tcW w:type="dxa" w:w="2946"/>
          </w:tcPr>
          <w:p>
            <w:r>
              <w:rPr>
                <w:rFonts w:ascii="Georgia" w:hAnsi="Georgia"/>
                <w:color w:val="4A4A4A"/>
                <w:sz w:val="19"/>
              </w:rPr>
              <w:t>Rare earth supply chain data; green transition mineral dependency</w:t>
            </w:r>
          </w:p>
        </w:tc>
      </w:tr>
      <w:tr>
        <w:tc>
          <w:tcPr>
            <w:tcW w:type="dxa" w:w="2946"/>
          </w:tcPr>
          <w:p>
            <w:r>
              <w:rPr>
                <w:rFonts w:ascii="Georgia" w:hAnsi="Georgia"/>
                <w:color w:val="4A4A4A"/>
                <w:sz w:val="19"/>
              </w:rPr>
              <w:t>NIST</w:t>
            </w:r>
          </w:p>
        </w:tc>
        <w:tc>
          <w:tcPr>
            <w:tcW w:type="dxa" w:w="2946"/>
          </w:tcPr>
          <w:p>
            <w:r>
              <w:rPr>
                <w:rFonts w:ascii="Georgia" w:hAnsi="Georgia"/>
                <w:color w:val="4A4A4A"/>
                <w:sz w:val="19"/>
              </w:rPr>
              <w:t>AI Risk Management Framework 2025</w:t>
            </w:r>
          </w:p>
        </w:tc>
        <w:tc>
          <w:tcPr>
            <w:tcW w:type="dxa" w:w="2946"/>
          </w:tcPr>
          <w:p>
            <w:r>
              <w:rPr>
                <w:rFonts w:ascii="Georgia" w:hAnsi="Georgia"/>
                <w:color w:val="4A4A4A"/>
                <w:sz w:val="19"/>
              </w:rPr>
              <w:t>AI governance gap analysis; agentic AI safety framework</w:t>
            </w:r>
          </w:p>
        </w:tc>
      </w:tr>
      <w:tr>
        <w:tc>
          <w:tcPr>
            <w:tcW w:type="dxa" w:w="2946"/>
          </w:tcPr>
          <w:p>
            <w:r>
              <w:rPr>
                <w:rFonts w:ascii="Georgia" w:hAnsi="Georgia"/>
                <w:color w:val="4A4A4A"/>
                <w:sz w:val="19"/>
              </w:rPr>
              <w:t>IMF</w:t>
            </w:r>
          </w:p>
        </w:tc>
        <w:tc>
          <w:tcPr>
            <w:tcW w:type="dxa" w:w="2946"/>
          </w:tcPr>
          <w:p>
            <w:r>
              <w:rPr>
                <w:rFonts w:ascii="Georgia" w:hAnsi="Georgia"/>
                <w:color w:val="4A4A4A"/>
                <w:sz w:val="19"/>
              </w:rPr>
              <w:t>World Economic Outlook (April 2026)</w:t>
            </w:r>
          </w:p>
        </w:tc>
        <w:tc>
          <w:tcPr>
            <w:tcW w:type="dxa" w:w="2946"/>
          </w:tcPr>
          <w:p>
            <w:r>
              <w:rPr>
                <w:rFonts w:ascii="Georgia" w:hAnsi="Georgia"/>
                <w:color w:val="4A4A4A"/>
                <w:sz w:val="19"/>
              </w:rPr>
              <w:t>GDP data; sovereign debt trajectories; fiscal sustainability</w:t>
            </w:r>
          </w:p>
        </w:tc>
      </w:tr>
      <w:tr>
        <w:tc>
          <w:tcPr>
            <w:tcW w:type="dxa" w:w="2946"/>
          </w:tcPr>
          <w:p>
            <w:r>
              <w:rPr>
                <w:rFonts w:ascii="Georgia" w:hAnsi="Georgia"/>
                <w:color w:val="4A4A4A"/>
                <w:sz w:val="19"/>
              </w:rPr>
              <w:t>IAEA</w:t>
            </w:r>
          </w:p>
        </w:tc>
        <w:tc>
          <w:tcPr>
            <w:tcW w:type="dxa" w:w="2946"/>
          </w:tcPr>
          <w:p>
            <w:r>
              <w:rPr>
                <w:rFonts w:ascii="Georgia" w:hAnsi="Georgia"/>
                <w:color w:val="4A4A4A"/>
                <w:sz w:val="19"/>
              </w:rPr>
              <w:t>Iran Nuclear Programme Monitoring Reports 2025-2026</w:t>
            </w:r>
          </w:p>
        </w:tc>
        <w:tc>
          <w:tcPr>
            <w:tcW w:type="dxa" w:w="2946"/>
          </w:tcPr>
          <w:p>
            <w:r>
              <w:rPr>
                <w:rFonts w:ascii="Georgia" w:hAnsi="Georgia"/>
                <w:color w:val="4A4A4A"/>
                <w:sz w:val="19"/>
              </w:rPr>
              <w:t>Centrifuge data; enrichment level; physical damage assessment</w:t>
            </w:r>
          </w:p>
        </w:tc>
      </w:tr>
      <w:tr>
        <w:tc>
          <w:tcPr>
            <w:tcW w:type="dxa" w:w="2946"/>
          </w:tcPr>
          <w:p>
            <w:r>
              <w:rPr>
                <w:rFonts w:ascii="Georgia" w:hAnsi="Georgia"/>
                <w:color w:val="4A4A4A"/>
                <w:sz w:val="19"/>
              </w:rPr>
              <w:t>Congressional Research Service</w:t>
            </w:r>
          </w:p>
        </w:tc>
        <w:tc>
          <w:tcPr>
            <w:tcW w:type="dxa" w:w="2946"/>
          </w:tcPr>
          <w:p>
            <w:r>
              <w:rPr>
                <w:rFonts w:ascii="Georgia" w:hAnsi="Georgia"/>
                <w:color w:val="4A4A4A"/>
                <w:sz w:val="19"/>
              </w:rPr>
              <w:t>Iran Nuclear Programme Assessment, Nov 2025</w:t>
            </w:r>
          </w:p>
        </w:tc>
        <w:tc>
          <w:tcPr>
            <w:tcW w:type="dxa" w:w="2946"/>
          </w:tcPr>
          <w:p>
            <w:r>
              <w:rPr>
                <w:rFonts w:ascii="Georgia" w:hAnsi="Georgia"/>
                <w:color w:val="4A4A4A"/>
                <w:sz w:val="19"/>
              </w:rPr>
              <w:t>BDA corroboration; 'significantly degraded' framing</w:t>
            </w:r>
          </w:p>
        </w:tc>
      </w:tr>
      <w:tr>
        <w:tc>
          <w:tcPr>
            <w:tcW w:type="dxa" w:w="2946"/>
          </w:tcPr>
          <w:p>
            <w:r>
              <w:rPr>
                <w:rFonts w:ascii="Georgia" w:hAnsi="Georgia"/>
                <w:color w:val="4A4A4A"/>
                <w:sz w:val="19"/>
              </w:rPr>
              <w:t>Lloyd's of London</w:t>
            </w:r>
          </w:p>
        </w:tc>
        <w:tc>
          <w:tcPr>
            <w:tcW w:type="dxa" w:w="2946"/>
          </w:tcPr>
          <w:p>
            <w:r>
              <w:rPr>
                <w:rFonts w:ascii="Georgia" w:hAnsi="Georgia"/>
                <w:color w:val="4A4A4A"/>
                <w:sz w:val="19"/>
              </w:rPr>
              <w:t>Maritime Risk Report 2026</w:t>
            </w:r>
          </w:p>
        </w:tc>
        <w:tc>
          <w:tcPr>
            <w:tcW w:type="dxa" w:w="2946"/>
          </w:tcPr>
          <w:p>
            <w:r>
              <w:rPr>
                <w:rFonts w:ascii="Georgia" w:hAnsi="Georgia"/>
                <w:color w:val="4A4A4A"/>
                <w:sz w:val="19"/>
              </w:rPr>
              <w:t>Insurance premium shifts post-Dual Blockade; route rerouting data</w:t>
            </w:r>
          </w:p>
        </w:tc>
      </w:tr>
      <w:tr>
        <w:tc>
          <w:tcPr>
            <w:tcW w:type="dxa" w:w="2946"/>
          </w:tcPr>
          <w:p>
            <w:r>
              <w:rPr>
                <w:rFonts w:ascii="Georgia" w:hAnsi="Georgia"/>
                <w:color w:val="4A4A4A"/>
                <w:sz w:val="19"/>
              </w:rPr>
              <w:t>CFTC</w:t>
            </w:r>
          </w:p>
        </w:tc>
        <w:tc>
          <w:tcPr>
            <w:tcW w:type="dxa" w:w="2946"/>
          </w:tcPr>
          <w:p>
            <w:r>
              <w:rPr>
                <w:rFonts w:ascii="Georgia" w:hAnsi="Georgia"/>
                <w:color w:val="4A4A4A"/>
                <w:sz w:val="19"/>
              </w:rPr>
              <w:t>Leveraged Positions Data</w:t>
            </w:r>
          </w:p>
        </w:tc>
        <w:tc>
          <w:tcPr>
            <w:tcW w:type="dxa" w:w="2946"/>
          </w:tcPr>
          <w:p>
            <w:r>
              <w:rPr>
                <w:rFonts w:ascii="Georgia" w:hAnsi="Georgia"/>
                <w:color w:val="4A4A4A"/>
                <w:sz w:val="19"/>
              </w:rPr>
              <w:t>BOJ carry trade exposure estimate; JPY positioning</w:t>
            </w:r>
          </w:p>
        </w:tc>
      </w:tr>
      <w:tr>
        <w:tc>
          <w:tcPr>
            <w:tcW w:type="dxa" w:w="2946"/>
          </w:tcPr>
          <w:p>
            <w:r>
              <w:rPr>
                <w:rFonts w:ascii="Georgia" w:hAnsi="Georgia"/>
                <w:color w:val="4A4A4A"/>
                <w:sz w:val="19"/>
              </w:rPr>
              <w:t>USGS</w:t>
            </w:r>
          </w:p>
        </w:tc>
        <w:tc>
          <w:tcPr>
            <w:tcW w:type="dxa" w:w="2946"/>
          </w:tcPr>
          <w:p>
            <w:r>
              <w:rPr>
                <w:rFonts w:ascii="Georgia" w:hAnsi="Georgia"/>
                <w:color w:val="4A4A4A"/>
                <w:sz w:val="19"/>
              </w:rPr>
              <w:t>Critical Minerals Yearbook 2025</w:t>
            </w:r>
          </w:p>
        </w:tc>
        <w:tc>
          <w:tcPr>
            <w:tcW w:type="dxa" w:w="2946"/>
          </w:tcPr>
          <w:p>
            <w:r>
              <w:rPr>
                <w:rFonts w:ascii="Georgia" w:hAnsi="Georgia"/>
                <w:color w:val="4A4A4A"/>
                <w:sz w:val="19"/>
              </w:rPr>
              <w:t>US mineral supply chain vulnerability assessment</w:t>
            </w:r>
          </w:p>
        </w:tc>
      </w:tr>
      <w:tr>
        <w:tc>
          <w:tcPr>
            <w:tcW w:type="dxa" w:w="2946"/>
          </w:tcPr>
          <w:p>
            <w:r>
              <w:rPr>
                <w:rFonts w:ascii="Georgia" w:hAnsi="Georgia"/>
                <w:color w:val="4A4A4A"/>
                <w:sz w:val="19"/>
              </w:rPr>
              <w:t>OECD</w:t>
            </w:r>
          </w:p>
        </w:tc>
        <w:tc>
          <w:tcPr>
            <w:tcW w:type="dxa" w:w="2946"/>
          </w:tcPr>
          <w:p>
            <w:r>
              <w:rPr>
                <w:rFonts w:ascii="Georgia" w:hAnsi="Georgia"/>
                <w:color w:val="4A4A4A"/>
                <w:sz w:val="19"/>
              </w:rPr>
              <w:t>Trust in Government Survey 2025</w:t>
            </w:r>
          </w:p>
        </w:tc>
        <w:tc>
          <w:tcPr>
            <w:tcW w:type="dxa" w:w="2946"/>
          </w:tcPr>
          <w:p>
            <w:r>
              <w:rPr>
                <w:rFonts w:ascii="Georgia" w:hAnsi="Georgia"/>
                <w:color w:val="4A4A4A"/>
                <w:sz w:val="19"/>
              </w:rPr>
              <w:t>L-variable corroboration; 40-year lows in trust indices</w:t>
            </w:r>
          </w:p>
        </w:tc>
      </w:tr>
    </w:tbl>
    <w:p>
      <w:pPr>
        <w:spacing w:after="160"/>
      </w:pPr>
    </w:p>
    <w:p>
      <w:pPr>
        <w:spacing w:before="200" w:after="40"/>
      </w:pPr>
      <w:r>
        <w:rPr>
          <w:rFonts w:ascii="Calibri" w:hAnsi="Calibri"/>
          <w:b/>
          <w:i w:val="0"/>
          <w:color w:val="B8960A"/>
          <w:sz w:val="22"/>
        </w:rPr>
        <w:t>Blue Lotus Research Intelligence Infrastructure</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RAG Corpus</w:t>
            </w:r>
          </w:p>
        </w:tc>
        <w:tc>
          <w:tcPr>
            <w:tcW w:type="dxa" w:w="2209"/>
          </w:tcPr>
          <w:p>
            <w:r>
              <w:rPr>
                <w:rFonts w:ascii="Calibri" w:hAnsi="Calibri"/>
                <w:b/>
                <w:color w:val="0D1B2A"/>
                <w:sz w:val="19"/>
              </w:rPr>
              <w:t>Content Scope</w:t>
            </w:r>
          </w:p>
        </w:tc>
        <w:tc>
          <w:tcPr>
            <w:tcW w:type="dxa" w:w="2209"/>
          </w:tcPr>
          <w:p>
            <w:r>
              <w:rPr>
                <w:rFonts w:ascii="Calibri" w:hAnsi="Calibri"/>
                <w:b/>
                <w:color w:val="0D1B2A"/>
                <w:sz w:val="19"/>
              </w:rPr>
              <w:t>Chunks</w:t>
            </w:r>
          </w:p>
        </w:tc>
        <w:tc>
          <w:tcPr>
            <w:tcW w:type="dxa" w:w="2209"/>
          </w:tcPr>
          <w:p>
            <w:r>
              <w:rPr>
                <w:rFonts w:ascii="Calibri" w:hAnsi="Calibri"/>
                <w:b/>
                <w:color w:val="0D1B2A"/>
                <w:sz w:val="19"/>
              </w:rPr>
              <w:t>Role in This Report</w:t>
            </w:r>
          </w:p>
        </w:tc>
      </w:tr>
      <w:tr>
        <w:tc>
          <w:tcPr>
            <w:tcW w:type="dxa" w:w="2209"/>
          </w:tcPr>
          <w:p>
            <w:r>
              <w:rPr>
                <w:rFonts w:ascii="Georgia" w:hAnsi="Georgia"/>
                <w:color w:val="4A4A4A"/>
                <w:sz w:val="19"/>
              </w:rPr>
              <w:t>WSJ_RAG (cid=3)</w:t>
            </w:r>
          </w:p>
        </w:tc>
        <w:tc>
          <w:tcPr>
            <w:tcW w:type="dxa" w:w="2209"/>
          </w:tcPr>
          <w:p>
            <w:r>
              <w:rPr>
                <w:rFonts w:ascii="Georgia" w:hAnsi="Georgia"/>
                <w:color w:val="4A4A4A"/>
                <w:sz w:val="19"/>
              </w:rPr>
              <w:t>Wall Street Journal: AI, finance, geopolitics</w:t>
            </w:r>
          </w:p>
        </w:tc>
        <w:tc>
          <w:tcPr>
            <w:tcW w:type="dxa" w:w="2209"/>
          </w:tcPr>
          <w:p>
            <w:r>
              <w:rPr>
                <w:rFonts w:ascii="Georgia" w:hAnsi="Georgia"/>
                <w:color w:val="4A4A4A"/>
                <w:sz w:val="19"/>
              </w:rPr>
              <w:t>331,193</w:t>
            </w:r>
          </w:p>
        </w:tc>
        <w:tc>
          <w:tcPr>
            <w:tcW w:type="dxa" w:w="2209"/>
          </w:tcPr>
          <w:p>
            <w:r>
              <w:rPr>
                <w:rFonts w:ascii="Georgia" w:hAnsi="Georgia"/>
                <w:color w:val="4A4A4A"/>
                <w:sz w:val="19"/>
              </w:rPr>
              <w:t>AI capex; Iran war coverage; US economic data</w:t>
            </w:r>
          </w:p>
        </w:tc>
      </w:tr>
      <w:tr>
        <w:tc>
          <w:tcPr>
            <w:tcW w:type="dxa" w:w="2209"/>
          </w:tcPr>
          <w:p>
            <w:r>
              <w:rPr>
                <w:rFonts w:ascii="Georgia" w:hAnsi="Georgia"/>
                <w:color w:val="4A4A4A"/>
                <w:sz w:val="19"/>
              </w:rPr>
              <w:t>NIKKEI_RAG (cid=30)</w:t>
            </w:r>
          </w:p>
        </w:tc>
        <w:tc>
          <w:tcPr>
            <w:tcW w:type="dxa" w:w="2209"/>
          </w:tcPr>
          <w:p>
            <w:r>
              <w:rPr>
                <w:rFonts w:ascii="Georgia" w:hAnsi="Georgia"/>
                <w:color w:val="4A4A4A"/>
                <w:sz w:val="19"/>
              </w:rPr>
              <w:t>Nikkei Asia: APAC economics, semiconductors, trade</w:t>
            </w:r>
          </w:p>
        </w:tc>
        <w:tc>
          <w:tcPr>
            <w:tcW w:type="dxa" w:w="2209"/>
          </w:tcPr>
          <w:p>
            <w:r>
              <w:rPr>
                <w:rFonts w:ascii="Georgia" w:hAnsi="Georgia"/>
                <w:color w:val="4A4A4A"/>
                <w:sz w:val="19"/>
              </w:rPr>
              <w:t>344,895</w:t>
            </w:r>
          </w:p>
        </w:tc>
        <w:tc>
          <w:tcPr>
            <w:tcW w:type="dxa" w:w="2209"/>
          </w:tcPr>
          <w:p>
            <w:r>
              <w:rPr>
                <w:rFonts w:ascii="Georgia" w:hAnsi="Georgia"/>
                <w:color w:val="4A4A4A"/>
                <w:sz w:val="19"/>
              </w:rPr>
              <w:t>BOJ; SK Hynix; TSMC; Japan strategy; oil routing</w:t>
            </w:r>
          </w:p>
        </w:tc>
      </w:tr>
      <w:tr>
        <w:tc>
          <w:tcPr>
            <w:tcW w:type="dxa" w:w="2209"/>
          </w:tcPr>
          <w:p>
            <w:r>
              <w:rPr>
                <w:rFonts w:ascii="Georgia" w:hAnsi="Georgia"/>
                <w:color w:val="4A4A4A"/>
                <w:sz w:val="19"/>
              </w:rPr>
              <w:t>CNA_RAG (cid=24)</w:t>
            </w:r>
          </w:p>
        </w:tc>
        <w:tc>
          <w:tcPr>
            <w:tcW w:type="dxa" w:w="2209"/>
          </w:tcPr>
          <w:p>
            <w:r>
              <w:rPr>
                <w:rFonts w:ascii="Georgia" w:hAnsi="Georgia"/>
                <w:color w:val="4A4A4A"/>
                <w:sz w:val="19"/>
              </w:rPr>
              <w:t>CNA: Southeast Asia, ASEAN, China, regional geopolitics</w:t>
            </w:r>
          </w:p>
        </w:tc>
        <w:tc>
          <w:tcPr>
            <w:tcW w:type="dxa" w:w="2209"/>
          </w:tcPr>
          <w:p>
            <w:r>
              <w:rPr>
                <w:rFonts w:ascii="Georgia" w:hAnsi="Georgia"/>
                <w:color w:val="4A4A4A"/>
                <w:sz w:val="19"/>
              </w:rPr>
              <w:t>259,358</w:t>
            </w:r>
          </w:p>
        </w:tc>
        <w:tc>
          <w:tcPr>
            <w:tcW w:type="dxa" w:w="2209"/>
          </w:tcPr>
          <w:p>
            <w:r>
              <w:rPr>
                <w:rFonts w:ascii="Georgia" w:hAnsi="Georgia"/>
                <w:color w:val="4A4A4A"/>
                <w:sz w:val="19"/>
              </w:rPr>
              <w:t>ASEAN strategy; China regional; Taiwan strait</w:t>
            </w:r>
          </w:p>
        </w:tc>
      </w:tr>
      <w:tr>
        <w:tc>
          <w:tcPr>
            <w:tcW w:type="dxa" w:w="2209"/>
          </w:tcPr>
          <w:p>
            <w:r>
              <w:rPr>
                <w:rFonts w:ascii="Georgia" w:hAnsi="Georgia"/>
                <w:color w:val="4A4A4A"/>
                <w:sz w:val="19"/>
              </w:rPr>
              <w:t>FA_RAG (cid=8)</w:t>
            </w:r>
          </w:p>
        </w:tc>
        <w:tc>
          <w:tcPr>
            <w:tcW w:type="dxa" w:w="2209"/>
          </w:tcPr>
          <w:p>
            <w:r>
              <w:rPr>
                <w:rFonts w:ascii="Georgia" w:hAnsi="Georgia"/>
                <w:color w:val="4A4A4A"/>
                <w:sz w:val="19"/>
              </w:rPr>
              <w:t>Foreign Affairs: grand strategy, international relations</w:t>
            </w:r>
          </w:p>
        </w:tc>
        <w:tc>
          <w:tcPr>
            <w:tcW w:type="dxa" w:w="2209"/>
          </w:tcPr>
          <w:p>
            <w:r>
              <w:rPr>
                <w:rFonts w:ascii="Georgia" w:hAnsi="Georgia"/>
                <w:color w:val="4A4A4A"/>
                <w:sz w:val="19"/>
              </w:rPr>
              <w:t>148,327</w:t>
            </w:r>
          </w:p>
        </w:tc>
        <w:tc>
          <w:tcPr>
            <w:tcW w:type="dxa" w:w="2209"/>
          </w:tcPr>
          <w:p>
            <w:r>
              <w:rPr>
                <w:rFonts w:ascii="Georgia" w:hAnsi="Georgia"/>
                <w:color w:val="4A4A4A"/>
                <w:sz w:val="19"/>
              </w:rPr>
              <w:t>Iran nuclear perverse incentive; multipolar theory</w:t>
            </w:r>
          </w:p>
        </w:tc>
      </w:tr>
      <w:tr>
        <w:tc>
          <w:tcPr>
            <w:tcW w:type="dxa" w:w="2209"/>
          </w:tcPr>
          <w:p>
            <w:r>
              <w:rPr>
                <w:rFonts w:ascii="Georgia" w:hAnsi="Georgia"/>
                <w:color w:val="4A4A4A"/>
                <w:sz w:val="19"/>
              </w:rPr>
              <w:t>FT_RAG (cid=4)</w:t>
            </w:r>
          </w:p>
        </w:tc>
        <w:tc>
          <w:tcPr>
            <w:tcW w:type="dxa" w:w="2209"/>
          </w:tcPr>
          <w:p>
            <w:r>
              <w:rPr>
                <w:rFonts w:ascii="Georgia" w:hAnsi="Georgia"/>
                <w:color w:val="4A4A4A"/>
                <w:sz w:val="19"/>
              </w:rPr>
              <w:t>Financial Times: global finance, markets, economics</w:t>
            </w:r>
          </w:p>
        </w:tc>
        <w:tc>
          <w:tcPr>
            <w:tcW w:type="dxa" w:w="2209"/>
          </w:tcPr>
          <w:p>
            <w:r>
              <w:rPr>
                <w:rFonts w:ascii="Georgia" w:hAnsi="Georgia"/>
                <w:color w:val="4A4A4A"/>
                <w:sz w:val="19"/>
              </w:rPr>
              <w:t>105,749</w:t>
            </w:r>
          </w:p>
        </w:tc>
        <w:tc>
          <w:tcPr>
            <w:tcW w:type="dxa" w:w="2209"/>
          </w:tcPr>
          <w:p>
            <w:r>
              <w:rPr>
                <w:rFonts w:ascii="Georgia" w:hAnsi="Georgia"/>
                <w:color w:val="4A4A4A"/>
                <w:sz w:val="19"/>
              </w:rPr>
              <w:t>Gulf capital; European deindustrialisation; debt markets</w:t>
            </w:r>
          </w:p>
        </w:tc>
      </w:tr>
      <w:tr>
        <w:tc>
          <w:tcPr>
            <w:tcW w:type="dxa" w:w="2209"/>
          </w:tcPr>
          <w:p>
            <w:r>
              <w:rPr>
                <w:rFonts w:ascii="Georgia" w:hAnsi="Georgia"/>
                <w:color w:val="4A4A4A"/>
                <w:sz w:val="19"/>
              </w:rPr>
              <w:t>EDGAR_RAG (cid=36)</w:t>
            </w:r>
          </w:p>
        </w:tc>
        <w:tc>
          <w:tcPr>
            <w:tcW w:type="dxa" w:w="2209"/>
          </w:tcPr>
          <w:p>
            <w:r>
              <w:rPr>
                <w:rFonts w:ascii="Georgia" w:hAnsi="Georgia"/>
                <w:color w:val="4A4A4A"/>
                <w:sz w:val="19"/>
              </w:rPr>
              <w:t>SEC EDGAR: corporate filings, 10-K, 10-Q, risk factors</w:t>
            </w:r>
          </w:p>
        </w:tc>
        <w:tc>
          <w:tcPr>
            <w:tcW w:type="dxa" w:w="2209"/>
          </w:tcPr>
          <w:p>
            <w:r>
              <w:rPr>
                <w:rFonts w:ascii="Georgia" w:hAnsi="Georgia"/>
                <w:color w:val="4A4A4A"/>
                <w:sz w:val="19"/>
              </w:rPr>
              <w:t>133,474</w:t>
            </w:r>
          </w:p>
        </w:tc>
        <w:tc>
          <w:tcPr>
            <w:tcW w:type="dxa" w:w="2209"/>
          </w:tcPr>
          <w:p>
            <w:r>
              <w:rPr>
                <w:rFonts w:ascii="Georgia" w:hAnsi="Georgia"/>
                <w:color w:val="4A4A4A"/>
                <w:sz w:val="19"/>
              </w:rPr>
              <w:t>Array Technologies Iran disclosure; AI capex; corporate risk</w:t>
            </w:r>
          </w:p>
        </w:tc>
      </w:tr>
      <w:tr>
        <w:tc>
          <w:tcPr>
            <w:tcW w:type="dxa" w:w="2209"/>
          </w:tcPr>
          <w:p>
            <w:r>
              <w:rPr>
                <w:rFonts w:ascii="Georgia" w:hAnsi="Georgia"/>
                <w:color w:val="4A4A4A"/>
                <w:sz w:val="19"/>
              </w:rPr>
              <w:t>MILITARY_RAG (cid=6)</w:t>
            </w:r>
          </w:p>
        </w:tc>
        <w:tc>
          <w:tcPr>
            <w:tcW w:type="dxa" w:w="2209"/>
          </w:tcPr>
          <w:p>
            <w:r>
              <w:rPr>
                <w:rFonts w:ascii="Georgia" w:hAnsi="Georgia"/>
                <w:color w:val="4A4A4A"/>
                <w:sz w:val="19"/>
              </w:rPr>
              <w:t>Military analysis: doctrine, capabilities, operations</w:t>
            </w:r>
          </w:p>
        </w:tc>
        <w:tc>
          <w:tcPr>
            <w:tcW w:type="dxa" w:w="2209"/>
          </w:tcPr>
          <w:p>
            <w:r>
              <w:rPr>
                <w:rFonts w:ascii="Georgia" w:hAnsi="Georgia"/>
                <w:color w:val="4A4A4A"/>
                <w:sz w:val="19"/>
              </w:rPr>
              <w:t>34,640</w:t>
            </w:r>
          </w:p>
        </w:tc>
        <w:tc>
          <w:tcPr>
            <w:tcW w:type="dxa" w:w="2209"/>
          </w:tcPr>
          <w:p>
            <w:r>
              <w:rPr>
                <w:rFonts w:ascii="Georgia" w:hAnsi="Georgia"/>
                <w:color w:val="4A4A4A"/>
                <w:sz w:val="19"/>
              </w:rPr>
              <w:t>Midnight Hammer BDA; Axis of Resistance military strength</w:t>
            </w:r>
          </w:p>
        </w:tc>
      </w:tr>
      <w:tr>
        <w:tc>
          <w:tcPr>
            <w:tcW w:type="dxa" w:w="2209"/>
          </w:tcPr>
          <w:p>
            <w:r>
              <w:rPr>
                <w:rFonts w:ascii="Georgia" w:hAnsi="Georgia"/>
                <w:color w:val="4A4A4A"/>
                <w:sz w:val="19"/>
              </w:rPr>
              <w:t>RELIGION_V2_RAG (cid=63)</w:t>
            </w:r>
          </w:p>
        </w:tc>
        <w:tc>
          <w:tcPr>
            <w:tcW w:type="dxa" w:w="2209"/>
          </w:tcPr>
          <w:p>
            <w:r>
              <w:rPr>
                <w:rFonts w:ascii="Georgia" w:hAnsi="Georgia"/>
                <w:color w:val="4A4A4A"/>
                <w:sz w:val="19"/>
              </w:rPr>
              <w:t>Religion, culture, civilisational history</w:t>
            </w:r>
          </w:p>
        </w:tc>
        <w:tc>
          <w:tcPr>
            <w:tcW w:type="dxa" w:w="2209"/>
          </w:tcPr>
          <w:p>
            <w:r>
              <w:rPr>
                <w:rFonts w:ascii="Georgia" w:hAnsi="Georgia"/>
                <w:color w:val="4A4A4A"/>
                <w:sz w:val="19"/>
              </w:rPr>
              <w:t>62,849</w:t>
            </w:r>
          </w:p>
        </w:tc>
        <w:tc>
          <w:tcPr>
            <w:tcW w:type="dxa" w:w="2209"/>
          </w:tcPr>
          <w:p>
            <w:r>
              <w:rPr>
                <w:rFonts w:ascii="Georgia" w:hAnsi="Georgia"/>
                <w:color w:val="4A4A4A"/>
                <w:sz w:val="19"/>
              </w:rPr>
              <w:t>Asabiyyah; Ibn Khaldun; civilisational cohesion analysis</w:t>
            </w:r>
          </w:p>
        </w:tc>
      </w:tr>
      <w:tr>
        <w:tc>
          <w:tcPr>
            <w:tcW w:type="dxa" w:w="2209"/>
          </w:tcPr>
          <w:p>
            <w:r>
              <w:rPr>
                <w:rFonts w:ascii="Georgia" w:hAnsi="Georgia"/>
                <w:color w:val="4A4A4A"/>
                <w:sz w:val="19"/>
              </w:rPr>
              <w:t>CONSULTING_RAG (cid=37)</w:t>
            </w:r>
          </w:p>
        </w:tc>
        <w:tc>
          <w:tcPr>
            <w:tcW w:type="dxa" w:w="2209"/>
          </w:tcPr>
          <w:p>
            <w:r>
              <w:rPr>
                <w:rFonts w:ascii="Georgia" w:hAnsi="Georgia"/>
                <w:color w:val="4A4A4A"/>
                <w:sz w:val="19"/>
              </w:rPr>
              <w:t>McKinsey, Bain, BCG, Gartner: market analysis</w:t>
            </w:r>
          </w:p>
        </w:tc>
        <w:tc>
          <w:tcPr>
            <w:tcW w:type="dxa" w:w="2209"/>
          </w:tcPr>
          <w:p>
            <w:r>
              <w:rPr>
                <w:rFonts w:ascii="Georgia" w:hAnsi="Georgia"/>
                <w:color w:val="4A4A4A"/>
                <w:sz w:val="19"/>
              </w:rPr>
              <w:t>6,177</w:t>
            </w:r>
          </w:p>
        </w:tc>
        <w:tc>
          <w:tcPr>
            <w:tcW w:type="dxa" w:w="2209"/>
          </w:tcPr>
          <w:p>
            <w:r>
              <w:rPr>
                <w:rFonts w:ascii="Georgia" w:hAnsi="Georgia"/>
                <w:color w:val="4A4A4A"/>
                <w:sz w:val="19"/>
              </w:rPr>
              <w:t>AI market sizing; digital transformation data</w:t>
            </w:r>
          </w:p>
        </w:tc>
      </w:tr>
      <w:tr>
        <w:tc>
          <w:tcPr>
            <w:tcW w:type="dxa" w:w="2209"/>
          </w:tcPr>
          <w:p>
            <w:r>
              <w:rPr>
                <w:rFonts w:ascii="Georgia" w:hAnsi="Georgia"/>
                <w:color w:val="4A4A4A"/>
                <w:sz w:val="19"/>
              </w:rPr>
              <w:t>Total active corpus</w:t>
            </w:r>
          </w:p>
        </w:tc>
        <w:tc>
          <w:tcPr>
            <w:tcW w:type="dxa" w:w="2209"/>
          </w:tcPr>
          <w:p>
            <w:r>
              <w:rPr>
                <w:rFonts w:ascii="Georgia" w:hAnsi="Georgia"/>
                <w:color w:val="4A4A4A"/>
                <w:sz w:val="19"/>
              </w:rPr>
              <w:t>56 RAGs operational</w:t>
            </w:r>
          </w:p>
        </w:tc>
        <w:tc>
          <w:tcPr>
            <w:tcW w:type="dxa" w:w="2209"/>
          </w:tcPr>
          <w:p>
            <w:r>
              <w:rPr>
                <w:rFonts w:ascii="Georgia" w:hAnsi="Georgia"/>
                <w:color w:val="4A4A4A"/>
                <w:sz w:val="19"/>
              </w:rPr>
              <w:t>1,735,469+</w:t>
            </w:r>
          </w:p>
        </w:tc>
        <w:tc>
          <w:tcPr>
            <w:tcW w:type="dxa" w:w="2209"/>
          </w:tcPr>
          <w:p>
            <w:r>
              <w:rPr>
                <w:rFonts w:ascii="Georgia" w:hAnsi="Georgia"/>
                <w:color w:val="4A4A4A"/>
                <w:sz w:val="19"/>
              </w:rPr>
              <w:t>Full-spectrum deterministic intelligence retrieval</w:t>
            </w:r>
          </w:p>
        </w:tc>
      </w:tr>
    </w:tbl>
    <w:p>
      <w:pPr>
        <w:spacing w:after="160"/>
      </w:pPr>
    </w:p>
    <w:p>
      <w:r>
        <w:br w:type="page"/>
      </w:r>
    </w:p>
    <w:p>
      <w:pPr>
        <w:spacing w:before="440" w:after="120"/>
      </w:pPr>
      <w:r>
        <w:rPr>
          <w:rFonts w:ascii="Calibri" w:hAnsi="Calibri"/>
          <w:b/>
          <w:i w:val="0"/>
          <w:color w:val="0D1B2A"/>
          <w:sz w:val="30"/>
        </w:rPr>
        <w:t>CONCLUSION: THE WORLD IN JULY 2026</w:t>
      </w:r>
    </w:p>
    <w:p>
      <w:pPr>
        <w:pBdr>
          <w:bottom w:val="single" w:sz="6" w:space="1" w:color="B8960A"/>
        </w:pBdr>
        <w:spacing w:after="80"/>
      </w:pPr>
    </w:p>
    <w:p>
      <w:pPr>
        <w:spacing w:after="120"/>
      </w:pPr>
      <w:r>
        <w:rPr>
          <w:rFonts w:ascii="Georgia" w:hAnsi="Georgia"/>
          <w:b w:val="0"/>
          <w:i w:val="0"/>
          <w:color w:val="4A4A4A"/>
          <w:sz w:val="22"/>
        </w:rPr>
        <w:t>The world in July 2026 is not broken. It is under extraordinary stress — measurable stress, traceable to specific causal mechanisms, with identifiable intervention points. This is the essential message of the Civilisational Persistence Index: Φ = 0.31 is not a verdict. It is a diagnostic. The five variables below their critical floors or above their danger ceilings are each susceptible to policy intervention. The feedback loops can be interrupted. The scenarios with positive probability (S11-S15) are not naive optimism — they are the real opportunities that exist in parallel with the real risks.</w:t>
      </w:r>
    </w:p>
    <w:p>
      <w:pPr>
        <w:spacing w:after="120"/>
      </w:pPr>
      <w:r>
        <w:rPr>
          <w:rFonts w:ascii="Georgia" w:hAnsi="Georgia"/>
          <w:b w:val="0"/>
          <w:i w:val="0"/>
          <w:color w:val="4A4A4A"/>
          <w:sz w:val="22"/>
        </w:rPr>
        <w:t>The three most urgent intervention points, ranked by leverage on Φ:</w:t>
      </w:r>
    </w:p>
    <w:p>
      <w:pPr>
        <w:pStyle w:val="ListBullet"/>
        <w:spacing w:after="60"/>
        <w:ind w:left="360"/>
      </w:pPr>
      <w:r>
        <w:rPr>
          <w:rFonts w:ascii="Georgia" w:hAnsi="Georgia"/>
          <w:b/>
          <w:i w:val="0"/>
          <w:color w:val="0D1B2A"/>
          <w:sz w:val="21"/>
        </w:rPr>
        <w:t xml:space="preserve">INTERVENTION 1 — Strengthen Institutions (I↑): </w:t>
      </w:r>
      <w:r>
        <w:rPr>
          <w:rFonts w:ascii="Georgia" w:hAnsi="Georgia"/>
          <w:b w:val="0"/>
          <w:i w:val="0"/>
          <w:color w:val="4A4A4A"/>
          <w:sz w:val="21"/>
        </w:rPr>
        <w:t>Institutional rebuilding: Every point gained in I (Institutions, currently 0.41, floor=0.40) has the largest proportional effect on Φ recovery. This means anti-corruption enforcement, electoral system integrity, judicial independence, and regulatory capacity for technology governance. The EU AI Act — despite its flaws — is moving in this direction. So is the CHIPS Act. So is NIST AI RMF. None is sufficient alone.</w:t>
      </w:r>
    </w:p>
    <w:p>
      <w:pPr>
        <w:pStyle w:val="ListBullet"/>
        <w:spacing w:after="60"/>
        <w:ind w:left="360"/>
      </w:pPr>
      <w:r>
        <w:rPr>
          <w:rFonts w:ascii="Georgia" w:hAnsi="Georgia"/>
          <w:b/>
          <w:i w:val="0"/>
          <w:color w:val="0D1B2A"/>
          <w:sz w:val="21"/>
        </w:rPr>
        <w:t xml:space="preserve">INTERVENTION 2 — Redesign Distribution (ξ↑): </w:t>
      </w:r>
      <w:r>
        <w:rPr>
          <w:rFonts w:ascii="Georgia" w:hAnsi="Georgia"/>
          <w:b w:val="0"/>
          <w:i w:val="0"/>
          <w:color w:val="4A4A4A"/>
          <w:sz w:val="21"/>
        </w:rPr>
        <w:t>Distribution architecture: ξ=0.28 and falling. AI productivity gains that accrue entirely to capital owners will accelerate A↓ → L↓ → E↑ → Φ↓. The mechanisms that redistribute productivity gains — wage growth, profit-sharing, social infrastructure investment, AI dividend — are not automatic. They require active political choice. The window for that choice is approximately 2026-2030; beyond that, the structural lock-in of the distribution pattern becomes politically intractable.</w:t>
      </w:r>
    </w:p>
    <w:p>
      <w:pPr>
        <w:pStyle w:val="ListBullet"/>
        <w:spacing w:after="60"/>
        <w:ind w:left="360"/>
      </w:pPr>
      <w:r>
        <w:rPr>
          <w:rFonts w:ascii="Georgia" w:hAnsi="Georgia"/>
          <w:b/>
          <w:i w:val="0"/>
          <w:color w:val="0D1B2A"/>
          <w:sz w:val="21"/>
        </w:rPr>
        <w:t xml:space="preserve">INTERVENTION 3 — De-escalate Existential Risk (Ω↓): </w:t>
      </w:r>
      <w:r>
        <w:rPr>
          <w:rFonts w:ascii="Georgia" w:hAnsi="Georgia"/>
          <w:b w:val="0"/>
          <w:i w:val="0"/>
          <w:color w:val="4A4A4A"/>
          <w:sz w:val="21"/>
        </w:rPr>
        <w:t>Existential risk management: Ω=0.72, ceiling=0.30, breached 2.4x. The primary drivers — Iran nuclear reconstitution trajectory, AI unalignment risk, and climate tipping point approach — require active de-escalation diplomacy (Iran MOU), international AI safety governance, and accelerated decarbonisation. These are long-cycle problems requiring institutional continuity that democratic short-cycle politics makes difficult. The Nuclear Escalation Monitor at NERI=0.4500 is the single most important number to watch.</w:t>
      </w:r>
    </w:p>
    <w:p>
      <w:pPr>
        <w:spacing w:before="160" w:after="120"/>
        <w:ind w:left="720" w:right="720"/>
        <w:pBdr>
          <w:left w:val="single" w:sz="12" w:space="8" w:color="B8960A"/>
        </w:pBdr>
      </w:pPr>
      <w:r>
        <w:rPr>
          <w:rFonts w:ascii="Georgia" w:hAnsi="Georgia"/>
          <w:b w:val="0"/>
          <w:i/>
          <w:color w:val="0D1B2A"/>
          <w:sz w:val="21"/>
        </w:rPr>
        <w:t>"Every civilisation that has fallen looked, from the inside, like it was fine right until it wasn't. The Civilisational Persistence Index is designed to measure 'not fine' before it is too late to matter."</w:t>
      </w:r>
      <w:r>
        <w:br/>
      </w:r>
      <w:r>
        <w:rPr>
          <w:rFonts w:ascii="Georgia" w:hAnsi="Georgia"/>
          <w:b w:val="0"/>
          <w:i w:val="0"/>
          <w:color w:val="8A8A8A"/>
          <w:sz w:val="19"/>
        </w:rPr>
        <w:t>— Blue Lotus Research, Seldon Thesis, July 2026</w:t>
      </w:r>
    </w:p>
    <w:p>
      <w:pPr>
        <w:pBdr>
          <w:bottom w:val="single" w:sz="6" w:space="1" w:color="B8960A"/>
        </w:pBdr>
        <w:spacing w:after="80"/>
      </w:pPr>
    </w:p>
    <w:p>
      <w:pPr>
        <w:spacing w:after="120"/>
      </w:pPr>
      <w:r>
        <w:rPr>
          <w:rFonts w:ascii="Georgia" w:hAnsi="Georgia"/>
          <w:b w:val="0"/>
          <w:i/>
          <w:color w:val="8A8A8A"/>
          <w:sz w:val="22"/>
        </w:rPr>
        <w:t>The July 2026 Current World Trend Report is produced through the Blue Lotus five-method intelligence protocol. It synthesises 24 intelligence assessments, 108 early warning canaries across 16 territories, and 56 research RAGs comprising 1.73 million+ document chunks updated through July 22, 2026. Every quantitative claim traces to a cited primary source. Illustrative scenarios are labelled as probabilistic estimates, not predictions. This report does not constitute investment advice, policy advice, or military analysis. It is an intelligence synthesis designed to help decision-makers understand where the world stands — and what decisions, taken now, will matter most.</w:t>
      </w:r>
    </w:p>
    <w:p>
      <w:pPr>
        <w:pBdr>
          <w:bottom w:val="single" w:sz="6" w:space="1" w:color="0D1B2A"/>
        </w:pBdr>
        <w:spacing w:after="80"/>
      </w:pPr>
    </w:p>
    <w:p>
      <w:pPr>
        <w:spacing w:before="240"/>
        <w:jc w:val="center"/>
      </w:pPr>
      <w:r>
        <w:rPr>
          <w:rFonts w:ascii="Calibri" w:hAnsi="Calibri"/>
          <w:b/>
          <w:i w:val="0"/>
          <w:color w:val="0D1B2A"/>
          <w:sz w:val="22"/>
        </w:rPr>
        <w:t>BLUE LOTUS RESEARCH PUBLICATION</w:t>
      </w:r>
    </w:p>
    <w:p>
      <w:pPr>
        <w:jc w:val="center"/>
      </w:pPr>
      <w:r>
        <w:rPr>
          <w:rFonts w:ascii="Georgia" w:hAnsi="Georgia"/>
          <w:b w:val="0"/>
          <w:i/>
          <w:color w:val="B8960A"/>
          <w:sz w:val="20"/>
        </w:rPr>
        <w:t>Five-Method Intelligence on China, AI, and the Global Order</w:t>
      </w:r>
    </w:p>
    <w:p>
      <w:pPr>
        <w:jc w:val="center"/>
      </w:pPr>
      <w:r>
        <w:rPr>
          <w:rFonts w:ascii="Georgia" w:hAnsi="Georgia"/>
          <w:b w:val="0"/>
          <w:i w:val="0"/>
          <w:color w:val="8A8A8A"/>
          <w:sz w:val="19"/>
        </w:rPr>
        <w:t>July 2026  ·  Premium Edition  ·  USD 2,000</w:t>
      </w:r>
    </w:p>
    <w:p>
      <w:pPr>
        <w:jc w:val="center"/>
      </w:pPr>
      <w:r>
        <w:rPr>
          <w:rFonts w:ascii="Georgia" w:hAnsi="Georgia"/>
          <w:b w:val="0"/>
          <w:i/>
          <w:color w:val="8A8A8A"/>
          <w:sz w:val="18"/>
        </w:rPr>
        <w:t>A measurement framework and intelligence synthesis. Not investment or policy advice.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