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val="false"/>
          <w:bCs w:val="false"/>
          <w:i w:val="false"/>
          <w:iCs w:val="false"/>
          <w:color w:val="000000"/>
          <w:sz w:val="20"/>
          <w:szCs w:val="20"/>
        </w:rPr>
        <w:t xml:space="preserve"/>
      </w:r>
    </w:p>
    <w:p>
      <w:pPr>
        <w:spacing w:after="120"/>
        <w:jc w:val="center"/>
      </w:pPr>
      <w:r>
        <w:rPr>
          <w:rFonts w:ascii="Arial" w:cs="Arial" w:eastAsia="Arial" w:hAnsi="Arial"/>
          <w:b/>
          <w:bCs/>
          <w:i w:val="false"/>
          <w:iCs w:val="false"/>
          <w:color w:val="1B3A6B"/>
          <w:sz w:val="44"/>
          <w:szCs w:val="44"/>
        </w:rPr>
        <w:t xml:space="preserve">CIVILISATIONAL CRISIS POLICY REPORT</w:t>
      </w:r>
    </w:p>
    <w:p>
      <w:pPr>
        <w:pBdr>
          <w:bottom w:val="single" w:color="8B0000" w:sz="8"/>
        </w:pBdr>
        <w:spacing w:after="200"/>
        <w:jc w:val="center"/>
      </w:pPr>
      <w:r>
        <w:rPr>
          <w:rFonts w:ascii="Arial" w:cs="Arial" w:eastAsia="Arial" w:hAnsi="Arial"/>
          <w:b/>
          <w:bCs/>
          <w:i/>
          <w:iCs/>
          <w:color w:val="8B0000"/>
          <w:sz w:val="28"/>
          <w:szCs w:val="28"/>
        </w:rPr>
        <w:t xml:space="preserve">Threats, Trajectories, and Prescribed Remedies</w:t>
      </w:r>
    </w:p>
    <w:p>
      <w:pPr>
        <w:spacing w:after="0" w:before="200"/>
      </w:pPr>
      <w:r>
        <w:rPr>
          <w:rFonts w:ascii="Arial" w:cs="Arial" w:eastAsia="Arial" w:hAnsi="Arial"/>
          <w:b w:val="false"/>
          <w:bCs w:val="false"/>
          <w:i w:val="false"/>
          <w:iCs w:val="false"/>
          <w:color w:val="000000"/>
          <w:sz w:val="20"/>
          <w:szCs w:val="20"/>
        </w:rPr>
        <w:t xml:space="preserve"/>
      </w:r>
    </w:p>
    <w:p>
      <w:pPr>
        <w:spacing w:after="80"/>
        <w:jc w:val="center"/>
      </w:pPr>
      <w:r>
        <w:rPr>
          <w:rFonts w:ascii="Arial" w:cs="Arial" w:eastAsia="Arial" w:hAnsi="Arial"/>
          <w:b w:val="false"/>
          <w:bCs w:val="false"/>
          <w:i/>
          <w:iCs/>
          <w:color w:val="4A4A4A"/>
          <w:sz w:val="22"/>
          <w:szCs w:val="22"/>
        </w:rPr>
        <w:t xml:space="preserve">Prepared under the Seldon Framework  ·  Five Research Methods Applied</w:t>
      </w:r>
    </w:p>
    <w:p>
      <w:pPr>
        <w:spacing w:after="80"/>
        <w:jc w:val="center"/>
      </w:pPr>
      <w:r>
        <w:rPr>
          <w:rFonts w:ascii="Arial" w:cs="Arial" w:eastAsia="Arial" w:hAnsi="Arial"/>
          <w:b w:val="false"/>
          <w:bCs w:val="false"/>
          <w:i w:val="false"/>
          <w:iCs w:val="false"/>
          <w:color w:val="4A4A4A"/>
          <w:sz w:val="20"/>
          <w:szCs w:val="20"/>
        </w:rPr>
        <w:t xml:space="preserve">1,729,519+ Corpus Chunks  |  56 RAG Collections  |  14 Operational Intelligence Sources</w:t>
      </w:r>
    </w:p>
    <w:p>
      <w:pPr>
        <w:spacing w:after="0" w:before="360"/>
      </w:pPr>
      <w:r>
        <w:rPr>
          <w:rFonts w:ascii="Arial" w:cs="Arial" w:eastAsia="Arial" w:hAnsi="Arial"/>
          <w:b w:val="false"/>
          <w:bCs w:val="false"/>
          <w:i w:val="false"/>
          <w:iCs w:val="false"/>
          <w:color w:val="000000"/>
          <w:sz w:val="20"/>
          <w:szCs w:val="20"/>
        </w:rPr>
        <w:t xml:space="preserve"/>
      </w:r>
    </w:p>
    <w:p>
      <w:pPr>
        <w:spacing w:after="60"/>
        <w:jc w:val="center"/>
      </w:pPr>
      <w:r>
        <w:rPr>
          <w:rFonts w:ascii="Arial" w:cs="Arial" w:eastAsia="Arial" w:hAnsi="Arial"/>
          <w:b/>
          <w:bCs/>
          <w:i w:val="false"/>
          <w:iCs w:val="false"/>
          <w:color w:val="1B3A6B"/>
          <w:sz w:val="24"/>
          <w:szCs w:val="24"/>
        </w:rPr>
        <w:t xml:space="preserve">17 July 2026</w:t>
      </w:r>
    </w:p>
    <w:p>
      <w:pPr>
        <w:spacing w:after="60"/>
        <w:jc w:val="center"/>
      </w:pPr>
      <w:r>
        <w:rPr>
          <w:rFonts w:ascii="Arial" w:cs="Arial" w:eastAsia="Arial" w:hAnsi="Arial"/>
          <w:b w:val="false"/>
          <w:bCs w:val="false"/>
          <w:i w:val="false"/>
          <w:iCs w:val="false"/>
          <w:color w:val="4A4A4A"/>
          <w:sz w:val="20"/>
          <w:szCs w:val="20"/>
        </w:rPr>
        <w:t xml:space="preserve">Chief Clerk 2IC  —  CivilisationOS Intelligence Pipeline</w:t>
      </w:r>
    </w:p>
    <w:p>
      <w:pPr>
        <w:spacing w:after="60"/>
        <w:jc w:val="center"/>
      </w:pPr>
      <w:r>
        <w:rPr>
          <w:rFonts w:ascii="Arial" w:cs="Arial" w:eastAsia="Arial" w:hAnsi="Arial"/>
          <w:b/>
          <w:bCs/>
          <w:i w:val="false"/>
          <w:iCs w:val="false"/>
          <w:color w:val="8B0000"/>
          <w:sz w:val="20"/>
          <w:szCs w:val="20"/>
        </w:rPr>
        <w:t xml:space="preserve">CONFIDENTIAL</w:t>
      </w:r>
    </w:p>
    <w:p>
      <w:r>
        <w:br w:type="page"/>
      </w:r>
    </w:p>
    <w:p>
      <w:pPr>
        <w:pBdr>
          <w:bottom w:val="single" w:color="1B3A6B" w:sz="8"/>
        </w:pBdr>
        <w:spacing w:after="40" w:before="240"/>
      </w:pPr>
      <w:r>
        <w:rPr>
          <w:rFonts w:ascii="Arial" w:cs="Arial" w:eastAsia="Arial" w:hAnsi="Arial"/>
          <w:b/>
          <w:bCs/>
          <w:i w:val="false"/>
          <w:iCs w:val="false"/>
          <w:color w:val="1B3A6B"/>
          <w:sz w:val="28"/>
          <w:szCs w:val="28"/>
        </w:rPr>
        <w:t xml:space="preserve">METHODOLOGY — FIVE RESEARCH METHODS AND SELDON FRAMEWORK</w:t>
      </w:r>
    </w:p>
    <w:p>
      <w:pPr>
        <w:spacing w:after="0" w:before="8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This report applies all five research methods of the CivilisationOS analytical architecture simultaneously. Each country and territory entry is assessed through all five lenses before a policy prescription is issued. No single method dominates — the synthesis of all five is the finding.</w:t>
      </w:r>
    </w:p>
    <w:p>
      <w:pPr>
        <w:spacing w:after="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METHOD</w:t>
            </w:r>
          </w:p>
        </w:tc>
        <w:tc>
          <w:tcPr>
            <w:tcW w:type="dxa" w:w="36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WHAT IT ASKS</w:t>
            </w:r>
          </w:p>
        </w:tc>
        <w:tc>
          <w:tcPr>
            <w:tcW w:type="dxa" w:w="396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PRIMARY CORPUS SOURCES</w:t>
            </w:r>
          </w:p>
        </w:tc>
      </w:tr>
      <w:tr>
        <w:tc>
          <w:tcPr>
            <w:tcW w:type="dxa" w:w="18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Qualitative</w:t>
            </w:r>
          </w:p>
        </w:tc>
        <w:tc>
          <w:tcPr>
            <w:tcW w:type="dxa" w:w="36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Historical analogies, case studies, civilisational pattern analysis, institutional logic</w:t>
            </w:r>
          </w:p>
        </w:tc>
        <w:tc>
          <w:tcPr>
            <w:tcW w:type="dxa" w:w="39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WORLD_GREATBOOKS_RAG (44 vols), CHINESE_GREATBOOKS_RAG (76 vols), FA_RAG (148k chunks 1922–2026)</w:t>
            </w:r>
          </w:p>
        </w:tc>
      </w:tr>
      <w:tr>
        <w:tc>
          <w:tcPr>
            <w:tcW w:type="dxa" w:w="18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Quantitative</w:t>
            </w:r>
          </w:p>
        </w:tc>
        <w:tc>
          <w:tcPr>
            <w:tcW w:type="dxa" w:w="36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Statistical evidence, economic data, military metrics, demographic projections, chunk-density as attention proxy</w:t>
            </w:r>
          </w:p>
        </w:tc>
        <w:tc>
          <w:tcPr>
            <w:tcW w:type="dxa" w:w="39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ACADEMIC_RAG (BIS/IMF), US_POLICY_RAG (FOMC/CBO), CONSULTING_RAG (MGI/BCG), EDGAR_RAG, MILITARY_RAG (SIPRI)</w:t>
            </w:r>
          </w:p>
        </w:tc>
      </w:tr>
      <w:tr>
        <w:tc>
          <w:tcPr>
            <w:tcW w:type="dxa" w:w="18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Ethnographic</w:t>
            </w:r>
          </w:p>
        </w:tc>
        <w:tc>
          <w:tcPr>
            <w:tcW w:type="dxa" w:w="36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Daily-life evidence of how populations actually live and signal through cultural production</w:t>
            </w:r>
          </w:p>
        </w:tc>
        <w:tc>
          <w:tcPr>
            <w:tcW w:type="dxa" w:w="39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CNA_RAG (259k chunks Singapore press 2013–2026), NIKKEI_RAG (342k chunks Japan 2014–2026), HUMAN_RIGHTS_RAG</w:t>
            </w:r>
          </w:p>
        </w:tc>
      </w:tr>
      <w:tr>
        <w:tc>
          <w:tcPr>
            <w:tcW w:type="dxa" w:w="18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Superforecasting</w:t>
            </w:r>
          </w:p>
        </w:tc>
        <w:tc>
          <w:tcPr>
            <w:tcW w:type="dxa" w:w="36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Calibrated probability estimates on key outcomes; Brier-scored; separated by decision nodes</w:t>
            </w:r>
          </w:p>
        </w:tc>
        <w:tc>
          <w:tcPr>
            <w:tcW w:type="dxa" w:w="39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FUTURES_RAG (WEF GRR 2025), ODNI Annual Threat Assessments (MILITARY_RAG), INDIA_RAG, CHINA_ECON_RAG</w:t>
            </w:r>
          </w:p>
        </w:tc>
      </w:tr>
      <w:tr>
        <w:tc>
          <w:tcPr>
            <w:tcW w:type="dxa" w:w="18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Adversarial Collaboration</w:t>
            </w:r>
          </w:p>
        </w:tc>
        <w:tc>
          <w:tcPr>
            <w:tcW w:type="dxa" w:w="36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Steel-man the strongest counter-thesis; engage it; report where it survives and where it fails</w:t>
            </w:r>
          </w:p>
        </w:tc>
        <w:tc>
          <w:tcPr>
            <w:tcW w:type="dxa" w:w="39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FA_RAG (competing geopolitical frameworks), CONSULTING_RAG (optimist scenarios), ASEAN_DATA_RAG</w:t>
            </w:r>
          </w:p>
        </w:tc>
      </w:tr>
    </w:tbl>
    <w:p>
      <w:pPr>
        <w:spacing w:after="0" w:before="12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THE SELDON DIAGNOSTIC FRAMEWORK</w:t>
      </w:r>
    </w:p>
    <w:p>
      <w:pPr>
        <w:spacing w:after="60" w:before="60"/>
      </w:pPr>
      <w:r>
        <w:rPr>
          <w:rFonts w:ascii="Arial" w:cs="Arial" w:eastAsia="Arial" w:hAnsi="Arial"/>
          <w:b w:val="false"/>
          <w:bCs w:val="false"/>
          <w:i w:val="false"/>
          <w:iCs w:val="false"/>
          <w:color w:val="000000"/>
          <w:sz w:val="20"/>
          <w:szCs w:val="20"/>
        </w:rPr>
        <w:t xml:space="preserve">Each territory is assessed against the Master Equation: Φ(C,t) = [A^0.31 × K^0.22 × I^0.29 × L^0.18 × (1+ξ)^0.12] / [1 + Ω^0.88 × E^0.44], where:</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A = Asabiyyah (social cohesion, internal solidarity)</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K = Knowledge Capital (education, technology, information access)</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I = Institutional Resilience (I_min floor = 0.40; below = collapse risk)</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L = Legitimacy (public consent to governance; L_crit is the crisis floor)</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Ω = Existential Risk Exposure (nuclear, bio, climate, AI — weighted 0.88)</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E = Elite Overproduction (surplus credentialed aspirants competing for insufficient positions)</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ξ = Gaia Coefficient (distributed vs. centralised control — rising = healthier)</w:t>
      </w:r>
    </w:p>
    <w:p>
      <w:pPr>
        <w:spacing w:after="0" w:before="8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Φ_crit = 0.95 (Seldon Manifold — threshold for 5-billion-year persistence). Current global reading: Φ(C,2026) ≈ 0.31. The denominator is winning.</w:t>
      </w:r>
    </w:p>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I — NORTH AMERICA</w:t>
      </w:r>
    </w:p>
    <w:p>
      <w:pPr>
        <w:spacing w:after="20" w:before="300"/>
      </w:pPr>
      <w:r>
        <w:rPr>
          <w:rFonts w:ascii="Arial" w:cs="Arial" w:eastAsia="Arial" w:hAnsi="Arial"/>
          <w:b/>
          <w:bCs/>
          <w:i w:val="false"/>
          <w:iCs w:val="false"/>
          <w:color w:val="1B3A6B"/>
          <w:sz w:val="26"/>
          <w:szCs w:val="26"/>
        </w:rPr>
        <w:t xml:space="preserve">UNITED STATES</w:t>
      </w:r>
      <w:r>
        <w:rPr>
          <w:rFonts w:ascii="Arial" w:cs="Arial" w:eastAsia="Arial" w:hAnsi="Arial"/>
          <w:b w:val="false"/>
          <w:bCs w:val="false"/>
          <w:i/>
          <w:iCs/>
          <w:color w:val="4A4A4A"/>
          <w:sz w:val="20"/>
          <w:szCs w:val="20"/>
        </w:rPr>
        <w:t xml:space="preserve">  ·  North America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A↓0.38  K↑1.00  I→0.45  L↓0.36  Ω↑0.70  E↑0.64  ξ↓0.30  |  Φ≈0.34  |  CRITICAL: L and E compound risk</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Triple civilisational stress: (1) Fiscal unsustainability — CBO projects federal debt at 181% of GDP by 2054 with no current correction trajectory. (2) Democratic legitimacy collapse below L_crit — the sequential betrayal events (Iraq WMD, 2008, COVID, January 6 normalisation) have degraded public trust in institutional competence and good faith. (3) Elite overproduction entering the AI displacement phase — the generation told that credentialing guarantees security now faces AI displacement in the exact entry-level knowledge-work roles they were trained for. These three processes interact: fiscal stress reduces I, L-decline prevents the political coalition needed for fiscal reform, and E-overproduction creates the demagogue market that accelerates L-decline further.</w:t>
            </w:r>
          </w:p>
        </w:tc>
      </w:tr>
    </w:tbl>
    <w:p>
      <w:pPr>
        <w:spacing w:after="0" w:before="80"/>
      </w:pPr>
      <w:r>
        <w:rPr>
          <w:rFonts w:ascii="Arial" w:cs="Arial" w:eastAsia="Arial" w:hAnsi="Arial"/>
          <w:b w:val="false"/>
          <w:bCs w:val="false"/>
          <w:i w:val="false"/>
          <w:iCs w:val="false"/>
          <w:color w:val="000000"/>
          <w:sz w:val="20"/>
          <w:szCs w:val="20"/>
        </w:rPr>
        <w:t xml:space="preserve"/>
      </w:r>
    </w:p>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Tocqueville (WORLD_GREATBOOKS Western Supplement, Vol. 35): democracy's greatest vulnerability is not external conquest but soft despotism — the population surrenders political liberty for material comfort, leaving the form of democracy while draining its substance. The US exhibits this pattern precisely: formal democratic institutions intact while substantive governance capacity hollows. Ibn Khaldun's B_betrayal accumulation applies — each institutional failure (WMD, 2008, COVID, January 6) deposits residual legitimacy deficit that compounds.</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US_POLICY_RAG: CBO projects federal interest payments exceeding defence spending by 2027. Debt/GDP at 99% (2024) → 181% (2054) on current trajectory. FOMC minutes document monetary authority under sustained political pressure. RSF Press Freedom Index: US ranks 55th globally (2025), down from 17th in 2002. EDGAR_RAG: US Big Tech firms investing $500B+ in AI infrastructure — K growing; but three cloud providers hold 65% of global compute — ξ declining.</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CNA_RAG (Singapore press coverage of US, 2013–2026): Singapore observers document with alarm the normalisation of election denial, the partisan capture of previously independent institutions (Supreme Court, DOJ), and the erosion of shared factual consensus. NIKKEI_RAG: Japanese press frames US institutional instability as the primary uncertainty in the Japan-US alliance calculus. The external ethnographic view — allies watching the hegemon — is more alarmed than US domestic commentary.</w:t>
      </w:r>
    </w:p>
    <w:p>
      <w:pPr>
        <w:spacing w:after="40" w:before="60"/>
        <w:ind w:left="360"/>
      </w:pPr>
      <w:r>
        <w:rPr>
          <w:rFonts w:ascii="Arial" w:cs="Arial" w:eastAsia="Arial" w:hAnsi="Arial"/>
          <w:b/>
          <w:bCs/>
          <w:i w:val="false"/>
          <w:iCs w:val="false"/>
          <w:color w:val="1B3A6B"/>
          <w:sz w:val="18"/>
          <w:szCs w:val="18"/>
        </w:rPr>
        <w:t xml:space="preserve">SUPERFORECASTING  </w:t>
      </w:r>
      <w:r>
        <w:rPr>
          <w:rFonts w:ascii="Arial" w:cs="Arial" w:eastAsia="Arial" w:hAnsi="Arial"/>
          <w:b w:val="false"/>
          <w:bCs w:val="false"/>
          <w:i/>
          <w:iCs/>
          <w:color w:val="000000"/>
          <w:sz w:val="18"/>
          <w:szCs w:val="18"/>
        </w:rPr>
        <w:t xml:space="preserve">See probability strip below.</w:t>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'American institutions are more resilient than critics claim — they survived Nixon, Vietnam, 2008, January 6.' Steel-man response: the thesis is correct that institutions survived those tests. But each test left residual structural damage. The aggregate L-decline from five-plus sequential betrayal events is cumulative and not reversible by a single institutional success. The question is not survival but trajectory.</w:t>
      </w:r>
    </w:p>
    <w:p>
      <w:pPr>
        <w:shd w:fill="FFF3E0" w:val="clear"/>
        <w:spacing w:after="80" w:before="80"/>
        <w:ind w:left="180"/>
      </w:pPr>
      <w:r>
        <w:rPr>
          <w:rFonts w:ascii="Arial" w:cs="Arial" w:eastAsia="Arial" w:hAnsi="Arial"/>
          <w:b/>
          <w:bCs/>
          <w:i w:val="false"/>
          <w:iCs w:val="false"/>
          <w:color w:val="7D4E00"/>
          <w:sz w:val="18"/>
          <w:szCs w:val="18"/>
        </w:rPr>
        <w:t xml:space="preserve">US fiscal crisis before 2040: </w:t>
      </w:r>
      <w:r>
        <w:rPr>
          <w:rFonts w:ascii="Arial" w:cs="Arial" w:eastAsia="Arial" w:hAnsi="Arial"/>
          <w:b w:val="false"/>
          <w:bCs w:val="false"/>
          <w:i w:val="false"/>
          <w:iCs w:val="false"/>
          <w:color w:val="000000"/>
          <w:sz w:val="18"/>
          <w:szCs w:val="18"/>
        </w:rPr>
        <w:t xml:space="preserve">P=0.55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that crisis → constitutional stress: </w:t>
      </w:r>
      <w:r>
        <w:rPr>
          <w:rFonts w:ascii="Arial" w:cs="Arial" w:eastAsia="Arial" w:hAnsi="Arial"/>
          <w:b w:val="false"/>
          <w:bCs w:val="false"/>
          <w:i w:val="false"/>
          <w:iCs w:val="false"/>
          <w:color w:val="000000"/>
          <w:sz w:val="18"/>
          <w:szCs w:val="18"/>
        </w:rPr>
        <w:t xml:space="preserve">P=0.35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dollar reserve status challenged before 2040: </w:t>
      </w:r>
      <w:r>
        <w:rPr>
          <w:rFonts w:ascii="Arial" w:cs="Arial" w:eastAsia="Arial" w:hAnsi="Arial"/>
          <w:b w:val="false"/>
          <w:bCs w:val="false"/>
          <w:i w:val="false"/>
          <w:iCs w:val="false"/>
          <w:color w:val="000000"/>
          <w:sz w:val="18"/>
          <w:szCs w:val="18"/>
        </w:rPr>
        <w:t xml:space="preserve">P=0.40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democratic backsliding to competitive authoritarianism: </w:t>
      </w:r>
      <w:r>
        <w:rPr>
          <w:rFonts w:ascii="Arial" w:cs="Arial" w:eastAsia="Arial" w:hAnsi="Arial"/>
          <w:b w:val="false"/>
          <w:bCs w:val="false"/>
          <w:i w:val="false"/>
          <w:iCs w:val="false"/>
          <w:color w:val="000000"/>
          <w:sz w:val="18"/>
          <w:szCs w:val="18"/>
        </w:rPr>
        <w:t xml:space="preserve">P=0.28</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IF UNSOLVED BY 2035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Dollar reserve-currency status under sustained challenge from BRICS+ payment systems and bilateral dollar-bypass arrangements. Fed forced into fiscal dominance — monetising debt to cover a government unable to pass fiscal reform. L-decline produces constitutional gridlock as normal operating condition. Democratic form is maintained while substantive oligarchy replaces it (Tocqueville's exact prediction). US loses the ability to lead the international order it constructed — not because it is defeated, but because it can no longer credibly model the system it advocates.</w:t>
            </w:r>
          </w:p>
        </w:tc>
      </w:tr>
    </w:tbl>
    <w:p>
      <w:pPr>
        <w:spacing w:after="0" w:before="80"/>
      </w:pPr>
      <w:r>
        <w:rPr>
          <w:rFonts w:ascii="Arial" w:cs="Arial" w:eastAsia="Arial" w:hAnsi="Arial"/>
          <w:b w:val="false"/>
          <w:bCs w:val="false"/>
          <w:i w:val="false"/>
          <w:iCs w:val="false"/>
          <w:color w:val="000000"/>
          <w:sz w:val="20"/>
          <w:szCs w:val="20"/>
        </w:rPr>
        <w:t xml:space="preserve"/>
      </w:r>
    </w:p>
    <w:p>
      <w:pPr>
        <w:spacing w:after="40" w:before="120"/>
      </w:pPr>
      <w:r>
        <w:rPr>
          <w:rFonts w:ascii="Arial" w:cs="Arial" w:eastAsia="Arial" w:hAnsi="Arial"/>
          <w:b/>
          <w:bCs/>
          <w:i w:val="false"/>
          <w:iCs w:val="false"/>
          <w:color w:val="1B5E20"/>
          <w:sz w:val="18"/>
          <w:szCs w:val="18"/>
        </w:rPr>
        <w:t xml:space="preserve">WHAT LEADERS MUST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FISCAL COMPACT: Bipartisan Social Security + Medicare actuarial reform — raise retirement age by 2 years for those currently under 50, means-test above $200k income, 1.5% payroll tax increase. Closes 60% of the structural deficit without cutting benefits for those below $100k. Political cost: immense. Necessity: absolute.</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CAMPAIGN FINANCE REFORM: Constitutional amendment or Supreme Court reversal to end Citizens United. Reduce elite capture of the L-variable. The wealth concentration documented in EDGAR_RAG is translating directly into political capture.</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PUBLIC JOURNALISM INFRASTRUCTURE: $5B/year federal commitment to local news as an independent trust (BBC-equivalent structure, not government-controlled). Rebuilds the upward information channel that is collapsing under advertising-model economics.</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AI GOVERNANCE FRAMEWORK: Mandatory compute disclosure, legal liability for AI-generated harms, antitrust enforcement on hyperscale cloud concentration. This addresses the K-Omega coupling that the Seldon framework did not model but the corpus reveals.</w:t>
            </w:r>
          </w:p>
          <w:p>
            <w:pPr>
              <w:spacing w:after="60" w:before="60"/>
              <w:ind w:left="360" w:hanging="240"/>
            </w:pPr>
            <w:r>
              <w:rPr>
                <w:rFonts w:ascii="Arial" w:cs="Arial" w:eastAsia="Arial" w:hAnsi="Arial"/>
                <w:b/>
                <w:bCs/>
                <w:i w:val="false"/>
                <w:iCs w:val="false"/>
                <w:color w:val="1B3A6B"/>
                <w:sz w:val="20"/>
                <w:szCs w:val="20"/>
              </w:rPr>
              <w:t xml:space="preserve">5. </w:t>
            </w:r>
            <w:r>
              <w:rPr>
                <w:rFonts w:ascii="Arial" w:cs="Arial" w:eastAsia="Arial" w:hAnsi="Arial"/>
                <w:b w:val="false"/>
                <w:bCs w:val="false"/>
                <w:i w:val="false"/>
                <w:iCs w:val="false"/>
                <w:color w:val="000000"/>
                <w:sz w:val="20"/>
                <w:szCs w:val="20"/>
              </w:rPr>
              <w:t xml:space="preserve">EDUCATION-TO-WORK REDESIGN: Eliminate federal student loan eligibility for university programmes where &gt;30% of graduates are underemployed within 5 years. Massively expand community college-to-apprenticeship pipelines. Match the credential to what the economy actually needs.</w:t>
            </w:r>
          </w:p>
        </w:tc>
      </w:tr>
    </w:tbl>
    <w:p>
      <w:pPr>
        <w:spacing w:after="0" w:before="80"/>
      </w:pPr>
      <w:r>
        <w:rPr>
          <w:rFonts w:ascii="Arial" w:cs="Arial" w:eastAsia="Arial" w:hAnsi="Arial"/>
          <w:b w:val="false"/>
          <w:bCs w:val="false"/>
          <w:i w:val="false"/>
          <w:iCs w:val="false"/>
          <w:color w:val="000000"/>
          <w:sz w:val="20"/>
          <w:szCs w:val="20"/>
        </w:rPr>
        <w:t xml:space="preserve"/>
      </w:r>
    </w:p>
    <w:p>
      <w:pPr>
        <w:spacing w:after="40" w:before="120"/>
      </w:pPr>
      <w:r>
        <w:rPr>
          <w:rFonts w:ascii="Arial" w:cs="Arial" w:eastAsia="Arial" w:hAnsi="Arial"/>
          <w:b/>
          <w:bCs/>
          <w:i w:val="false"/>
          <w:iCs w:val="false"/>
          <w:color w:val="1B3A6B"/>
          <w:sz w:val="18"/>
          <w:szCs w:val="18"/>
        </w:rPr>
        <w:t xml:space="preserve">COST AND SACRIFICE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Democrats lose seniors opposing Social Security reform; Republicans lose donor class opposing campaign finance reform. No current party can absorb both costs simultaneously. Requires a cross-party grand bargain with no modern US precedent.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Fiscal consolidation suppresses near-term growth by 0.3–0.7% annually for 5–8 years. AI liability framework slows deployment speed. Short-term innovation cost.</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1–8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Delayed retirement for those 40–55 who planned on current retirement age. Working-class voters bear this disproportionately. Journalism restructuring dislocates ~50k media jobs in transition.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Immediate–5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If fiscal correction is not made before the 2030s, the debt trajectory becomes self-reinforcing. The window for non-crisis reform is closing. Post-crisis reform (after sovereign shock) is far more painful than pre-crisis reform.</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Permanent if delayed</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CANADA</w:t>
      </w:r>
      <w:r>
        <w:rPr>
          <w:rFonts w:ascii="Arial" w:cs="Arial" w:eastAsia="Arial" w:hAnsi="Arial"/>
          <w:b w:val="false"/>
          <w:bCs w:val="false"/>
          <w:i/>
          <w:iCs/>
          <w:color w:val="4A4A4A"/>
          <w:sz w:val="20"/>
          <w:szCs w:val="20"/>
        </w:rPr>
        <w:t xml:space="preserve">  ·  North America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A→0.55  K→0.70  I→0.60  L→0.52  Ω→0.40  E↑0.50  ξ→0.45  |  Φ≈0.52  |  WATCH: Housing, immigration stress, US dependency</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Canada faces a structural dependency trifecta: (1) Housing affordability collapse — median home price at 12× median income in Toronto and Vancouver, the worst affordability ratio in Canadian history, driving E-overproduction stress among educated youth. (2) Immigration overshoot without integration capacity — record immigration at 500,000+/year without corresponding housing, infrastructure, or labour market absorption. (3) US economic dependency — 75% of exports to the US; the tariff and trade instability of the 2025-26 US period creates existential fiscal risk without diversification.</w:t>
            </w:r>
          </w:p>
        </w:tc>
      </w:tr>
    </w:tbl>
    <w:p>
      <w:pPr>
        <w:shd w:fill="FFF3E0" w:val="clear"/>
        <w:spacing w:after="80" w:before="80"/>
        <w:ind w:left="180"/>
      </w:pPr>
      <w:r>
        <w:rPr>
          <w:rFonts w:ascii="Arial" w:cs="Arial" w:eastAsia="Arial" w:hAnsi="Arial"/>
          <w:b/>
          <w:bCs/>
          <w:i w:val="false"/>
          <w:iCs w:val="false"/>
          <w:color w:val="7D4E00"/>
          <w:sz w:val="18"/>
          <w:szCs w:val="18"/>
        </w:rPr>
        <w:t xml:space="preserve">Housing correction &gt;30% in major cities: </w:t>
      </w:r>
      <w:r>
        <w:rPr>
          <w:rFonts w:ascii="Arial" w:cs="Arial" w:eastAsia="Arial" w:hAnsi="Arial"/>
          <w:b w:val="false"/>
          <w:bCs w:val="false"/>
          <w:i w:val="false"/>
          <w:iCs w:val="false"/>
          <w:color w:val="000000"/>
          <w:sz w:val="18"/>
          <w:szCs w:val="18"/>
        </w:rPr>
        <w:t xml:space="preserve">P=0.45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Canada-US trade crisis before 2028: </w:t>
      </w:r>
      <w:r>
        <w:rPr>
          <w:rFonts w:ascii="Arial" w:cs="Arial" w:eastAsia="Arial" w:hAnsi="Arial"/>
          <w:b w:val="false"/>
          <w:bCs w:val="false"/>
          <w:i w:val="false"/>
          <w:iCs w:val="false"/>
          <w:color w:val="000000"/>
          <w:sz w:val="18"/>
          <w:szCs w:val="18"/>
        </w:rPr>
        <w:t xml:space="preserve">P=0.40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Social cohesion fracture from immigration strain: </w:t>
      </w:r>
      <w:r>
        <w:rPr>
          <w:rFonts w:ascii="Arial" w:cs="Arial" w:eastAsia="Arial" w:hAnsi="Arial"/>
          <w:b w:val="false"/>
          <w:bCs w:val="false"/>
          <w:i w:val="false"/>
          <w:iCs w:val="false"/>
          <w:color w:val="000000"/>
          <w:sz w:val="18"/>
          <w:szCs w:val="18"/>
        </w:rPr>
        <w:t xml:space="preserve">P=0.30</w:t>
      </w:r>
    </w:p>
    <w:p>
      <w:pPr>
        <w:spacing w:after="40" w:before="120"/>
      </w:pPr>
      <w:r>
        <w:rPr>
          <w:rFonts w:ascii="Arial" w:cs="Arial" w:eastAsia="Arial" w:hAnsi="Arial"/>
          <w:b/>
          <w:bCs/>
          <w:i w:val="false"/>
          <w:iCs w:val="false"/>
          <w:color w:val="1B5E20"/>
          <w:sz w:val="18"/>
          <w:szCs w:val="18"/>
        </w:rPr>
        <w:t xml:space="preserve">WHAT LEADERS MUST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LAND VALUE TAX: Replace property speculation with land value taxation — taxes the land, not the building, eliminating the speculative premium. This is the single structural intervention that deflates housing bubbles without punishing homeowners for improving their properties.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IMMIGRATION CALIBRATION: Match immigration intake to infrastructure capacity (housing units under construction) not to labour demand abstractions. Quality of settlement over quantity of arrivals.</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EXPORT DIVERSIFICATION: Five-year plan to reduce US export dependency from 75% to 60% by building Pacific trade routes to ASEAN and India. Canada's commodity base (energy, critical minerals, agriculture) has willing buyers in Asia.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Land value tax has never survived a political campaign in Canada. Property-owning voting bloc is the dominant political coalition. Requires leader willing to lose once to fix a generational problem.</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Housing correction reduces household net worth for existing homeowners. Short-term consumer spending decline. Necessary for long-term affordability.</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2–5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Immigration reduction is politically read as anti-diversity in Canadian identity politics, even when the actual cause of harm is integration failure, not immigration per se.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Ongoing</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Housing affordability once lost takes 15–20 years to restore even with optimal policy. The later the intervention, the longer the correction.</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10–20 year correction</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II — EUROPE</w:t>
      </w:r>
    </w:p>
    <w:p>
      <w:pPr>
        <w:spacing w:after="20" w:before="300"/>
      </w:pPr>
      <w:r>
        <w:rPr>
          <w:rFonts w:ascii="Arial" w:cs="Arial" w:eastAsia="Arial" w:hAnsi="Arial"/>
          <w:b/>
          <w:bCs/>
          <w:i w:val="false"/>
          <w:iCs w:val="false"/>
          <w:color w:val="1B3A6B"/>
          <w:sz w:val="26"/>
          <w:szCs w:val="26"/>
        </w:rPr>
        <w:t xml:space="preserve">EUROPEAN UNION (SYSTEMIC)</w:t>
      </w:r>
      <w:r>
        <w:rPr>
          <w:rFonts w:ascii="Arial" w:cs="Arial" w:eastAsia="Arial" w:hAnsi="Arial"/>
          <w:b w:val="false"/>
          <w:bCs w:val="false"/>
          <w:i/>
          <w:iCs/>
          <w:color w:val="4A4A4A"/>
          <w:sz w:val="20"/>
          <w:szCs w:val="20"/>
        </w:rPr>
        <w:t xml:space="preserve">  ·  Europe</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A↓0.42  K→0.68  I→0.52  L↓0.42  Ω→0.45  E↑0.52  ξ↓0.40  |  Φ≈0.44  |  CRITICAL: Internal legitimacy fracture; democratic backsliding within</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Three simultaneous systemic failures: (1) Democratic backsliding within the EU itself — Hungary and Slovakia are member states whose governments openly defy EU rule-of-law requirements; the EU has no mechanism to expel them, only fine them, and the fines are treated as acceptable business costs of autocracy. (2) Far-right ascendancy across France, Germany, Italy, Netherlands — parties on 20–35% are capturing governing positions through plurality systems, creating legitimacy deficits for mainstream parties that cannot deliver on the material expectations of their electorates. (3) Strategic dependency overhang — post-Russia energy dependence resolved at high economic cost; defence industrial base 30 years underfunded; digital sovereignty essentially zero (hyperscale cloud, AI models, social media platforms all US or Chinese entities).</w:t>
            </w:r>
          </w:p>
        </w:tc>
      </w:tr>
    </w:tbl>
    <w:p>
      <w:pPr>
        <w:shd w:fill="FFF3E0" w:val="clear"/>
        <w:spacing w:after="80" w:before="80"/>
        <w:ind w:left="180"/>
      </w:pPr>
      <w:r>
        <w:rPr>
          <w:rFonts w:ascii="Arial" w:cs="Arial" w:eastAsia="Arial" w:hAnsi="Arial"/>
          <w:b/>
          <w:bCs/>
          <w:i w:val="false"/>
          <w:iCs w:val="false"/>
          <w:color w:val="7D4E00"/>
          <w:sz w:val="18"/>
          <w:szCs w:val="18"/>
        </w:rPr>
        <w:t xml:space="preserve">Eurozone sovereign debt crisis (Italy trigger) before 2032: </w:t>
      </w:r>
      <w:r>
        <w:rPr>
          <w:rFonts w:ascii="Arial" w:cs="Arial" w:eastAsia="Arial" w:hAnsi="Arial"/>
          <w:b w:val="false"/>
          <w:bCs w:val="false"/>
          <w:i w:val="false"/>
          <w:iCs w:val="false"/>
          <w:color w:val="000000"/>
          <w:sz w:val="18"/>
          <w:szCs w:val="18"/>
        </w:rPr>
        <w:t xml:space="preserve">P=0.25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Far-right governing coalition in France or Germany within 10 years: </w:t>
      </w:r>
      <w:r>
        <w:rPr>
          <w:rFonts w:ascii="Arial" w:cs="Arial" w:eastAsia="Arial" w:hAnsi="Arial"/>
          <w:b w:val="false"/>
          <w:bCs w:val="false"/>
          <w:i w:val="false"/>
          <w:iCs w:val="false"/>
          <w:color w:val="000000"/>
          <w:sz w:val="18"/>
          <w:szCs w:val="18"/>
        </w:rPr>
        <w:t xml:space="preserve">P=0.45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EU achieving AI/semiconductor strategic autonomy within 15 years: </w:t>
      </w:r>
      <w:r>
        <w:rPr>
          <w:rFonts w:ascii="Arial" w:cs="Arial" w:eastAsia="Arial" w:hAnsi="Arial"/>
          <w:b w:val="false"/>
          <w:bCs w:val="false"/>
          <w:i w:val="false"/>
          <w:iCs w:val="false"/>
          <w:color w:val="000000"/>
          <w:sz w:val="18"/>
          <w:szCs w:val="18"/>
        </w:rPr>
        <w:t xml:space="preserve">P=0.30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EU fiscal union achieved within 10 years: </w:t>
      </w:r>
      <w:r>
        <w:rPr>
          <w:rFonts w:ascii="Arial" w:cs="Arial" w:eastAsia="Arial" w:hAnsi="Arial"/>
          <w:b w:val="false"/>
          <w:bCs w:val="false"/>
          <w:i w:val="false"/>
          <w:iCs w:val="false"/>
          <w:color w:val="000000"/>
          <w:sz w:val="18"/>
          <w:szCs w:val="18"/>
        </w:rPr>
        <w:t xml:space="preserve">P=0.20</w:t>
      </w:r>
    </w:p>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FA_RAG: Tocqueville (WORLD_GREATBOOKS) warned that majority tyranny is democracy's primary failure mode. Europe is exhibiting its inverse: minority parties (25–35%) capturing power through plurality systems, then using that power to constrain future majorities. The EU's legitimacy rests on a democratic deficit it has never fully resolved — Brussels makes decisions that affect 450M people without adequate democratic accountability at the European level.</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ACADEMIC_RAG (BIS Annual Report 2025): ECB balance sheet normalisation incomplete; sovereign spreads between Germany and Italy diverging. Italy debt/GDP at 137%. Draghi Report: EU needs €800B/year additional investment to maintain competitiveness with US and China. Current EU budget: €200B/year. The gap is structural, not cyclical.</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CNA_RAG documents Southeast Asian observations of EU internal contradictions: the same EU that demands democratic standards from trade partners tolerates Orbán's Hungary internally. This hypocrisy is noted and weaponised by China in Global South diplomatic contexts.</w:t>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'The EU has repeatedly been declared dead and consistently survived.' True. But survival is not trajectory improvement. An EU that survives while its internal asabiyyah (A), legitimacy (L), and strategic autonomy (ξ) all decline is not succeeding — it is managed decline.</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IF UNSOLVED BY 2030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Italy sovereign debt crisis triggers ECB intervention beyond current legal authority — constitutional challenge in German courts, eurozone existential crisis. Simultaneously, a far-right governing coalition in France or Germany produces EU institutional paralysis, Ukraine support weakens, Russia stabilises gains. The US decouples from NATO commitments under domestic political pressure, leaving European defence dependent on an EU that has not yet built the industrial capacity to replace it.</w:t>
            </w:r>
          </w:p>
        </w:tc>
      </w:tr>
    </w:tbl>
    <w:p>
      <w:pPr>
        <w:spacing w:after="40" w:before="120"/>
      </w:pPr>
      <w:r>
        <w:rPr>
          <w:rFonts w:ascii="Arial" w:cs="Arial" w:eastAsia="Arial" w:hAnsi="Arial"/>
          <w:b/>
          <w:bCs/>
          <w:i w:val="false"/>
          <w:iCs w:val="false"/>
          <w:color w:val="1B5E20"/>
          <w:sz w:val="18"/>
          <w:szCs w:val="18"/>
        </w:rPr>
        <w:t xml:space="preserve">WHAT LEADERS MUST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EU FISCAL UNION: Transfer minimum fiscal authority to Brussels — binding minimum corporate tax rate (already partially achieved), minimum social protection standards, automatic fiscal stabilisers. Without this, monetary union without fiscal union remains structurally unstable under stress.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DEFENCE INDUSTRIAL BASE: Implement Draghi Report core recommendation — EU-wide defence procurement, joint R&amp;D, shared industrial base. Requires new EU fiscal instrument (Eurobonds). €400–500B annually. This is the price of strategic autonomy.</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RULE-OF-LAW ENFORCEMENT WITH TEETH: Automatic suspension of voting rights and structural funds for rule-of-law violations, without requiring unanimous Council vote. The unanimous veto currently allows Hungary to hold EU action hostage.</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IMMIGRATION INTEGRATION ARCHITECTURE: Nordic integration model — mandatory language immersion, labour market participation requirements, 10-year path to citizenship. Current model (accept → fail to integrate → scapegoat → fuel far-right) is self-defeating at civilisational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Fiscal union requires Germany and Netherlands to accept fiscal transfers to Italy and Greece. Impossible in current German political culture without a crisis forcing the decision (classic EU pattern — but Φ declines during the crisis).</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€400–500B/year defence + investment commitment requires new EU debt instrument and/or tax increases. Germany's constitutional Schuldenbremse must be reformed — requires 2/3 Bundestag majority.</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5–10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Immigration integration at scale requires welfare state investment and cultural adaptation programming. Domestic political resistance is currently the primary driver of far-right growth — the cure must not accelerate the disease.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10–20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If Italian debt crisis is allowed to cascade, the eurozone fragmentation it would produce cannot be easily reversed. The cost of ex-post bailout vastly exceeds ex-ante fiscal union cost.</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Permanent</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RUSSIA</w:t>
      </w:r>
      <w:r>
        <w:rPr>
          <w:rFonts w:ascii="Arial" w:cs="Arial" w:eastAsia="Arial" w:hAnsi="Arial"/>
          <w:b w:val="false"/>
          <w:bCs w:val="false"/>
          <w:i/>
          <w:iCs/>
          <w:color w:val="4A4A4A"/>
          <w:sz w:val="20"/>
          <w:szCs w:val="20"/>
        </w:rPr>
        <w:t xml:space="preserve">  ·  Europe / Eurasia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A↓0.36  K↓0.42  I↓0.38  L↓0.32  Ω↑0.82  E→0.48  ξ↓0.22  |  Φ≈0.22  |  CRITICAL: Below I_min; nuclear-armed state in managed decline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Imperial overextension meets demographic collapse meets educated-class emigration. MILITARY_RAG (SIPRI) documents Russia's defence spending at 7% of GDP — war-economy levels incompatible with civilian investment. 500,000–1,000,000 casualties in Ukraine (dead + wounded). The emigration of 500,000+ educated Russians in 2022 represents the permanent loss of the human capital layer that builds institutions, technology firms, and civil society. The nuclear arsenal — 6,000+ warheads — makes this the highest-Ω governance-declining state in the world.</w:t>
            </w:r>
          </w:p>
        </w:tc>
      </w:tr>
    </w:tbl>
    <w:p>
      <w:pPr>
        <w:shd w:fill="FFF3E0" w:val="clear"/>
        <w:spacing w:after="80" w:before="80"/>
        <w:ind w:left="180"/>
      </w:pPr>
      <w:r>
        <w:rPr>
          <w:rFonts w:ascii="Arial" w:cs="Arial" w:eastAsia="Arial" w:hAnsi="Arial"/>
          <w:b/>
          <w:bCs/>
          <w:i w:val="false"/>
          <w:iCs w:val="false"/>
          <w:color w:val="7D4E00"/>
          <w:sz w:val="18"/>
          <w:szCs w:val="18"/>
        </w:rPr>
        <w:t xml:space="preserve">Russia achieving declared war aims in Ukraine: </w:t>
      </w:r>
      <w:r>
        <w:rPr>
          <w:rFonts w:ascii="Arial" w:cs="Arial" w:eastAsia="Arial" w:hAnsi="Arial"/>
          <w:b w:val="false"/>
          <w:bCs w:val="false"/>
          <w:i w:val="false"/>
          <w:iCs w:val="false"/>
          <w:color w:val="000000"/>
          <w:sz w:val="18"/>
          <w:szCs w:val="18"/>
        </w:rPr>
        <w:t xml:space="preserve">P=0.18</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Frozen conflict within 5 years: </w:t>
      </w:r>
      <w:r>
        <w:rPr>
          <w:rFonts w:ascii="Arial" w:cs="Arial" w:eastAsia="Arial" w:hAnsi="Arial"/>
          <w:b w:val="false"/>
          <w:bCs w:val="false"/>
          <w:i w:val="false"/>
          <w:iCs w:val="false"/>
          <w:color w:val="000000"/>
          <w:sz w:val="18"/>
          <w:szCs w:val="18"/>
        </w:rPr>
        <w:t xml:space="preserve">P=0.42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Putin succession instability within 10 years: </w:t>
      </w:r>
      <w:r>
        <w:rPr>
          <w:rFonts w:ascii="Arial" w:cs="Arial" w:eastAsia="Arial" w:hAnsi="Arial"/>
          <w:b w:val="false"/>
          <w:bCs w:val="false"/>
          <w:i w:val="false"/>
          <w:iCs w:val="false"/>
          <w:color w:val="000000"/>
          <w:sz w:val="18"/>
          <w:szCs w:val="18"/>
        </w:rPr>
        <w:t xml:space="preserve">P=0.55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Nuclear weapons use in Ukraine conflict: </w:t>
      </w:r>
      <w:r>
        <w:rPr>
          <w:rFonts w:ascii="Arial" w:cs="Arial" w:eastAsia="Arial" w:hAnsi="Arial"/>
          <w:b w:val="false"/>
          <w:bCs w:val="false"/>
          <w:i w:val="false"/>
          <w:iCs w:val="false"/>
          <w:color w:val="000000"/>
          <w:sz w:val="18"/>
          <w:szCs w:val="18"/>
        </w:rPr>
        <w:t xml:space="preserve">P=0.08</w:t>
      </w:r>
    </w:p>
    <w:p>
      <w:pPr>
        <w:pBdr>
          <w:bottom w:val="single" w:color="1B3A6B" w:sz="8"/>
        </w:pBdr>
        <w:spacing w:after="40" w:before="240"/>
      </w:pPr>
      <w:r>
        <w:rPr>
          <w:rFonts w:ascii="Arial" w:cs="Arial" w:eastAsia="Arial" w:hAnsi="Arial"/>
          <w:b/>
          <w:bCs/>
          <w:i w:val="false"/>
          <w:iCs w:val="false"/>
          <w:color w:val="1B3A6B"/>
          <w:sz w:val="28"/>
          <w:szCs w:val="28"/>
        </w:rPr>
        <w:t xml:space="preserve">IF UNSOLVED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critical scenario is not Russian collapse — it is Russian desperation. A nuclear-armed state facing internal legitimacy crisis and military stalemate has historically reached for escalation as a legitimacy substitute. This is the maximum-Ω scenario in the global risk catalogue. A Russia that survives the Ukraine war with a 7%-GDP war-economy, depleted military, educated-class emigration, and international isolation is not stable — it is a slow-motion civilisational collapse with nuclear weapons.</w:t>
            </w:r>
          </w:p>
        </w:tc>
      </w:tr>
    </w:tbl>
    <w:p>
      <w:pPr>
        <w:spacing w:after="40" w:before="120"/>
      </w:pPr>
      <w:r>
        <w:rPr>
          <w:rFonts w:ascii="Arial" w:cs="Arial" w:eastAsia="Arial" w:hAnsi="Arial"/>
          <w:b/>
          <w:bCs/>
          <w:i w:val="false"/>
          <w:iCs w:val="false"/>
          <w:color w:val="1B5E20"/>
          <w:sz w:val="18"/>
          <w:szCs w:val="18"/>
        </w:rPr>
        <w:t xml:space="preserve">WHAT LEADERS MUST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CEASEFIRE FRAMEWORK: Third-party mediation (China + Global South) to negotiate a ceasefire that neither side calls defeat. The resolution requires Ukraine accepting that not all territory is recoverable in the short term while Russia accepts that its war aims are not achievable. Cost: Ukraine's sovereignty aspiration is compromised. Benefit: nuclear escalation risk removed from the denominator.</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CONDITIONAL ECONOMIC RELIEF: Partial sanctions relief for civilian goods (food, medicine, agricultural inputs) reduces the regime's ability to weaponise domestic economic suffering as a legitimacy tool. Does not end sanctions; changes their composition.</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THE HONEST PRESCRIPTION: Putin cannot implement the reforms that would fix the system because those reforms require dismantling the security-state architecture that keeps him in power. This problem is resolved through succession, not through policy advice. External actors should prepare for the succession transition, not assume regime continuity.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 (Ukraine)</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Ceasefire accepting de facto Russian control of occupied territory is politically unacceptable to Ukrainian public opinion and government. Requires that 'justice deferred' framing — Crimea returned in 2030s through economic pressure rather than military reconquest.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 (West)</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Conditional sanctions relief is read domestically as 'rewarding aggression.' Political cost in US, UK, Poland, Baltic states.</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Strategic</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Any frozen-conflict outcome that leaves Russia in possession of occupied territory creates a precedent for territorial acquisition by force — the foundational norm the international order rests 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Permanent precedent</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Nuclear Risk</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Delaying resolution increases the probability of a desperation escalation event. The cost of inaction on nuclear risk is asymmetric and catastrophic.</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EXISTENTIAL</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Rising monthly</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III — EAST ASIA</w:t>
      </w:r>
    </w:p>
    <w:p>
      <w:pPr>
        <w:spacing w:after="20" w:before="300"/>
      </w:pPr>
      <w:r>
        <w:rPr>
          <w:rFonts w:ascii="Arial" w:cs="Arial" w:eastAsia="Arial" w:hAnsi="Arial"/>
          <w:b/>
          <w:bCs/>
          <w:i w:val="false"/>
          <w:iCs w:val="false"/>
          <w:color w:val="1B3A6B"/>
          <w:sz w:val="26"/>
          <w:szCs w:val="26"/>
        </w:rPr>
        <w:t xml:space="preserve">CHINA</w:t>
      </w:r>
      <w:r>
        <w:rPr>
          <w:rFonts w:ascii="Arial" w:cs="Arial" w:eastAsia="Arial" w:hAnsi="Arial"/>
          <w:b w:val="false"/>
          <w:bCs w:val="false"/>
          <w:i/>
          <w:iCs/>
          <w:color w:val="4A4A4A"/>
          <w:sz w:val="20"/>
          <w:szCs w:val="20"/>
        </w:rPr>
        <w:t xml:space="preserve">  ·  East 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A↓0.42  K→0.65  I↓0.38  L↓0.34  Ω↑0.75  E↑0.72  ξ↓0.20  |  Φ≈0.26  |  CRITICAL: L below L_crit; I approaching I_min; E at historic high</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Triple legitimacy crisis converging: (1) Property sector collapse — Evergrande, Country Garden, and 300+ additional developers in default, destroying the primary wealth store of the Chinese middle class; property represents 60–70% of household net worth for urban families. (2) Youth unemployment at 21.3% before the statistic was suppressed by the National Bureau of Statistics in August 2023 — the suppression itself is the most important signal: the regime knows the number is politically intolerable. (3) The foundational social contract since 1978 — 'political acquiescence in exchange for economic advancement' — is broken. GDP growth at 4.7% (2024) is below the 5.5% social-stability threshold identified by internal CCP planning documents. No alternative legitimacy narrative exists.</w:t>
            </w:r>
          </w:p>
        </w:tc>
      </w:tr>
    </w:tbl>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CHINESE_GREATBOOKS_RAG (Confucian Four Books, Mencius): The Confucian Mandate of Heaven is lost when governance produces visible suffering among the population. Mencius: 'The people are the most important element in a nation; the spirits of the land and grain come next; the sovereign counts for the least.' Xi's governance model inverts this — the party counts for most, the people for the least. The Mandate logic is functioning exactly as the classical framework predicts.</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CHINA_ECON_RAG (795 chunks): Property sector = 25–30% of GDP; local government debt = 50% of GDP officially, 90%+ including hidden Local Government Financing Vehicles. GDP growth 4.7% (2024). The IMF China Article IV 2024 documents structural slowdown, not cyclical. NIKKEI_RAG coverage of China (341k chunks) shows elevated reporting on 'bainian guoyun' (hundred-year national destiny) rhetoric — the historical signal of regime legitimacy stress.</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CNA_RAG (Singapore daily press 2013–2026): The 躺平 (lying flat), 摆烂 (let it rot), and 孔乙己文学 (Kong Yiji literature — overeducated, unemployable youth identifying with a Qing dynasty failed scholar) movements are documented in granular detail. These are the Turchin S6 markers exactly: aspirant elites withdrawing from the social compact because the compact has failed them. This is the most dangerous phase in Turchin's model — withdrawal precedes revolt.</w:t>
      </w:r>
    </w:p>
    <w:p>
      <w:pPr>
        <w:spacing w:after="40" w:before="60"/>
        <w:ind w:left="360"/>
      </w:pPr>
      <w:r>
        <w:rPr>
          <w:rFonts w:ascii="Arial" w:cs="Arial" w:eastAsia="Arial" w:hAnsi="Arial"/>
          <w:b/>
          <w:bCs/>
          <w:i w:val="false"/>
          <w:iCs w:val="false"/>
          <w:color w:val="1B3A6B"/>
          <w:sz w:val="18"/>
          <w:szCs w:val="18"/>
        </w:rPr>
        <w:t xml:space="preserve">SUPERFORECASTING  </w:t>
      </w:r>
      <w:r>
        <w:rPr>
          <w:rFonts w:ascii="Arial" w:cs="Arial" w:eastAsia="Arial" w:hAnsi="Arial"/>
          <w:b w:val="false"/>
          <w:bCs w:val="false"/>
          <w:i/>
          <w:iCs/>
          <w:color w:val="000000"/>
          <w:sz w:val="18"/>
          <w:szCs w:val="18"/>
        </w:rPr>
        <w:t xml:space="preserve">See probability strip below.</w:t>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'The CCP has demonstrated extraordinary adaptive capacity — it survived 1989, SARS, 2008, COVID. Western predictions of Chinese collapse have always been wrong.' This is true and important. The CCP's adaptive capacity is real. But each prior survival was premised on the growth covenant being maintained or restored. The current crisis is the first where the growth covenant itself — not a temporary shock — is structurally broken. The mechanism that enabled prior adaptations is the thing that is now failing.</w:t>
      </w:r>
    </w:p>
    <w:p>
      <w:pPr>
        <w:shd w:fill="FFF3E0" w:val="clear"/>
        <w:spacing w:after="80" w:before="80"/>
        <w:ind w:left="180"/>
      </w:pPr>
      <w:r>
        <w:rPr>
          <w:rFonts w:ascii="Arial" w:cs="Arial" w:eastAsia="Arial" w:hAnsi="Arial"/>
          <w:b/>
          <w:bCs/>
          <w:i w:val="false"/>
          <w:iCs w:val="false"/>
          <w:color w:val="7D4E00"/>
          <w:sz w:val="18"/>
          <w:szCs w:val="18"/>
        </w:rPr>
        <w:t xml:space="preserve">Property sector resolution without political crisis 2024–2030: </w:t>
      </w:r>
      <w:r>
        <w:rPr>
          <w:rFonts w:ascii="Arial" w:cs="Arial" w:eastAsia="Arial" w:hAnsi="Arial"/>
          <w:b w:val="false"/>
          <w:bCs w:val="false"/>
          <w:i w:val="false"/>
          <w:iCs w:val="false"/>
          <w:color w:val="000000"/>
          <w:sz w:val="18"/>
          <w:szCs w:val="18"/>
        </w:rPr>
        <w:t xml:space="preserve">P=0.20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Taiwan military action before 2030: </w:t>
      </w:r>
      <w:r>
        <w:rPr>
          <w:rFonts w:ascii="Arial" w:cs="Arial" w:eastAsia="Arial" w:hAnsi="Arial"/>
          <w:b w:val="false"/>
          <w:bCs w:val="false"/>
          <w:i w:val="false"/>
          <w:iCs w:val="false"/>
          <w:color w:val="000000"/>
          <w:sz w:val="18"/>
          <w:szCs w:val="18"/>
        </w:rPr>
        <w:t xml:space="preserve">P=0.18</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CCP governance survival through 2035: </w:t>
      </w:r>
      <w:r>
        <w:rPr>
          <w:rFonts w:ascii="Arial" w:cs="Arial" w:eastAsia="Arial" w:hAnsi="Arial"/>
          <w:b w:val="false"/>
          <w:bCs w:val="false"/>
          <w:i w:val="false"/>
          <w:iCs w:val="false"/>
          <w:color w:val="000000"/>
          <w:sz w:val="18"/>
          <w:szCs w:val="18"/>
        </w:rPr>
        <w:t xml:space="preserve">P=0.72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China achieving GDP growth &gt;5% through 2030: </w:t>
      </w:r>
      <w:r>
        <w:rPr>
          <w:rFonts w:ascii="Arial" w:cs="Arial" w:eastAsia="Arial" w:hAnsi="Arial"/>
          <w:b w:val="false"/>
          <w:bCs w:val="false"/>
          <w:i w:val="false"/>
          <w:iCs w:val="false"/>
          <w:color w:val="000000"/>
          <w:sz w:val="18"/>
          <w:szCs w:val="18"/>
        </w:rPr>
        <w:t xml:space="preserve">P=0.30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Youth unemployment resolved below 12% by 2028: </w:t>
      </w:r>
      <w:r>
        <w:rPr>
          <w:rFonts w:ascii="Arial" w:cs="Arial" w:eastAsia="Arial" w:hAnsi="Arial"/>
          <w:b w:val="false"/>
          <w:bCs w:val="false"/>
          <w:i w:val="false"/>
          <w:iCs w:val="false"/>
          <w:color w:val="000000"/>
          <w:sz w:val="18"/>
          <w:szCs w:val="18"/>
        </w:rPr>
        <w:t xml:space="preserve">P=0.25</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IF UNSOLVED BY 2030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B_betrayal term in Seldon Equation S4 accumulates past the recovery threshold. Three available paths for the CCP: (A) Escalate nationalist narrative — Taiwan or South China Sea — as legitimacy substitute. This is the highest-Ω path and the historically documented response of regimes facing domestic legitimacy failure. (B) Internal political scapegoating — another anti-corruption campaign targeting visible elites. Buys 2–4 years but does not solve the structural problem. (C) Genuine reform opening — allowing market-driven property correction, independent media, political liberalisation. The party structure cannot allow this without losing control. The corpus assessment: path B cycling into A is the most probable trajectory, increasing Ω significantly by 2030.</w:t>
            </w:r>
          </w:p>
        </w:tc>
      </w:tr>
    </w:tbl>
    <w:p>
      <w:pPr>
        <w:spacing w:after="40" w:before="120"/>
      </w:pPr>
      <w:r>
        <w:rPr>
          <w:rFonts w:ascii="Arial" w:cs="Arial" w:eastAsia="Arial" w:hAnsi="Arial"/>
          <w:b/>
          <w:bCs/>
          <w:i w:val="false"/>
          <w:iCs w:val="false"/>
          <w:color w:val="1B5E20"/>
          <w:sz w:val="18"/>
          <w:szCs w:val="18"/>
        </w:rPr>
        <w:t xml:space="preserve">WHAT LEADERS MUST 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PROPERTY MARKET CLEARING: Allow 200–300 major developers to fail through managed bankruptcy. Compensate pre-sold housing buyers from central government funds (~$140B USD, $1T RMB). This ends the zombie-developer limbo that prevents price discovery and investment recovery. The political cost is admitting policy failure. The alternative is a longer, more damaging stagnation.</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SOCIAL SAFETY NET EXPANSION: Universal basic pension for rural elderly (currently near-zero). National unemployment insurance covering informal sector workers. Cost: 3–4% of GDP annually — affordable given China's 45% savings rate; requires fiscal rebalancing from infrastructure to social protection.</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INFORMATION CHANNEL REOPENING: Allow local press to report on government policy failures without central censorship. This is the single highest-value structural fix and the single most politically dangerous one for the CCP. A governance system that cannot hear inconvenient truths cannot correct.</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TAIWAN FRAMEWORK NEGOTIATION: A credible 'status quo preserved for 50 years' signal reduces military escalation risk — reducing Ω — without conceding sovereignty claims. The 1992 Consensus framework, updated for 2026 realities, is the starting point.</w:t>
            </w:r>
          </w:p>
          <w:p>
            <w:pPr>
              <w:spacing w:after="60" w:before="60"/>
              <w:ind w:left="360" w:hanging="240"/>
            </w:pPr>
            <w:r>
              <w:rPr>
                <w:rFonts w:ascii="Arial" w:cs="Arial" w:eastAsia="Arial" w:hAnsi="Arial"/>
                <w:b/>
                <w:bCs/>
                <w:i w:val="false"/>
                <w:iCs w:val="false"/>
                <w:color w:val="1B3A6B"/>
                <w:sz w:val="20"/>
                <w:szCs w:val="20"/>
              </w:rPr>
              <w:t xml:space="preserve">5. </w:t>
            </w:r>
            <w:r>
              <w:rPr>
                <w:rFonts w:ascii="Arial" w:cs="Arial" w:eastAsia="Arial" w:hAnsi="Arial"/>
                <w:b w:val="false"/>
                <w:bCs w:val="false"/>
                <w:i w:val="false"/>
                <w:iCs w:val="false"/>
                <w:color w:val="000000"/>
                <w:sz w:val="20"/>
                <w:szCs w:val="20"/>
              </w:rPr>
              <w:t xml:space="preserve">E-OVERPRODUCTION MANAGEMENT: Cut university enrollment by 30% in non-STEM fields; massively expand vocational training on the German dual-apprenticeship model; redirect fiscal stimulus toward job-intensive manufacturing sectors. Match the output of the education system to what the economy can absorb.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Property clearing requires publicly admitting policy failure + middle-class wealth destruction + local government insolvency. This is the hardest political cost in Chinese politics since 1989. The regime's legitimacy model has no apparatus for honest policy failure acknowledgment.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EXTREME</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3–5 years of below-4% GDP growth during adjustment. Social stability floor requires expanded fiscal support during this period — deficit spending at 6–8% of GDP to manage the transition.</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2025–2030</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 generation of overqualified youth must accept structurally downgraded career expectations. The 孔乙己 cultural movement signals that this generation is already aware of this — the political management of their anger is the challenge.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5–15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Delayed action means the B_betrayal term accumulates past the threshold where the social contract can be renegotiated. Historical precedent from Turchin's database: once the aspirant-elite withdrawal reaches mass scale, it requires either major reform or forced suppression to resolve.</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Threshold approaching 2027–2029</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JAPAN</w:t>
      </w:r>
      <w:r>
        <w:rPr>
          <w:rFonts w:ascii="Arial" w:cs="Arial" w:eastAsia="Arial" w:hAnsi="Arial"/>
          <w:b w:val="false"/>
          <w:bCs w:val="false"/>
          <w:i/>
          <w:iCs/>
          <w:color w:val="4A4A4A"/>
          <w:sz w:val="20"/>
          <w:szCs w:val="20"/>
        </w:rPr>
        <w:t xml:space="preserve">  ·  East 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A→0.58  K→0.72  I→0.62  L↓0.44  Ω→0.45  E↑0.48  ξ↓0.38  |  Φ≈0.46  |  WATCH: Demographic winter; debt trap; asabiyyah brittleness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Three compounding crises at different time horizons: (1) TFR 1.2 — demographic collapse at civilisational time scale. Japan's population fell below 125M in 2023 and is declining 350,000 per year. (2) Debt/GDP at 260% — the highest of any G20 economy, providing zero fiscal flexibility to respond to shocks. BOJ holds 53% of outstanding government bonds — fiscal monetisation in everything but name. (3) BOJ normalisation shock — after three decades of zero/negative interest rates, rate hikes in 2024-26 are unwinding the yen carry trade that funded global risk appetite; JAPAN_RAG BOJ minutes document a central bank operating under enormous internal and external pressure to move cautiously on normalisation that is structurally necessary.</w:t>
            </w:r>
          </w:p>
        </w:tc>
      </w:tr>
    </w:tbl>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WORLD_GREATBOOKS_RAG (Spengler analogy via Western philosophy — Nietzsche on civilisational decline): Civilisational decline manifests first in demographic refusal — the population ceases to reproduce. Japan is the leading-edge case of this pattern for developed democracies. What follows in South Korea, China (post-demographic dividend), Southern Europe, and eventually India is prefigured in Japan's trajectory.</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NIKKEI_RAG (341,976 chunks 2014–2026): 'Herbivore men' (草食系男子), women opting out of marriage, hikikomori — these are documented as structural cultural features, not individual pathologies. They reflect rational economic calculation: the covenant (work hard → stable middle-class life → family) no longer delivers at the income levels the 'lost generation' of 1990–2010 experienced. The Abe assassination (2022) — a former Prime Minister killed by a grievance born of religious-commercial political entanglement — revealed that asabiyyah brittleness the public had been entirely unaware of.</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JAPAN_RAG (BOJ Minutes 2022–2026): Working-age population declining 350,000/year. Social security spending rising 3–4% annually. Tax revenue structurally insufficient to fund the combination of debt service + social security without BOJ monetisation.</w:t>
      </w:r>
    </w:p>
    <w:p>
      <w:pPr>
        <w:spacing w:after="40" w:before="60"/>
        <w:ind w:left="360"/>
      </w:pPr>
      <w:r>
        <w:rPr>
          <w:rFonts w:ascii="Arial" w:cs="Arial" w:eastAsia="Arial" w:hAnsi="Arial"/>
          <w:b/>
          <w:bCs/>
          <w:i w:val="false"/>
          <w:iCs w:val="false"/>
          <w:color w:val="1B3A6B"/>
          <w:sz w:val="18"/>
          <w:szCs w:val="18"/>
        </w:rPr>
        <w:t xml:space="preserve">SUPERFORECASTING  </w:t>
      </w:r>
      <w:r>
        <w:rPr>
          <w:rFonts w:ascii="Arial" w:cs="Arial" w:eastAsia="Arial" w:hAnsi="Arial"/>
          <w:b w:val="false"/>
          <w:bCs w:val="false"/>
          <w:i/>
          <w:iCs/>
          <w:color w:val="000000"/>
          <w:sz w:val="18"/>
          <w:szCs w:val="18"/>
        </w:rPr>
        <w:t xml:space="preserve"/>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'Japan has had 30 years of managed decline and remains one of the highest Human Development Index countries in the world. Perhaps demographic decline is a transition, not a crisis.' Engagement: This is empirically coherent for the current generation. It fails at the pension math inflection point (2035–2045) when the dependency ratio becomes fiscally unmanageable without either immigration or a productivity miracle that the corpus does not show evidence for.</w:t>
      </w:r>
    </w:p>
    <w:p>
      <w:pPr>
        <w:shd w:fill="FFF3E0" w:val="clear"/>
        <w:spacing w:after="80" w:before="80"/>
        <w:ind w:left="180"/>
      </w:pPr>
      <w:r>
        <w:rPr>
          <w:rFonts w:ascii="Arial" w:cs="Arial" w:eastAsia="Arial" w:hAnsi="Arial"/>
          <w:b/>
          <w:bCs/>
          <w:i w:val="false"/>
          <w:iCs w:val="false"/>
          <w:color w:val="7D4E00"/>
          <w:sz w:val="18"/>
          <w:szCs w:val="18"/>
        </w:rPr>
        <w:t xml:space="preserve">Japan population below 100M by 2060: </w:t>
      </w:r>
      <w:r>
        <w:rPr>
          <w:rFonts w:ascii="Arial" w:cs="Arial" w:eastAsia="Arial" w:hAnsi="Arial"/>
          <w:b w:val="false"/>
          <w:bCs w:val="false"/>
          <w:i w:val="false"/>
          <w:iCs w:val="false"/>
          <w:color w:val="000000"/>
          <w:sz w:val="18"/>
          <w:szCs w:val="18"/>
        </w:rPr>
        <w:t xml:space="preserve">P=0.80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JGB market crisis within 20 years without reform: </w:t>
      </w:r>
      <w:r>
        <w:rPr>
          <w:rFonts w:ascii="Arial" w:cs="Arial" w:eastAsia="Arial" w:hAnsi="Arial"/>
          <w:b w:val="false"/>
          <w:bCs w:val="false"/>
          <w:i w:val="false"/>
          <w:iCs w:val="false"/>
          <w:color w:val="000000"/>
          <w:sz w:val="18"/>
          <w:szCs w:val="18"/>
        </w:rPr>
        <w:t xml:space="preserve">P=0.42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Successful immigration-led demographic stabilisation: </w:t>
      </w:r>
      <w:r>
        <w:rPr>
          <w:rFonts w:ascii="Arial" w:cs="Arial" w:eastAsia="Arial" w:hAnsi="Arial"/>
          <w:b w:val="false"/>
          <w:bCs w:val="false"/>
          <w:i w:val="false"/>
          <w:iCs w:val="false"/>
          <w:color w:val="000000"/>
          <w:sz w:val="18"/>
          <w:szCs w:val="18"/>
        </w:rPr>
        <w:t xml:space="preserve">P=0.20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Pension system insolvency → forced benefit cuts → social trust collapse → L-crisis in one of the world's most stable democracies (a country with I≈0.62 dropping toward I_min). JGB yields spike as BOJ is forced to allow market clearing → global bond market contagion of 2008-scale given Japan's role as the world's largest net creditor. The normalisation shock previewed in August 2024 is a rehearsal for the real event.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IMMIGRATION REFORM: 500,000 skilled immigrants per year with a genuine 10-year path to citizenship, language access, and housing integration. No economic model closes Japan's demographic gap without this. The cultural resistance is real and must be respected in the implementation — but the demographic math is irrefutable.</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GENDER ECONOMIC PARTICIPATION: Universal childcare closing the 300,000 current waitlist gap. Japan's female labour force has the highest latent productivity gap in the OECD. This is the highest-ROI domestic policy available — it costs money but returns it within 5 years in GDP and tax revenue.</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FISCAL CONSOLIDATION: Raise consumption tax from 10% to 15% over 10 years. Eliminate zombie corporate tax preferences. Redirect savings toward pension and healthcare. The Bank of Japan normalisation must continue — delay only makes the eventual adjustment more dangerous.</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REGIONAL DIPLOMACY: South Korea reconciliation (Kishida-Yoon process should be continued by successors) and Japan-China framework dialogue must accompany remilitarisation, not follow it. Security without diplomacy is deterrence without de-escalation.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Immigration is the third rail of Japanese LDP politics. No postwar government has survived an explicit pro-immigration platform. Requires a leader willing to sacrifice the next election for the next generation — or a crisis large enough to override the political constraint.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Consumption tax increases suppress consumer spending in the short term. BOJ normalisation raises government borrowing costs. The fiscal adjustment involves real near-term pain for a long-term benefit that no current voter will live to receive.</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1–10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Immigration at scale changes Japanese cultural identity permanently. This is not a political objection — it is a genuine civilisational tradeoff: choose homogeneity and accept demographic collapse, or choose demographic survival and accept cultural change.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TRANSFORMATIONAL</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20–50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Demographic decline at this rate has an approximately 20-year momentum — decisions made today affect the 2045 population. There is no rapid reversal available. The correct intervention period was 2000–2010.</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20-year J-curve</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SOUTH KOREA + NORTH KOREA</w:t>
      </w:r>
      <w:r>
        <w:rPr>
          <w:rFonts w:ascii="Arial" w:cs="Arial" w:eastAsia="Arial" w:hAnsi="Arial"/>
          <w:b w:val="false"/>
          <w:bCs w:val="false"/>
          <w:i/>
          <w:iCs/>
          <w:color w:val="4A4A4A"/>
          <w:sz w:val="20"/>
          <w:szCs w:val="20"/>
        </w:rPr>
        <w:t xml:space="preserve">  ·  East 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ROK: A↓0.46  K↑0.72  I→0.62  L→0.50  Ω↑0.65  E↑0.60  ξ→0.42  |  Φ≈0.42  |  CRITICAL: TFR 0.72 — civilisational demographic emergency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South Korea has the world's lowest total fertility rate: 0.72 in 2023, down from 2.83 in 1980. The Korean youth have done the cost-benefit calculation: housing at 14–22× median income, the mandatory hagwon private tutoring culture adding $20–30k/year per child in education costs, career instability from chaebol concentration, and social conformity pressure — make family formation economically irrational. The political crisis from President Yoon's martial law declaration (December 2024) added acute institutional stress to the chronic demographic one. The Constitutional Court processed the impeachment correctly in under four months — a genuine demonstration of I≈0.80 — but the underlying political culture that produced the crisis remains unresolved. North Korea's validated ICBM capability and advancing tactical nuclear arsenal constitutes the highest acute Ω risk on the peninsula.</w:t>
            </w:r>
          </w:p>
        </w:tc>
      </w:tr>
    </w:tbl>
    <w:p>
      <w:pPr>
        <w:shd w:fill="FFF3E0" w:val="clear"/>
        <w:spacing w:after="80" w:before="80"/>
        <w:ind w:left="180"/>
      </w:pPr>
      <w:r>
        <w:rPr>
          <w:rFonts w:ascii="Arial" w:cs="Arial" w:eastAsia="Arial" w:hAnsi="Arial"/>
          <w:b/>
          <w:bCs/>
          <w:i w:val="false"/>
          <w:iCs w:val="false"/>
          <w:color w:val="7D4E00"/>
          <w:sz w:val="18"/>
          <w:szCs w:val="18"/>
        </w:rPr>
        <w:t xml:space="preserve">ROK TFR recovery to 1.5 by 2040 with aggressive policy: </w:t>
      </w:r>
      <w:r>
        <w:rPr>
          <w:rFonts w:ascii="Arial" w:cs="Arial" w:eastAsia="Arial" w:hAnsi="Arial"/>
          <w:b w:val="false"/>
          <w:bCs w:val="false"/>
          <w:i w:val="false"/>
          <w:iCs w:val="false"/>
          <w:color w:val="000000"/>
          <w:sz w:val="18"/>
          <w:szCs w:val="18"/>
        </w:rPr>
        <w:t xml:space="preserve">P=0.25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Population stabilisation at 1.0–1.2 (manageable decline): </w:t>
      </w:r>
      <w:r>
        <w:rPr>
          <w:rFonts w:ascii="Arial" w:cs="Arial" w:eastAsia="Arial" w:hAnsi="Arial"/>
          <w:b w:val="false"/>
          <w:bCs w:val="false"/>
          <w:i w:val="false"/>
          <w:iCs w:val="false"/>
          <w:color w:val="000000"/>
          <w:sz w:val="18"/>
          <w:szCs w:val="18"/>
        </w:rPr>
        <w:t xml:space="preserve">P=0.40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Military manpower crisis affecting deterrence by 2035: </w:t>
      </w:r>
      <w:r>
        <w:rPr>
          <w:rFonts w:ascii="Arial" w:cs="Arial" w:eastAsia="Arial" w:hAnsi="Arial"/>
          <w:b w:val="false"/>
          <w:bCs w:val="false"/>
          <w:i w:val="false"/>
          <w:iCs w:val="false"/>
          <w:color w:val="000000"/>
          <w:sz w:val="18"/>
          <w:szCs w:val="18"/>
        </w:rPr>
        <w:t xml:space="preserve">P=0.45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DPRK miscalculation event before 2035: </w:t>
      </w:r>
      <w:r>
        <w:rPr>
          <w:rFonts w:ascii="Arial" w:cs="Arial" w:eastAsia="Arial" w:hAnsi="Arial"/>
          <w:b w:val="false"/>
          <w:bCs w:val="false"/>
          <w:i w:val="false"/>
          <w:iCs w:val="false"/>
          <w:color w:val="000000"/>
          <w:sz w:val="18"/>
          <w:szCs w:val="18"/>
        </w:rPr>
        <w:t xml:space="preserve">P=0.20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END HAGWON CULTURE STRUCTURALLY: Cap private education spending per child, equalise public school quality across districts, eliminate the university entrance exam (CSAT/수능) as the single life-determining event. This is the root cause of low fertility — the perceived cost of raising a competitive child is prohibitive under current system design. Cannot be solved with baby bonuses alone.</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HOUSING AFFORDABILITY: Land value tax to deflate the speculative property premium. Make homeownership possible at 5–7× median income rather than the current 14–22×. Young couples are not choosing childlessness — they are choosing not to raise children in a 30m² apartment.</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DPRK CONTINGENCY FRAMEWORK: Pre-negotiate a trilateral China-ROK-US framework for DPRK instability scenarios — nuclear asset securing protocol, refugee management plan, economic integration roadmap. Does not require DPRK participation. Requires China to accept that US forces on a unified peninsula serve regional stability, not just US interests.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Ending hagwon culture challenges an education industry employing 300,000+ people with enormous political influence. Parents believe private tutoring is their child's competitive necessity. The intervention requires the government to tell parents they are wrong.</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Land value tax creates losers among the property-owning class. Chaebol reform reduces concentration but also reduces the efficiency of Korea's dominant corporate model.</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3–8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Cultural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The deepest sacrifice is cultural: the education model that drove the Miracle on the Han River is now actively destroying the population that achieved it. Acknowledging this requires confronting the foundational myth of Korean developmental success.</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TRANSFORMATIONAL</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Generational</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Security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DPRK contingency framework requires China accepting US military presence on its border in a unification scenario — a concession Beijing has consistently refused. Without it, the worst-case scenario (regime collapse + loose nuclear assets) is unmanaged.</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Pre-crisis window closing</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IV — SOUTH AND SOUTHEAST ASIA</w:t>
      </w:r>
    </w:p>
    <w:p>
      <w:pPr>
        <w:spacing w:after="20" w:before="300"/>
      </w:pPr>
      <w:r>
        <w:rPr>
          <w:rFonts w:ascii="Arial" w:cs="Arial" w:eastAsia="Arial" w:hAnsi="Arial"/>
          <w:b/>
          <w:bCs/>
          <w:i w:val="false"/>
          <w:iCs w:val="false"/>
          <w:color w:val="1B3A6B"/>
          <w:sz w:val="26"/>
          <w:szCs w:val="26"/>
        </w:rPr>
        <w:t xml:space="preserve">INDIA</w:t>
      </w:r>
      <w:r>
        <w:rPr>
          <w:rFonts w:ascii="Arial" w:cs="Arial" w:eastAsia="Arial" w:hAnsi="Arial"/>
          <w:b w:val="false"/>
          <w:bCs w:val="false"/>
          <w:i/>
          <w:iCs/>
          <w:color w:val="4A4A4A"/>
          <w:sz w:val="20"/>
          <w:szCs w:val="20"/>
        </w:rPr>
        <w:t xml:space="preserve">  ·  South 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A↓0.46  K↑0.62  I→0.55  L→0.52  Ω↑0.55  E↑0.72  ξ↑0.52  |  Φ≈0.42  |  HIGHEST-VARIANCE: DPI opportunity vs E-overproduction crisis — outcome not determined</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India is the highest-variance variable in the global civilisational system. It simultaneously presents the most important K-democratisation opportunity in the world (DPI: Aadhaar, UPI, ONDC — 1.4B people receiving digital access) AND the largest E-overproduction pressure in world history (600M under-25; 1.5M engineering graduates per year competing for 200,000 positions). The BJP Hindu nationalist narrative is fracturing multi-religious social cohesion (A) at precisely the moment when India's diversity is its greatest structural advantage for managing a heterogeneous 1.4B population. Water stress — groundwater depletion in Punjab, Haryana, and Rajasthan at rates incompatible with current agriculture — threatens food security. The outcome between the two trajectories (K-democratisation success vs. E-implosion) is genuinely undetermined and depends almost entirely on policy choices made in the next 5 years.</w:t>
            </w:r>
          </w:p>
        </w:tc>
      </w:tr>
    </w:tbl>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WORLD_GREATBOOKS_RAG (Arthashastra — Kautilya): 'A king who cannot provide livelihoods to the young will face rebellion.' India is Kautilya's test case at civilisational scale. 10M young people entering the workforce annually through 2040 must find productive employment or they become the largest single source of political instability in Asia.</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INDIA_RAG (Economic Survey 2024-25): GDP growth 8.2% (FY24) — impressive headline. Formal job creation: ~8M/year. Need: 12–15M/year. UPI: $3T in transactions (2024). RBI Annual Report 2024-25: financial inclusion at 80% from 35% in 2014 — the DPI impact is measurable and real. CONSULTING_RAG: MGI India report documents 40M jobs at risk of AI-driven displacement in services sector.</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CNA_RAG (Singapore coverage of India): The farmer protests (2020–21), BJP's 2024 underperformance in UP and Rajasthan despite national majority, the Manipur ethnic violence (2023–24) — these are the A-cohesion warning signals. The farmer protest was the most significant social mobilisation in independent India's recent history — 250M workers in solidarity. This is not marginal.</w:t>
      </w:r>
    </w:p>
    <w:p>
      <w:pPr>
        <w:spacing w:after="40" w:before="60"/>
        <w:ind w:left="360"/>
      </w:pPr>
      <w:r>
        <w:rPr>
          <w:rFonts w:ascii="Arial" w:cs="Arial" w:eastAsia="Arial" w:hAnsi="Arial"/>
          <w:b/>
          <w:bCs/>
          <w:i w:val="false"/>
          <w:iCs w:val="false"/>
          <w:color w:val="1B3A6B"/>
          <w:sz w:val="18"/>
          <w:szCs w:val="18"/>
        </w:rPr>
        <w:t xml:space="preserve">SUPERFORECASTING  </w:t>
      </w:r>
      <w:r>
        <w:rPr>
          <w:rFonts w:ascii="Arial" w:cs="Arial" w:eastAsia="Arial" w:hAnsi="Arial"/>
          <w:b w:val="false"/>
          <w:bCs w:val="false"/>
          <w:i/>
          <w:iCs/>
          <w:color w:val="000000"/>
          <w:sz w:val="18"/>
          <w:szCs w:val="18"/>
        </w:rPr>
        <w:t xml:space="preserve"/>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'India's informality is a buffer — the informal economy absorbs the youth cohort that formal employment cannot.' Partially correct. Informality is a buffer against political explosion. But it is also a trap — informal workers cannot build human capital, access credit, or enter the formal social contract. The DPI is the correct response: formalise the informal without bureaucratising it.</w:t>
      </w:r>
    </w:p>
    <w:p>
      <w:pPr>
        <w:shd w:fill="FFF3E0" w:val="clear"/>
        <w:spacing w:after="80" w:before="80"/>
        <w:ind w:left="180"/>
      </w:pPr>
      <w:r>
        <w:rPr>
          <w:rFonts w:ascii="Arial" w:cs="Arial" w:eastAsia="Arial" w:hAnsi="Arial"/>
          <w:b/>
          <w:bCs/>
          <w:i w:val="false"/>
          <w:iCs w:val="false"/>
          <w:color w:val="7D4E00"/>
          <w:sz w:val="18"/>
          <w:szCs w:val="18"/>
        </w:rPr>
        <w:t xml:space="preserve">India achieving stable 7%+ growth through 2035: </w:t>
      </w:r>
      <w:r>
        <w:rPr>
          <w:rFonts w:ascii="Arial" w:cs="Arial" w:eastAsia="Arial" w:hAnsi="Arial"/>
          <w:b w:val="false"/>
          <w:bCs w:val="false"/>
          <w:i w:val="false"/>
          <w:iCs w:val="false"/>
          <w:color w:val="000000"/>
          <w:sz w:val="18"/>
          <w:szCs w:val="18"/>
        </w:rPr>
        <w:t xml:space="preserve">P=0.45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E-overproduction triggering regional political instability before 2030: </w:t>
      </w:r>
      <w:r>
        <w:rPr>
          <w:rFonts w:ascii="Arial" w:cs="Arial" w:eastAsia="Arial" w:hAnsi="Arial"/>
          <w:b w:val="false"/>
          <w:bCs w:val="false"/>
          <w:i w:val="false"/>
          <w:iCs w:val="false"/>
          <w:color w:val="000000"/>
          <w:sz w:val="18"/>
          <w:szCs w:val="18"/>
        </w:rPr>
        <w:t xml:space="preserve">P=0.40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India becoming net AI capability exporter by 2035: </w:t>
      </w:r>
      <w:r>
        <w:rPr>
          <w:rFonts w:ascii="Arial" w:cs="Arial" w:eastAsia="Arial" w:hAnsi="Arial"/>
          <w:b w:val="false"/>
          <w:bCs w:val="false"/>
          <w:i w:val="false"/>
          <w:iCs w:val="false"/>
          <w:color w:val="000000"/>
          <w:sz w:val="18"/>
          <w:szCs w:val="18"/>
        </w:rPr>
        <w:t xml:space="preserve">P=0.35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Groundwater crisis triggering agrarian collapse in food-belt states before 2040: </w:t>
      </w:r>
      <w:r>
        <w:rPr>
          <w:rFonts w:ascii="Arial" w:cs="Arial" w:eastAsia="Arial" w:hAnsi="Arial"/>
          <w:b w:val="false"/>
          <w:bCs w:val="false"/>
          <w:i w:val="false"/>
          <w:iCs w:val="false"/>
          <w:color w:val="000000"/>
          <w:sz w:val="18"/>
          <w:szCs w:val="18"/>
        </w:rPr>
        <w:t xml:space="preserve">P=0.38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Youth unemployment + BJP nationalist identity politics = recruitment pool for Hindu-Muslim violence at scale. Groundwater depletion in Punjab, Haryana, and Rajasthan triggers agrarian collapse in India's food-belt states. India becomes the largest source of internal displacement since China's Cultural Revolution. The DPI opportunity — the only plausible path to K-democratisation at 1.4B-person scale — is lost if political instability disrupts the institutional continuity required to maintain it.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MANUFACTURING SCALE-UP: Electronics, textiles, EV components — PLI (Production Linked Incentive) scheme at 5× current scale. India needs to absorb 4–6M additional manufacturing workers annually. This requires labour law reform (currently making factories unviable) and infrastructure investment (power, roads, ports).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AGRICULTURAL WATER MANAGEMENT: Regulate groundwater extraction — currently unregulated and free to pump. This is politically suicidal in farmer-vote states. The alternative is agricultural collapse within 20 years in states that grow 40% of India's food.</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CONSTITUTIONAL SECULARISM ENFORCEMENT: Legally enforced religious pluralism with judicial backbone. A BJP that wins through Hindu nationalist mobilisation has an incentive to fracture A further. The protection must be structural, not discretionary.</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SCALE DPI TO HEALTHCARE AND EDUCATION: The UPI model — open protocol, interoperable, not platform-monopolised — should be extended to health records, education credentialing, and agricultural market access. India's structural advantage over China is the open-protocol architecture of its digital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Groundwater regulation costs BJP votes in farmer states. PLI manufacturing requires relaxing labour laws that trade unions oppose. Secularism enforcement invites RSS/VHP attacks as 'minority appeasement.'  Each reform has a specific and powerful constituency that will punish its proponent.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Labour law reform creates transition unemployment as unviable firms close and efficient firms scale. Agricultural consolidation involves rural displacement. Manufacturing FDI requires wage competitiveness that compresses minimum wage ambitions.</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3–10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Social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 generation of farmers must accept agricultural consolidation — India's version of the rural-urban migration shock that defined China's 1990–2010 transformation. 250M people whose identity is agricultural must transition.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20–30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Irreversibility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Groundwater depletion cannot be reversed on human timescales once the aquifer is depleted. The Punjab water crisis has a 15–20 year window for managed transition before forced crisis transition.</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PERMANENT</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Window: 2026–2040</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ASEAN (SYSTEMIC)</w:t>
      </w:r>
      <w:r>
        <w:rPr>
          <w:rFonts w:ascii="Arial" w:cs="Arial" w:eastAsia="Arial" w:hAnsi="Arial"/>
          <w:b w:val="false"/>
          <w:bCs w:val="false"/>
          <w:i/>
          <w:iCs/>
          <w:color w:val="4A4A4A"/>
          <w:sz w:val="20"/>
          <w:szCs w:val="20"/>
        </w:rPr>
        <w:t xml:space="preserve">  ·  Southeast Asia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A↓0.44  K→0.55  I↓0.40  L↓0.42  Ω→0.50  E→0.50  ξ↓0.35  |  Φ≈0.38  |  CRITICAL: Centrality myth dying; bifurcation into binary hardening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ASEAN Centrality is dying as an operating principle. ASEAN_DATA_RAG (ISEAS State of Southeast Asia Survey 2024): 77% of Southeast Asian elites believe ASEAN is losing its centrality. Cambodia, Laos, Myanmar: effectively China-aligned. Philippines: pivoting sharply toward Washington under Marcos Jr. Vietnam: bilateral dealmaking with every major power simultaneously. Thailand: cycling between military governance and parliamentary restoration. Singapore: formal non-alignment with deep US military cooperation. The region that constructed a 57-year peace through non-interference and consensus is now experiencing great-power binary pressure that its founding architecture cannot process.</w:t>
            </w:r>
          </w:p>
        </w:tc>
      </w:tr>
    </w:tbl>
    <w:p>
      <w:pPr>
        <w:shd w:fill="FFF3E0" w:val="clear"/>
        <w:spacing w:after="80" w:before="80"/>
        <w:ind w:left="180"/>
      </w:pPr>
      <w:r>
        <w:rPr>
          <w:rFonts w:ascii="Arial" w:cs="Arial" w:eastAsia="Arial" w:hAnsi="Arial"/>
          <w:b/>
          <w:bCs/>
          <w:i w:val="false"/>
          <w:iCs w:val="false"/>
          <w:color w:val="7D4E00"/>
          <w:sz w:val="18"/>
          <w:szCs w:val="18"/>
        </w:rPr>
        <w:t xml:space="preserve">ASEAN formal split into pro-China / pro-US blocs by 2035: </w:t>
      </w:r>
      <w:r>
        <w:rPr>
          <w:rFonts w:ascii="Arial" w:cs="Arial" w:eastAsia="Arial" w:hAnsi="Arial"/>
          <w:b w:val="false"/>
          <w:bCs w:val="false"/>
          <w:i w:val="false"/>
          <w:iCs w:val="false"/>
          <w:color w:val="000000"/>
          <w:sz w:val="18"/>
          <w:szCs w:val="18"/>
        </w:rPr>
        <w:t xml:space="preserve">P=0.30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ASEAN surviving in weakened but functional form: </w:t>
      </w:r>
      <w:r>
        <w:rPr>
          <w:rFonts w:ascii="Arial" w:cs="Arial" w:eastAsia="Arial" w:hAnsi="Arial"/>
          <w:b w:val="false"/>
          <w:bCs w:val="false"/>
          <w:i w:val="false"/>
          <w:iCs w:val="false"/>
          <w:color w:val="000000"/>
          <w:sz w:val="18"/>
          <w:szCs w:val="18"/>
        </w:rPr>
        <w:t xml:space="preserve">P=0.55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South China Sea Code of Conduct agreed before 2028: </w:t>
      </w:r>
      <w:r>
        <w:rPr>
          <w:rFonts w:ascii="Arial" w:cs="Arial" w:eastAsia="Arial" w:hAnsi="Arial"/>
          <w:b w:val="false"/>
          <w:bCs w:val="false"/>
          <w:i w:val="false"/>
          <w:iCs w:val="false"/>
          <w:color w:val="000000"/>
          <w:sz w:val="18"/>
          <w:szCs w:val="18"/>
        </w:rPr>
        <w:t xml:space="preserve">P=0.22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Major armed incident in South China Sea before 2030: </w:t>
      </w:r>
      <w:r>
        <w:rPr>
          <w:rFonts w:ascii="Arial" w:cs="Arial" w:eastAsia="Arial" w:hAnsi="Arial"/>
          <w:b w:val="false"/>
          <w:bCs w:val="false"/>
          <w:i w:val="false"/>
          <w:iCs w:val="false"/>
          <w:color w:val="000000"/>
          <w:sz w:val="18"/>
          <w:szCs w:val="18"/>
        </w:rPr>
        <w:t xml:space="preserve">P=0.28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ASEAN+ ARCHITECTURE: Singapore and Indonesia co-lead an expanded framework including India, South Korea, Japan, and Australia as structural partners. Collective weight that individual ASEAN members lack. A 10-nation grouping with $12T+ combined GDP can resist binary pressure that individual members cannot.</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SOUTH CHINA SEA CODE OF CONDUCT: Use the current negotiation window (before the next US-China crisis freezes diplomacy) to achieve a binding maritime rules framework. ASEAN has failed this for 20 years. The window may be permanently closing as the Philippines-China confrontation hardens.</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SUPPLY CHAIN DIVERSIFICATION: The region's 40–60% manufacturing input dependence on China is a structural vulnerability. 'China+1' strategies need ASEAN-level coordination — a shared industrial policy framework — not just firm-level bilateral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ASEAN+ architecture requires Cambodia and Laos to accept reduced Chinese patronage, which they cannot do without economic alternatives. The alternative patronage must come from India and Japan at scale.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5–10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Diplomatic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South China Sea code of conduct requires China to accept binding constraints on its territorial claims — a concession Beijing has consistently refused. The negotiation leverage exists only as long as ASEAN is united enough to present a coordinated position.</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Closing window 2026–2028</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Supply chain diversification away from China costs the region 1–3% of manufacturing efficiency in the short term. The China supply chain is optimised over 30 years and cannot be replaced instantly.</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5–15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Structural</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The ASEAN Way (consensus, non-interference) may need to be explicitly abandoned in favour of a majority-rules framework that allows the non-aligned majority to act despite the veto of the China-aligned minority.</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 (foundational identity)</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Permanent redesign</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V — MIDDLE EAST</w:t>
      </w:r>
    </w:p>
    <w:p>
      <w:pPr>
        <w:spacing w:after="20" w:before="300"/>
      </w:pPr>
      <w:r>
        <w:rPr>
          <w:rFonts w:ascii="Arial" w:cs="Arial" w:eastAsia="Arial" w:hAnsi="Arial"/>
          <w:b/>
          <w:bCs/>
          <w:i w:val="false"/>
          <w:iCs w:val="false"/>
          <w:color w:val="1B3A6B"/>
          <w:sz w:val="26"/>
          <w:szCs w:val="26"/>
        </w:rPr>
        <w:t xml:space="preserve">IRAN</w:t>
      </w:r>
      <w:r>
        <w:rPr>
          <w:rFonts w:ascii="Arial" w:cs="Arial" w:eastAsia="Arial" w:hAnsi="Arial"/>
          <w:b w:val="false"/>
          <w:bCs w:val="false"/>
          <w:i/>
          <w:iCs/>
          <w:color w:val="4A4A4A"/>
          <w:sz w:val="20"/>
          <w:szCs w:val="20"/>
        </w:rPr>
        <w:t xml:space="preserve">  ·  Middle East</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A↓0.28  K→0.50  I↓0.30  L↓0.22  Ω↑0.85  E↑0.68  ξ↓0.18  |  Φ≈0.18  |  CRITICAL: I below I_min; Ω maximum; nuclear threshold imminent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Theocratic legitimacy in visible, documented collapse. The 2022 'Women, Life, Freedom' (Zan, Zendegi, Azadi) protests — documented in HUMAN_RIGHTS_RAG — were the clearest A-collapse signal in the Middle East in a generation: not a factional uprising but a population-wide withdrawal of social consent across ethnic, class, and gender lines. The regime's response (systematic execution, mass imprisonment, internet shutdown) stabilised the surface while the legitimacy deficit accumulates beneath it. Simultaneously: Iran is at 60% uranium enrichment — a technical step from weapons-grade — with no credible diplomatic off-ramp following the 2018 US JCPOA withdrawal.</w:t>
            </w:r>
          </w:p>
        </w:tc>
      </w:tr>
    </w:tbl>
    <w:p>
      <w:pPr>
        <w:shd w:fill="FFF3E0" w:val="clear"/>
        <w:spacing w:after="80" w:before="80"/>
        <w:ind w:left="180"/>
      </w:pPr>
      <w:r>
        <w:rPr>
          <w:rFonts w:ascii="Arial" w:cs="Arial" w:eastAsia="Arial" w:hAnsi="Arial"/>
          <w:b/>
          <w:bCs/>
          <w:i w:val="false"/>
          <w:iCs w:val="false"/>
          <w:color w:val="7D4E00"/>
          <w:sz w:val="18"/>
          <w:szCs w:val="18"/>
        </w:rPr>
        <w:t xml:space="preserve">Iran achieving nuclear weapons capability before 2030: </w:t>
      </w:r>
      <w:r>
        <w:rPr>
          <w:rFonts w:ascii="Arial" w:cs="Arial" w:eastAsia="Arial" w:hAnsi="Arial"/>
          <w:b w:val="false"/>
          <w:bCs w:val="false"/>
          <w:i w:val="false"/>
          <w:iCs w:val="false"/>
          <w:color w:val="000000"/>
          <w:sz w:val="18"/>
          <w:szCs w:val="18"/>
        </w:rPr>
        <w:t xml:space="preserve">P=0.50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Israeli preventive strike in that scenario: </w:t>
      </w:r>
      <w:r>
        <w:rPr>
          <w:rFonts w:ascii="Arial" w:cs="Arial" w:eastAsia="Arial" w:hAnsi="Arial"/>
          <w:b w:val="false"/>
          <w:bCs w:val="false"/>
          <w:i w:val="false"/>
          <w:iCs w:val="false"/>
          <w:color w:val="000000"/>
          <w:sz w:val="18"/>
          <w:szCs w:val="18"/>
        </w:rPr>
        <w:t xml:space="preserve">P=0.45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That strike triggering regional war: </w:t>
      </w:r>
      <w:r>
        <w:rPr>
          <w:rFonts w:ascii="Arial" w:cs="Arial" w:eastAsia="Arial" w:hAnsi="Arial"/>
          <w:b w:val="false"/>
          <w:bCs w:val="false"/>
          <w:i w:val="false"/>
          <w:iCs w:val="false"/>
          <w:color w:val="000000"/>
          <w:sz w:val="18"/>
          <w:szCs w:val="18"/>
        </w:rPr>
        <w:t xml:space="preserve">P=0.55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JCPOA-equivalent deal achieved before 2028: </w:t>
      </w:r>
      <w:r>
        <w:rPr>
          <w:rFonts w:ascii="Arial" w:cs="Arial" w:eastAsia="Arial" w:hAnsi="Arial"/>
          <w:b w:val="false"/>
          <w:bCs w:val="false"/>
          <w:i w:val="false"/>
          <w:iCs w:val="false"/>
          <w:color w:val="000000"/>
          <w:sz w:val="18"/>
          <w:szCs w:val="18"/>
        </w:rPr>
        <w:t xml:space="preserve">P=0.20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maximum-Ω Middle East scenario: a nuclear-threshold Iran with collapsing domestic legitimacy facing Israeli existential concern and Saudi strategic competition is the combination that produces regional war. The compound risk (Ω×E) is particularly severe: Iran's domestic E-overproduction (38% youth unemployment, 60%+ with university degrees unable to find commensurate employment under sanctions economy) is the fuel that makes the nuclear programme politically necessary for regime survival.</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JCPOA REVIVAL — CONDITIONAL PATHWAY: The framework exists. The 2015 agreement demonstrated that a deal was achievable. Requires the US to credibly commit to not withdrawing unilaterally (via Senate ratification rather than executive agreement — the structural fix that the 2015 deal omitted). Requires Iran to accept intrusive inspections at all enrichment sites.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REGIONAL SECURITY ARCHITECTURE: Saudi-Iran normalisation (initiated by China-brokered 2023 deal) must be deepened into a Gulf security architecture that reduces the proxy conflict premium that drives Iranian regional intervention.</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THE HONEST PRESCRIPTION: The Khamenei regime cannot accept the constraints that would prevent nuclear escalation, because its political legitimacy now partly depends on the nuclear programme as national pride symbol. The structural resolution requires either regime change or generational leadership transition. External actors should prepare for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 (Iran)</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Nuclear constraint is framed internally as surrender to Western imperialism — the hardline Revolutionary Guard uses this framing. Any Iranian leader who accepts genuine constraints risks assassination or deposition by IRGC.</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EXISTENTIAL for leadership</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 (US)</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Senate ratification of a new nuclear deal requires 67 votes — impossible in current partisan environment. The structural fix (treaty vs. executive agreement) is the politically impossible fix.</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Regional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 deal that leaves Iran with civilian nuclear capacity but prevents weaponisation requires Israel accepting Iranian enrichment capability — a red line Israeli military doctrine does not currently permit.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Ongoing</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Inaction cost</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If no deal: P(regional war)=0.55×0.45=0.25 within 5 years. A Middle East regional war involving Iran, Israel, US, and Gulf states produces oil supply shock, refugee flows in the millions, and potential nuclear use risk.</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CATASTROPHIC</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5-year horizon</w:t>
            </w:r>
          </w:p>
        </w:tc>
      </w:tr>
    </w:tbl>
    <w:p>
      <w:pPr>
        <w:spacing w:after="0" w:before="160"/>
      </w:pPr>
      <w:r>
        <w:rPr>
          <w:rFonts w:ascii="Arial" w:cs="Arial" w:eastAsia="Arial" w:hAnsi="Arial"/>
          <w:b w:val="false"/>
          <w:bCs w:val="false"/>
          <w:i w:val="false"/>
          <w:iCs w:val="false"/>
          <w:color w:val="000000"/>
          <w:sz w:val="20"/>
          <w:szCs w:val="20"/>
        </w:rPr>
        <w:t xml:space="preserve"/>
      </w:r>
    </w:p>
    <w:p>
      <w:pPr>
        <w:spacing w:after="20" w:before="300"/>
      </w:pPr>
      <w:r>
        <w:rPr>
          <w:rFonts w:ascii="Arial" w:cs="Arial" w:eastAsia="Arial" w:hAnsi="Arial"/>
          <w:b/>
          <w:bCs/>
          <w:i w:val="false"/>
          <w:iCs w:val="false"/>
          <w:color w:val="1B3A6B"/>
          <w:sz w:val="26"/>
          <w:szCs w:val="26"/>
        </w:rPr>
        <w:t xml:space="preserve">ISRAEL / GAZA — THE LEGITIMACY RUPTURE</w:t>
      </w:r>
      <w:r>
        <w:rPr>
          <w:rFonts w:ascii="Arial" w:cs="Arial" w:eastAsia="Arial" w:hAnsi="Arial"/>
          <w:b w:val="false"/>
          <w:bCs w:val="false"/>
          <w:i/>
          <w:iCs/>
          <w:color w:val="4A4A4A"/>
          <w:sz w:val="20"/>
          <w:szCs w:val="20"/>
        </w:rPr>
        <w:t xml:space="preserve">  ·  Middle East</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GLOBAL L IMPACT: Single conflict producing most significant legitimacy erosion of US-led international order since 2003 Iraq invasion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corpus (HUMAN_RIGHTS_RAG, FA_RAG, CNA_RAG, MILITARY_RAG) converges on a finding that must be stated directly: the conduct of the Gaza war has produced a measurable, documented erosion of the legitimacy (L) of the US-led international rules-based order globally. HRW 2025 World Report and Amnesty International Annual Report 2025 both apply the legal framework of genocide in analytical contexts. The International Court of Justice has found 'plausible' genocide in provisional measures rulings. RSF Press Freedom Index documents journalists killed at a rate exceeding all modern conflicts. This is not a political position — it is a corpus finding. The L-decline from this conflict is propagating through the Global South's relationship with the Western-led order and will continue to do so for a generation.</w:t>
            </w:r>
          </w:p>
        </w:tc>
      </w:tr>
    </w:tbl>
    <w:p>
      <w:pPr>
        <w:shd w:fill="FFF3E0" w:val="clear"/>
        <w:spacing w:after="80" w:before="80"/>
        <w:ind w:left="180"/>
      </w:pPr>
      <w:r>
        <w:rPr>
          <w:rFonts w:ascii="Arial" w:cs="Arial" w:eastAsia="Arial" w:hAnsi="Arial"/>
          <w:b/>
          <w:bCs/>
          <w:i w:val="false"/>
          <w:iCs w:val="false"/>
          <w:color w:val="7D4E00"/>
          <w:sz w:val="18"/>
          <w:szCs w:val="18"/>
        </w:rPr>
        <w:t xml:space="preserve">Two-state solution implemented before 2040: </w:t>
      </w:r>
      <w:r>
        <w:rPr>
          <w:rFonts w:ascii="Arial" w:cs="Arial" w:eastAsia="Arial" w:hAnsi="Arial"/>
          <w:b w:val="false"/>
          <w:bCs w:val="false"/>
          <w:i w:val="false"/>
          <w:iCs w:val="false"/>
          <w:color w:val="000000"/>
          <w:sz w:val="18"/>
          <w:szCs w:val="18"/>
        </w:rPr>
        <w:t xml:space="preserve">P=0.12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Status quo (occupation + periodic conflict) continues: </w:t>
      </w:r>
      <w:r>
        <w:rPr>
          <w:rFonts w:ascii="Arial" w:cs="Arial" w:eastAsia="Arial" w:hAnsi="Arial"/>
          <w:b w:val="false"/>
          <w:bCs w:val="false"/>
          <w:i w:val="false"/>
          <w:iCs w:val="false"/>
          <w:color w:val="000000"/>
          <w:sz w:val="18"/>
          <w:szCs w:val="18"/>
        </w:rPr>
        <w:t xml:space="preserve">P=0.55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Single-state outcome with apartheid-equivalent structure: </w:t>
      </w:r>
      <w:r>
        <w:rPr>
          <w:rFonts w:ascii="Arial" w:cs="Arial" w:eastAsia="Arial" w:hAnsi="Arial"/>
          <w:b w:val="false"/>
          <w:bCs w:val="false"/>
          <w:i w:val="false"/>
          <w:iCs w:val="false"/>
          <w:color w:val="000000"/>
          <w:sz w:val="18"/>
          <w:szCs w:val="18"/>
        </w:rPr>
        <w:t xml:space="preserve">P=0.25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Regional war escalation involving Iran before 2030: </w:t>
      </w:r>
      <w:r>
        <w:rPr>
          <w:rFonts w:ascii="Arial" w:cs="Arial" w:eastAsia="Arial" w:hAnsi="Arial"/>
          <w:b w:val="false"/>
          <w:bCs w:val="false"/>
          <w:i w:val="false"/>
          <w:iCs w:val="false"/>
          <w:color w:val="000000"/>
          <w:sz w:val="18"/>
          <w:szCs w:val="18"/>
        </w:rPr>
        <w:t xml:space="preserve">P=0.28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Every Hamas, Hezbollah, Houthi, and state-sponsor recruitment pitch for the next 30 years begins with this corpus of imagery. The L-decline propagates: China and Russia use the documented selective application of international law to delegitimise the 'rules-based international order' brand that the US spent 80 years constructing. The most severe long-term cost is not military — it is the erosion of the soft-power architecture that enables US global leadership without requiring hard-power deployment in every dispute.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US: CONDITIONALITY ON MILITARY ASSISTANCE. This is the only available leverage. The Leahy Law and existing US arms export statutes provide the legal framework. Using it requires political courage that has not been demonstrated. Not using it continues the L-decline at global scale.</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TWO-STATE FRAMEWORK WITH INTERNATIONAL GUARANTORS: A Palestinian state with clear territorial boundaries, demilitarised by agreement with international security guarantees (NATO-equivalent). The demographic reality — Palestinians will constitute a majority in all of historic Palestine within 15–20 years — means permanent military occupation is not a stable equilibrium.</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THE HONEST ASSESSMENT: No combination of current leaders (Netanyahu coalition, Hamas leadership, Palestinian Authority) can implement this solution. The institutional requirements exceed current political capacity. This is a generational problem requiring either a new Israeli governing coalition, a reconstructed Palestinian political leadership, or both. External pressure must be maintained to preserve the conditions for a future agreement.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US 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Conditionality on Israeli military assistance triggers significant domestic political cost in US electoral politics. The AIPAC mobilisation capacity against individual members of Congress who support conditionality is well-documented.</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 election cycle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Israeli Security</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 two-state solution requires Israeli withdrawal from most West Bank settlements — politically equivalent to 1947 partition demands. The settler population (700,000+) has electoral and paramilitary power.</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EXTREME</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10–20 years</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Palestinian</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Recognising Israeli sovereignty within defined borders requires Hamas (or its political successor) to accept the legitimacy of a state it has publicly committed to destroying. Requires Hamas dissolution or transformation.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EXTREME</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Generational</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Global L cost of inaction</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Every year without resolution costs approximately 0.5–1.0 points of global legitimacy for the US-led international order, measured as willingness of Global South states to align with Western-led institutions.</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COMPOUNDING</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Ongoing monthly</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VI — AFRICA</w:t>
      </w:r>
    </w:p>
    <w:p>
      <w:pPr>
        <w:spacing w:after="20" w:before="300"/>
      </w:pPr>
      <w:r>
        <w:rPr>
          <w:rFonts w:ascii="Arial" w:cs="Arial" w:eastAsia="Arial" w:hAnsi="Arial"/>
          <w:b/>
          <w:bCs/>
          <w:i w:val="false"/>
          <w:iCs w:val="false"/>
          <w:color w:val="1B3A6B"/>
          <w:sz w:val="26"/>
          <w:szCs w:val="26"/>
        </w:rPr>
        <w:t xml:space="preserve">SUB-SAHARAN AFRICA &amp; THE SAHEL</w:t>
      </w:r>
      <w:r>
        <w:rPr>
          <w:rFonts w:ascii="Arial" w:cs="Arial" w:eastAsia="Arial" w:hAnsi="Arial"/>
          <w:b w:val="false"/>
          <w:bCs w:val="false"/>
          <w:i/>
          <w:iCs/>
          <w:color w:val="4A4A4A"/>
          <w:sz w:val="20"/>
          <w:szCs w:val="20"/>
        </w:rPr>
        <w:t xml:space="preserve">  ·  Africa</w:t>
      </w:r>
    </w:p>
    <w:p>
      <w:pPr>
        <w:pBdr>
          <w:bottom w:val="single" w:color="8B0000" w:sz="4"/>
        </w:pBdr>
        <w:spacing w:after="120" w:before="0"/>
      </w:pPr>
      <w:r>
        <w:rPr>
          <w:rFonts w:ascii="Arial" w:cs="Arial" w:eastAsia="Arial" w:hAnsi="Arial"/>
          <w:b w:val="false"/>
          <w:bCs w:val="false"/>
          <w:i w:val="false"/>
          <w:iCs w:val="false"/>
          <w:color w:val="000000"/>
          <w:sz w:val="20"/>
          <w:szCs w:val="20"/>
        </w:rPr>
        <w:t xml:space="preserve"/>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A↓0.32  K↓0.38  I↓0.28  L↓0.30  Ω↑0.65  E↑0.78  ξ↓0.25  |  Φ≈0.20  |  CRITICAL: Largest E-overproduction pressure building in human history; simultaneous governance vacuums</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CORE PROBLEM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greatest E-overproduction pressure in world history is building in Africa. The continent's population reaches 4 billion by 2100, with median age currently 19 years and 40% of global youth under-25. Six coups since 2020 in the Sahel alone (Mali, Burkina Faso, Niger, Guinea, Chad, Gabon) — producing governance vacuums being filled simultaneously by Russian-backed Wagner/Africa Corps forces and jihadist networks (JNIM, ISGS, Boko Haram affiliates). Sudan: 8M+ displaced — the largest active displacement crisis globally. The compound dynamic: youth bulge + governance failure + climate stress + external predatory extraction = the highest-Ω risk concentration on the planet for the 2030–2050 period.</w:t>
            </w:r>
          </w:p>
        </w:tc>
      </w:tr>
    </w:tbl>
    <w:p>
      <w:pPr>
        <w:spacing w:after="40" w:before="120"/>
      </w:pPr>
      <w:r>
        <w:rPr>
          <w:rFonts w:ascii="Arial" w:cs="Arial" w:eastAsia="Arial" w:hAnsi="Arial"/>
          <w:b/>
          <w:bCs/>
          <w:i w:val="false"/>
          <w:iCs w:val="false"/>
          <w:color w:val="1B3A6B"/>
          <w:sz w:val="18"/>
          <w:szCs w:val="18"/>
        </w:rPr>
        <w:t xml:space="preserve">FIVE-METHOD EVIDENCE</w:t>
      </w:r>
    </w:p>
    <w:p>
      <w:pPr>
        <w:spacing w:after="40" w:before="60"/>
        <w:ind w:left="360"/>
      </w:pPr>
      <w:r>
        <w:rPr>
          <w:rFonts w:ascii="Arial" w:cs="Arial" w:eastAsia="Arial" w:hAnsi="Arial"/>
          <w:b/>
          <w:bCs/>
          <w:i w:val="false"/>
          <w:iCs w:val="false"/>
          <w:color w:val="1B3A6B"/>
          <w:sz w:val="18"/>
          <w:szCs w:val="18"/>
        </w:rPr>
        <w:t xml:space="preserve">QUALITATIVE  </w:t>
      </w:r>
      <w:r>
        <w:rPr>
          <w:rFonts w:ascii="Arial" w:cs="Arial" w:eastAsia="Arial" w:hAnsi="Arial"/>
          <w:b w:val="false"/>
          <w:bCs w:val="false"/>
          <w:i/>
          <w:iCs/>
          <w:color w:val="000000"/>
          <w:sz w:val="18"/>
          <w:szCs w:val="18"/>
        </w:rPr>
        <w:t xml:space="preserve">WORLD_GREATBOOKS_RAG (Ibn Khaldun, Muqaddimah — Rosenthal translation, BM25=9.5 for Sahel-relevant queries): The cycle of pastoral tribe → political consolidation → state decay → pastoral tribe is playing out in Mali, Burkina Faso, and Niger with near-perfect fidelity. The Sahel states achieved formal statehood without achieving the asabiyyah that makes states viable. Ibn Khaldun wrote this analysis in 1377 CE; it describes 2026 Sahel with forensic accuracy.</w:t>
      </w:r>
    </w:p>
    <w:p>
      <w:pPr>
        <w:spacing w:after="40" w:before="60"/>
        <w:ind w:left="360"/>
      </w:pPr>
      <w:r>
        <w:rPr>
          <w:rFonts w:ascii="Arial" w:cs="Arial" w:eastAsia="Arial" w:hAnsi="Arial"/>
          <w:b/>
          <w:bCs/>
          <w:i w:val="false"/>
          <w:iCs w:val="false"/>
          <w:color w:val="1B3A6B"/>
          <w:sz w:val="18"/>
          <w:szCs w:val="18"/>
        </w:rPr>
        <w:t xml:space="preserve">QUANTITATIVE  </w:t>
      </w:r>
      <w:r>
        <w:rPr>
          <w:rFonts w:ascii="Arial" w:cs="Arial" w:eastAsia="Arial" w:hAnsi="Arial"/>
          <w:b w:val="false"/>
          <w:bCs w:val="false"/>
          <w:i/>
          <w:iCs/>
          <w:color w:val="000000"/>
          <w:sz w:val="18"/>
          <w:szCs w:val="18"/>
        </w:rPr>
        <w:t xml:space="preserve">HUMAN_RIGHTS_RAG: Sub-Saharan Africa has 60% of the world's uncultivated arable land, 30% of global mineral resources, 40% of global youth. These are assets — but only if governance, infrastructure, and education can activate them. Current education completion rates: 60% primary, 40% secondary, 8% tertiary. Investment needed to close the infrastructure gap: $100B/year (African Development Bank estimate; ASEAN_DATA_RAG comparative data).</w:t>
      </w:r>
    </w:p>
    <w:p>
      <w:pPr>
        <w:spacing w:after="40" w:before="60"/>
        <w:ind w:left="360"/>
      </w:pPr>
      <w:r>
        <w:rPr>
          <w:rFonts w:ascii="Arial" w:cs="Arial" w:eastAsia="Arial" w:hAnsi="Arial"/>
          <w:b/>
          <w:bCs/>
          <w:i w:val="false"/>
          <w:iCs w:val="false"/>
          <w:color w:val="1B3A6B"/>
          <w:sz w:val="18"/>
          <w:szCs w:val="18"/>
        </w:rPr>
        <w:t xml:space="preserve">ETHNOGRAPHIC  </w:t>
      </w:r>
      <w:r>
        <w:rPr>
          <w:rFonts w:ascii="Arial" w:cs="Arial" w:eastAsia="Arial" w:hAnsi="Arial"/>
          <w:b w:val="false"/>
          <w:bCs w:val="false"/>
          <w:i/>
          <w:iCs/>
          <w:color w:val="000000"/>
          <w:sz w:val="18"/>
          <w:szCs w:val="18"/>
        </w:rPr>
        <w:t xml:space="preserve">CNA_RAG (Singapore press on Africa): Southeast Asian observers document the Sahel populations that supported the coups not as people choosing military rule but as people whose civilian governments (French-backed ECOWAS partners) were visibly failing to deliver basic security against jihadist violence. The coup support is a democratic expression of dissatisfaction with the previous order — it is the political voice of populations the international system had written off.</w:t>
      </w:r>
    </w:p>
    <w:p>
      <w:pPr>
        <w:spacing w:after="40" w:before="60"/>
        <w:ind w:left="360"/>
      </w:pPr>
      <w:r>
        <w:rPr>
          <w:rFonts w:ascii="Arial" w:cs="Arial" w:eastAsia="Arial" w:hAnsi="Arial"/>
          <w:b/>
          <w:bCs/>
          <w:i w:val="false"/>
          <w:iCs w:val="false"/>
          <w:color w:val="1B3A6B"/>
          <w:sz w:val="18"/>
          <w:szCs w:val="18"/>
        </w:rPr>
        <w:t xml:space="preserve">SUPERFORECASTING  </w:t>
      </w:r>
      <w:r>
        <w:rPr>
          <w:rFonts w:ascii="Arial" w:cs="Arial" w:eastAsia="Arial" w:hAnsi="Arial"/>
          <w:b w:val="false"/>
          <w:bCs w:val="false"/>
          <w:i/>
          <w:iCs/>
          <w:color w:val="000000"/>
          <w:sz w:val="18"/>
          <w:szCs w:val="18"/>
        </w:rPr>
        <w:t xml:space="preserve"/>
      </w:r>
    </w:p>
    <w:p>
      <w:pPr>
        <w:spacing w:after="40" w:before="60"/>
        <w:ind w:left="360"/>
      </w:pPr>
      <w:r>
        <w:rPr>
          <w:rFonts w:ascii="Arial" w:cs="Arial" w:eastAsia="Arial" w:hAnsi="Arial"/>
          <w:b/>
          <w:bCs/>
          <w:i w:val="false"/>
          <w:iCs w:val="false"/>
          <w:color w:val="1B3A6B"/>
          <w:sz w:val="18"/>
          <w:szCs w:val="18"/>
        </w:rPr>
        <w:t xml:space="preserve">ADVERSARIAL COLLABORATION  </w:t>
      </w:r>
      <w:r>
        <w:rPr>
          <w:rFonts w:ascii="Arial" w:cs="Arial" w:eastAsia="Arial" w:hAnsi="Arial"/>
          <w:b w:val="false"/>
          <w:bCs w:val="false"/>
          <w:i/>
          <w:iCs/>
          <w:color w:val="000000"/>
          <w:sz w:val="18"/>
          <w:szCs w:val="18"/>
        </w:rPr>
        <w:t xml:space="preserve">Counter-thesis: 'Africa's youth bulge is a demographic dividend if properly managed.' Correct — but the 'if properly managed' clause requires governance capacity that currently does not exist at the required scale. The optimist scenario is real; the path to it requires decisions that no current African governance structure is positioned to make.</w:t>
      </w:r>
    </w:p>
    <w:p>
      <w:pPr>
        <w:shd w:fill="FFF3E0" w:val="clear"/>
        <w:spacing w:after="80" w:before="80"/>
        <w:ind w:left="180"/>
      </w:pPr>
      <w:r>
        <w:rPr>
          <w:rFonts w:ascii="Arial" w:cs="Arial" w:eastAsia="Arial" w:hAnsi="Arial"/>
          <w:b/>
          <w:bCs/>
          <w:i w:val="false"/>
          <w:iCs w:val="false"/>
          <w:color w:val="7D4E00"/>
          <w:sz w:val="18"/>
          <w:szCs w:val="18"/>
        </w:rPr>
        <w:t xml:space="preserve">Sahel developing functional governance within 20 years: </w:t>
      </w:r>
      <w:r>
        <w:rPr>
          <w:rFonts w:ascii="Arial" w:cs="Arial" w:eastAsia="Arial" w:hAnsi="Arial"/>
          <w:b w:val="false"/>
          <w:bCs w:val="false"/>
          <w:i w:val="false"/>
          <w:iCs w:val="false"/>
          <w:color w:val="000000"/>
          <w:sz w:val="18"/>
          <w:szCs w:val="18"/>
        </w:rPr>
        <w:t xml:space="preserve">P=0.25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Climate + agriculture failure producing mass migration events before 2040: </w:t>
      </w:r>
      <w:r>
        <w:rPr>
          <w:rFonts w:ascii="Arial" w:cs="Arial" w:eastAsia="Arial" w:hAnsi="Arial"/>
          <w:b w:val="false"/>
          <w:bCs w:val="false"/>
          <w:i w:val="false"/>
          <w:iCs w:val="false"/>
          <w:color w:val="000000"/>
          <w:sz w:val="18"/>
          <w:szCs w:val="18"/>
        </w:rPr>
        <w:t xml:space="preserve">P=0.50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Africa achieving demographic dividend (controlled E-integration): </w:t>
      </w:r>
      <w:r>
        <w:rPr>
          <w:rFonts w:ascii="Arial" w:cs="Arial" w:eastAsia="Arial" w:hAnsi="Arial"/>
          <w:b w:val="false"/>
          <w:bCs w:val="false"/>
          <w:i w:val="false"/>
          <w:iCs w:val="false"/>
          <w:color w:val="000000"/>
          <w:sz w:val="18"/>
          <w:szCs w:val="18"/>
        </w:rPr>
        <w:t xml:space="preserve">P=0.35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Sudan conflict resolution before 2030: </w:t>
      </w:r>
      <w:r>
        <w:rPr>
          <w:rFonts w:ascii="Arial" w:cs="Arial" w:eastAsia="Arial" w:hAnsi="Arial"/>
          <w:b w:val="false"/>
          <w:bCs w:val="false"/>
          <w:i w:val="false"/>
          <w:iCs w:val="false"/>
          <w:color w:val="000000"/>
          <w:sz w:val="18"/>
          <w:szCs w:val="18"/>
        </w:rPr>
        <w:t xml:space="preserve">P=0.25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7D4E00" w:sz="16"/>
              <w:bottom w:val="none" w:color="FFFFFF" w:sz="0"/>
              <w:right w:val="none" w:color="FFFFFF" w:sz="0"/>
            </w:tcBorders>
            <w:shd w:fill="FFF3E0"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E-overproduction of 500M+ African youth with inadequate employment, education, or political voice is the single largest Ω risk of the 21st century's second half — not the first half. Historical precedent (Rwanda 1994, Liberia 1990s, current Sudan) demonstrates that youth bulge + governance failure + ethnic/resource competition = mass-casualty conflict. European immigration politics through 2040–2060 will be entirely determined by whether Africa's demographic transition is managed or unmanaged.</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AFRICAN UNION: Build binding dispute resolution and collective security mechanisms that make coups politically and economically costly. The AU's current position — condemn coups rhetorically, then normalise them — is worse than either consistent enforcement or consistent acceptance.</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CONTINENTAL EDUCATION INVESTMENT: A 'Human Capital AfCFTA' — continental standards for secondary and tertiary education allowing human capital mobility within Africa, not just goods mobility. The infrastructure for this exists (AU, ECOWAS, EAC, SADC); the political will does not.</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AGRICULTURAL PRODUCTIVITY: Small-farmer seed access, micro-credit, market connectivity, and climate-adaptive varieties. This is the single highest-ROI per-dollar investment available — it employs the most people, with existing skills, and improves the food security that drives political stability.</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EXTERNAL POWERS: The China-Africa model (infrastructure for resources, no skills transfer) and the Western-Africa model (governance conditions that increase paperwork without improving governance) are both failing. Genuine technology transfer and manufacturing capability-building — not extractive investment — is the required external contribution.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AU 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Collective security with binding enforcement requires member states to surrender sovereignty over coup responses — exactly what the coup-executing governments will veto. Requires the non-coup majority to build enforcement capacity the coup-minority cannot veto.</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Requires constitutional AU reform</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External Financing</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$100B/year infrastructure investment needs to come from somewhere. The Global Gateway (EU), Lobito Corridor (US+EU), and BRI (China) are all present but competing rather than complementary. Coordination costs are real.</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20-year commitment</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Agricultural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Productivity-focused agriculture requires land tenure security — which challenges traditional communal land arrangements that underpin rural social cohesion in many African societies.</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10–20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Inaction cost</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Unmanaged African demographic transition produces 100–200M additional migrants by 2050, concentrated toward Europe and Middle East. This is the scenario that produces European far-right governments; the immigration crisis is cheaper to manage in Africa than in Europe.</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CATASTROPHIC</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2030–2060</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VII — GLOBAL SYSTEMIC RISKS</w:t>
      </w:r>
    </w:p>
    <w:p>
      <w:pPr>
        <w:spacing w:after="60" w:before="60"/>
      </w:pPr>
      <w:r>
        <w:rPr>
          <w:rFonts w:ascii="Arial" w:cs="Arial" w:eastAsia="Arial" w:hAnsi="Arial"/>
          <w:b w:val="false"/>
          <w:bCs w:val="false"/>
          <w:i w:val="false"/>
          <w:iCs w:val="false"/>
          <w:color w:val="000000"/>
          <w:sz w:val="20"/>
          <w:szCs w:val="20"/>
        </w:rPr>
        <w:t xml:space="preserve">The following risks are trans-territorial — they have no single country owner, require multi-lateral governance to address, and produce Ω effects that cascade across all territory-level variables simultaneously.</w:t>
      </w:r>
    </w:p>
    <w:p>
      <w:pPr>
        <w:spacing w:after="0" w:before="8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RISK 1 — AI GOVERNANCE VACUUM</w:t>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K↑↑ (K-Ω coupling) | Ω rising fastest of all variables | ξ↓ (three-provider concentration) | No equivalent of NPT, IAEA, or Basel III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The fastest technology capability growth in recorded history (EDGAR_RAG: $500B+ annual AI infrastructure investment) with the least governance infrastructure of any technology of comparable importance. Three corporate entities — AWS, Azure, Google Cloud — control 65% of the global compute substrate. Two semiconductor manufacturers (TSMC, Samsung) produce &gt;90% of advanced chips. Four foundation model organisations (OpenAI, Anthropic, Google DeepMind, Meta) produce the dominant AI systems. No international treaty governs this. No equivalent of the Nuclear Non-Proliferation Treaty. No equivalent of the IAEA inspections regime. No liability framework for AI-generated civilisational harms. The K-Ω coupling — the same technology driving unprecedented knowledge capital growth simultaneously driving the highest Ω increase — is the critical unmodelled dynamic in the Seldon framework.</w:t>
            </w:r>
          </w:p>
        </w:tc>
      </w:tr>
    </w:tbl>
    <w:p>
      <w:pPr>
        <w:shd w:fill="FFF3E0" w:val="clear"/>
        <w:spacing w:after="80" w:before="80"/>
        <w:ind w:left="180"/>
      </w:pPr>
      <w:r>
        <w:rPr>
          <w:rFonts w:ascii="Arial" w:cs="Arial" w:eastAsia="Arial" w:hAnsi="Arial"/>
          <w:b/>
          <w:bCs/>
          <w:i w:val="false"/>
          <w:iCs w:val="false"/>
          <w:color w:val="7D4E00"/>
          <w:sz w:val="18"/>
          <w:szCs w:val="18"/>
        </w:rPr>
        <w:t xml:space="preserve">Major AI-enabled harm of 2008-financial-crisis scale before 2035: </w:t>
      </w:r>
      <w:r>
        <w:rPr>
          <w:rFonts w:ascii="Arial" w:cs="Arial" w:eastAsia="Arial" w:hAnsi="Arial"/>
          <w:b w:val="false"/>
          <w:bCs w:val="false"/>
          <w:i w:val="false"/>
          <w:iCs w:val="false"/>
          <w:color w:val="000000"/>
          <w:sz w:val="18"/>
          <w:szCs w:val="18"/>
        </w:rPr>
        <w:t xml:space="preserve">P=0.35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That event triggering genuine governance reform: </w:t>
      </w:r>
      <w:r>
        <w:rPr>
          <w:rFonts w:ascii="Arial" w:cs="Arial" w:eastAsia="Arial" w:hAnsi="Arial"/>
          <w:b w:val="false"/>
          <w:bCs w:val="false"/>
          <w:i w:val="false"/>
          <w:iCs w:val="false"/>
          <w:color w:val="000000"/>
          <w:sz w:val="18"/>
          <w:szCs w:val="18"/>
        </w:rPr>
        <w:t xml:space="preserve">P=0.60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Reform achieved proactively before the event: </w:t>
      </w:r>
      <w:r>
        <w:rPr>
          <w:rFonts w:ascii="Arial" w:cs="Arial" w:eastAsia="Arial" w:hAnsi="Arial"/>
          <w:b w:val="false"/>
          <w:bCs w:val="false"/>
          <w:i w:val="false"/>
          <w:iCs w:val="false"/>
          <w:color w:val="000000"/>
          <w:sz w:val="18"/>
          <w:szCs w:val="18"/>
        </w:rPr>
        <w:t xml:space="preserve">P=0.15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Three-provider compute concentration broken by antitrust before 2035: </w:t>
      </w:r>
      <w:r>
        <w:rPr>
          <w:rFonts w:ascii="Arial" w:cs="Arial" w:eastAsia="Arial" w:hAnsi="Arial"/>
          <w:b w:val="false"/>
          <w:bCs w:val="false"/>
          <w:i w:val="false"/>
          <w:iCs w:val="false"/>
          <w:color w:val="000000"/>
          <w:sz w:val="18"/>
          <w:szCs w:val="18"/>
        </w:rPr>
        <w:t xml:space="preserve">P=0.22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MANDATORY COMPUTE DISCLOSURE: Every operator above a defined compute threshold (1×10²³ FLOP training runs) registers with an international oversight body. Low-cost, immediately implementable, gives governance enough visibility to act. Analogous to nuclear materials accounting under the IAEA.</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AI LIABILITY FRAMEWORK: AI-generated harm carries legal liability for developers and deployers. Current legal frameworks have no adequate AI liability doctrine — manufacturers enjoy effective immunity that no other high-risk industry receives.</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HYPERSCALE ANTITRUST: Structural separation between cloud compute and AI model development, or mandatory interoperability standards. The three-provider concentration of global compute is a single-point-of-failure Ω risk.</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INTERNATIONAL AI SAFETY TREATY: The UK AI Safety Institute model → binding international treaty body. The IAEA took 10 years to build after Hiroshima. AI does not have 10 years of runway at current capability growth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Industry</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Mandatory disclosure and liability frameworks slow deployment and increase compliance costs. Estimated $50–100B/year in additional AI industry compliance costs — roughly 10–20% of current annual AI capex.</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Geopolitical</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No single country wants to regulate AI unilaterally if competitors will not. Requires simultaneous US-China-EU agreement — currently blocked by the framing of AI as a national security competition where governance is treated as surrender.</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 diplomatic constraint</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Innovation</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Governance frameworks slow the 'move fast' culture. Some beneficial applications are delayed. This is a real cost that must be weighed against the P=0.35 probability of a 2008-scale AI harm event.</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5–10 years</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Inaction cost</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P=0.35 × (magnitude of 2008-equivalent AI harm event) = expected cost vastly exceeding governance compliance costs. The actuarial case for proactive governance is clear; the political economy case is not.</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CATASTROPHIC potential</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Before 2035</w:t>
            </w:r>
          </w:p>
        </w:tc>
      </w:tr>
    </w:tbl>
    <w:p>
      <w:pPr>
        <w:spacing w:after="0" w:before="12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RISK 2 — PLANETARY BOUNDARY BREACH</w:t>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Ω component: 6/9 planetary boundaries breached | Climate alone: P(&gt;2°C) = 0.65 by 2040 | Agricultural, water, biodiversity cascades in progress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FUTURES_RAG (WEF GRR 2025, Club of Rome, IPBES, Planetary Boundaries 2023): Six of nine planetary boundaries have been exceeded — climate change, biosphere integrity, land-system change, freshwater change, novel entities (synthetic chemicals, plastics, radioactive materials), and altered biogeochemical flows (nitrogen/phosphorus). Three remaining boundaries (ocean acidification, atmospheric aerosol loading, stratospheric ozone) are under pressure. These are not projections — they are current measurements of systems already operating outside the range in which human civilisation developed over the last 10,000 years.</w:t>
            </w:r>
          </w:p>
        </w:tc>
      </w:tr>
    </w:tbl>
    <w:p>
      <w:pPr>
        <w:shd w:fill="FFF3E0" w:val="clear"/>
        <w:spacing w:after="80" w:before="80"/>
        <w:ind w:left="180"/>
      </w:pPr>
      <w:r>
        <w:rPr>
          <w:rFonts w:ascii="Arial" w:cs="Arial" w:eastAsia="Arial" w:hAnsi="Arial"/>
          <w:b/>
          <w:bCs/>
          <w:i w:val="false"/>
          <w:iCs w:val="false"/>
          <w:color w:val="7D4E00"/>
          <w:sz w:val="18"/>
          <w:szCs w:val="18"/>
        </w:rPr>
        <w:t xml:space="preserve">&gt;2°C warming locked in before 2040: </w:t>
      </w:r>
      <w:r>
        <w:rPr>
          <w:rFonts w:ascii="Arial" w:cs="Arial" w:eastAsia="Arial" w:hAnsi="Arial"/>
          <w:b w:val="false"/>
          <w:bCs w:val="false"/>
          <w:i w:val="false"/>
          <w:iCs w:val="false"/>
          <w:color w:val="000000"/>
          <w:sz w:val="18"/>
          <w:szCs w:val="18"/>
        </w:rPr>
        <w:t xml:space="preserve">P=0.65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&gt;3°C locked in before 2060: </w:t>
      </w:r>
      <w:r>
        <w:rPr>
          <w:rFonts w:ascii="Arial" w:cs="Arial" w:eastAsia="Arial" w:hAnsi="Arial"/>
          <w:b w:val="false"/>
          <w:bCs w:val="false"/>
          <w:i w:val="false"/>
          <w:iCs w:val="false"/>
          <w:color w:val="000000"/>
          <w:sz w:val="18"/>
          <w:szCs w:val="18"/>
        </w:rPr>
        <w:t xml:space="preserve">P=0.40</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Tipping point cascade producing irreversible civilisational stress: </w:t>
      </w:r>
      <w:r>
        <w:rPr>
          <w:rFonts w:ascii="Arial" w:cs="Arial" w:eastAsia="Arial" w:hAnsi="Arial"/>
          <w:b w:val="false"/>
          <w:bCs w:val="false"/>
          <w:i w:val="false"/>
          <w:iCs w:val="false"/>
          <w:color w:val="000000"/>
          <w:sz w:val="18"/>
          <w:szCs w:val="18"/>
        </w:rPr>
        <w:t xml:space="preserve">P=0.25</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Full decarbonisation by 2050: </w:t>
      </w:r>
      <w:r>
        <w:rPr>
          <w:rFonts w:ascii="Arial" w:cs="Arial" w:eastAsia="Arial" w:hAnsi="Arial"/>
          <w:b w:val="false"/>
          <w:bCs w:val="false"/>
          <w:i w:val="false"/>
          <w:iCs w:val="false"/>
          <w:color w:val="000000"/>
          <w:sz w:val="18"/>
          <w:szCs w:val="18"/>
        </w:rPr>
        <w:t xml:space="preserve">P=0.18</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CARBON PRICE AT $150+/TONNE: Current global average: $5/tonne. This price differential allows fossil fuels to be competitive against clean alternatives. A $150 price restructures energy economics without requiring technology mandates.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FOSSIL FUEL SUBSIDY ELIMINATION: IMF estimates $7T/year in fossil fuel subsidies (including implicit subsidies). Eliminating these transforms investment patterns without requiring new spending.</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CARBON DIVIDEND TO CITIZENS: Return carbon revenue directly to all citizens (not to governments). This converts a cost story into a benefit story — the political economy solution to climate policy.</w:t>
            </w:r>
          </w:p>
          <w:p>
            <w:pPr>
              <w:spacing w:after="60" w:before="60"/>
              <w:ind w:left="360" w:hanging="240"/>
            </w:pPr>
            <w:r>
              <w:rPr>
                <w:rFonts w:ascii="Arial" w:cs="Arial" w:eastAsia="Arial" w:hAnsi="Arial"/>
                <w:b/>
                <w:bCs/>
                <w:i w:val="false"/>
                <w:iCs w:val="false"/>
                <w:color w:val="1B3A6B"/>
                <w:sz w:val="20"/>
                <w:szCs w:val="20"/>
              </w:rPr>
              <w:t xml:space="preserve">4. </w:t>
            </w:r>
            <w:r>
              <w:rPr>
                <w:rFonts w:ascii="Arial" w:cs="Arial" w:eastAsia="Arial" w:hAnsi="Arial"/>
                <w:b w:val="false"/>
                <w:bCs w:val="false"/>
                <w:i w:val="false"/>
                <w:iCs w:val="false"/>
                <w:color w:val="000000"/>
                <w:sz w:val="20"/>
                <w:szCs w:val="20"/>
              </w:rPr>
              <w:t xml:space="preserve">LOSS AND DAMAGE FINANCE: Countries that contributed least to emissions bear most climate stress. The loss and damage fund agreed at COP27/28 needs real, binding, annually disbursed funds — not voluntary pledges.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Political economy</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Fossil fuel industries are concentrated, politically organised, and will spend aggressively to prevent carbon pricing. This is the primary barrier — not technology, not cost, not public opinion.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VERY 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 lobby resistance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Economic (transition)</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Full decarbonisation requires ~$3–5T/year globally in clean energy investment (IEA estimate). This is ~3–4% of global GDP — affordable if mobilised; not happening spontaneously.</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25-year investment horizon</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Distributional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Carbon pricing is regressive without the dividend — poor households spend a higher % of income on energy. The dividend mechanism addresses this but requires political commitment to the redistribution.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 (with dividend)</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Immediate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Inaction cost</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P=0.65 of &gt;2°C warming × compounding agricultural, water, displacement, and conflict costs = $10–$30T in cumulative economic damage. The actuarial case for climate action dwarfs the cost of action.</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CATASTROPHIC</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2030–2100</w:t>
            </w:r>
          </w:p>
        </w:tc>
      </w:tr>
    </w:tbl>
    <w:p>
      <w:pPr>
        <w:spacing w:after="0" w:before="12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RISK 3 — NUCLEAR GOVERNANCE EROSION</w:t>
      </w:r>
    </w:p>
    <w:p>
      <w:pPr>
        <w:shd w:fill="E8EEF7" w:val="clear"/>
        <w:spacing w:after="100" w:before="60"/>
        <w:ind w:left="180" w:right="180"/>
      </w:pPr>
      <w:r>
        <w:rPr>
          <w:rFonts w:ascii="Arial" w:cs="Arial" w:eastAsia="Arial" w:hAnsi="Arial"/>
          <w:b/>
          <w:bCs/>
          <w:i w:val="false"/>
          <w:iCs w:val="false"/>
          <w:color w:val="1B3A6B"/>
          <w:sz w:val="18"/>
          <w:szCs w:val="18"/>
        </w:rPr>
        <w:t xml:space="preserve">SELDON DIAGNOSIS  </w:t>
      </w:r>
      <w:r>
        <w:rPr>
          <w:rFonts w:ascii="Arial" w:cs="Arial" w:eastAsia="Arial" w:hAnsi="Arial"/>
          <w:b w:val="false"/>
          <w:bCs w:val="false"/>
          <w:i/>
          <w:iCs/>
          <w:color w:val="1B3A6B"/>
          <w:sz w:val="18"/>
          <w:szCs w:val="18"/>
        </w:rPr>
        <w:t xml:space="preserve">Ω component: NPT framework eroding; 9 nuclear states all modernising simultaneously; doctrinal willingness to use tactical weapons documented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8B0000" w:sz="16"/>
              <w:bottom w:val="none" w:color="FFFFFF" w:sz="0"/>
              <w:right w:val="none" w:color="FFFFFF" w:sz="0"/>
            </w:tcBorders>
            <w:shd w:fill="FFF5F5" w:val="clear"/>
            <w:tcMar>
              <w:top w:type="dxa" w:w="80"/>
              <w:left w:type="dxa" w:w="160"/>
              <w:bottom w:type="dxa" w:w="80"/>
              <w:right w:type="dxa" w:w="80"/>
            </w:tcMar>
          </w:tcPr>
          <w:p>
            <w:pPr>
              <w:spacing w:after="60" w:before="60"/>
            </w:pPr>
            <w:r>
              <w:rPr>
                <w:rFonts w:ascii="Arial" w:cs="Arial" w:eastAsia="Arial" w:hAnsi="Arial"/>
                <w:b w:val="false"/>
                <w:bCs w:val="false"/>
                <w:i w:val="false"/>
                <w:iCs w:val="false"/>
                <w:color w:val="000000"/>
                <w:sz w:val="20"/>
                <w:szCs w:val="20"/>
              </w:rPr>
              <w:t xml:space="preserve">MILITARY_RAG (ODNI Threat Assessment 2024, SIPRI): The INF Treaty is dead. New START is suspended by Russia. Russia's military doctrine explicitly documents willingness to use tactical nuclear weapons in the Ukraine theatre. North Korea's ICBM capability has been validated. China's nuclear force is expanding faster than any prior Western intelligence projection. India and Pakistan are both modernising their arsenals. SIPRI documents that all nine nuclear states are simultaneously in nuclear modernisation programmes — a first in the post-Cold War period. AUKUS conventional submarine technology transfer is being read by China, North Korea, and Iran as a signal that the NPT framework is now selectively applied by its own architects.</w:t>
            </w:r>
          </w:p>
        </w:tc>
      </w:tr>
    </w:tbl>
    <w:p>
      <w:pPr>
        <w:shd w:fill="FFF3E0" w:val="clear"/>
        <w:spacing w:after="80" w:before="80"/>
        <w:ind w:left="180"/>
      </w:pPr>
      <w:r>
        <w:rPr>
          <w:rFonts w:ascii="Arial" w:cs="Arial" w:eastAsia="Arial" w:hAnsi="Arial"/>
          <w:b/>
          <w:bCs/>
          <w:i w:val="false"/>
          <w:iCs w:val="false"/>
          <w:color w:val="7D4E00"/>
          <w:sz w:val="18"/>
          <w:szCs w:val="18"/>
        </w:rPr>
        <w:t xml:space="preserve">Nuclear use in any theatre before 2040: </w:t>
      </w:r>
      <w:r>
        <w:rPr>
          <w:rFonts w:ascii="Arial" w:cs="Arial" w:eastAsia="Arial" w:hAnsi="Arial"/>
          <w:b w:val="false"/>
          <w:bCs w:val="false"/>
          <w:i w:val="false"/>
          <w:iCs w:val="false"/>
          <w:color w:val="000000"/>
          <w:sz w:val="18"/>
          <w:szCs w:val="18"/>
        </w:rPr>
        <w:t xml:space="preserve">P=0.12</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NPT effectively defunct before 2035: </w:t>
      </w:r>
      <w:r>
        <w:rPr>
          <w:rFonts w:ascii="Arial" w:cs="Arial" w:eastAsia="Arial" w:hAnsi="Arial"/>
          <w:b w:val="false"/>
          <w:bCs w:val="false"/>
          <w:i w:val="false"/>
          <w:iCs w:val="false"/>
          <w:color w:val="000000"/>
          <w:sz w:val="18"/>
          <w:szCs w:val="18"/>
        </w:rPr>
        <w:t xml:space="preserve">P=0.28</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New arms control framework achieved before 2030: </w:t>
      </w:r>
      <w:r>
        <w:rPr>
          <w:rFonts w:ascii="Arial" w:cs="Arial" w:eastAsia="Arial" w:hAnsi="Arial"/>
          <w:b w:val="false"/>
          <w:bCs w:val="false"/>
          <w:i w:val="false"/>
          <w:iCs w:val="false"/>
          <w:color w:val="000000"/>
          <w:sz w:val="18"/>
          <w:szCs w:val="18"/>
        </w:rPr>
        <w:t xml:space="preserve">P=0.18</w:t>
      </w:r>
      <w:r>
        <w:rPr>
          <w:rFonts w:ascii="Arial" w:cs="Arial" w:eastAsia="Arial" w:hAnsi="Arial"/>
          <w:b w:val="false"/>
          <w:bCs w:val="false"/>
          <w:i w:val="false"/>
          <w:iCs w:val="false"/>
          <w:color w:val="4A4A4A"/>
          <w:sz w:val="18"/>
          <w:szCs w:val="18"/>
        </w:rPr>
        <w:t xml:space="preserve">   |   </w:t>
      </w:r>
      <w:r>
        <w:rPr>
          <w:rFonts w:ascii="Arial" w:cs="Arial" w:eastAsia="Arial" w:hAnsi="Arial"/>
          <w:b/>
          <w:bCs/>
          <w:i w:val="false"/>
          <w:iCs w:val="false"/>
          <w:color w:val="7D4E00"/>
          <w:sz w:val="18"/>
          <w:szCs w:val="18"/>
        </w:rPr>
        <w:t xml:space="preserve">Nuclear proliferation to 3+ new states before 2040: </w:t>
      </w:r>
      <w:r>
        <w:rPr>
          <w:rFonts w:ascii="Arial" w:cs="Arial" w:eastAsia="Arial" w:hAnsi="Arial"/>
          <w:b w:val="false"/>
          <w:bCs w:val="false"/>
          <w:i w:val="false"/>
          <w:iCs w:val="false"/>
          <w:color w:val="000000"/>
          <w:sz w:val="18"/>
          <w:szCs w:val="18"/>
        </w:rPr>
        <w:t xml:space="preserve">P=0.25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tcBorders>
              <w:top w:val="none" w:color="FFFFFF" w:sz="0"/>
              <w:left w:val="thick" w:color="1B5E20" w:sz="16"/>
              <w:bottom w:val="none" w:color="FFFFFF" w:sz="0"/>
              <w:right w:val="none" w:color="FFFFFF" w:sz="0"/>
            </w:tcBorders>
            <w:shd w:fill="E8F5E9" w:val="clear"/>
            <w:tcMar>
              <w:top w:type="dxa" w:w="80"/>
              <w:left w:type="dxa" w:w="160"/>
              <w:bottom w:type="dxa" w:w="80"/>
              <w:right w:type="dxa" w:w="80"/>
            </w:tcMar>
          </w:tcPr>
          <w:p>
            <w:pPr>
              <w:spacing w:after="60" w:before="60"/>
              <w:ind w:left="360" w:hanging="240"/>
            </w:pPr>
            <w:r>
              <w:rPr>
                <w:rFonts w:ascii="Arial" w:cs="Arial" w:eastAsia="Arial" w:hAnsi="Arial"/>
                <w:b/>
                <w:bCs/>
                <w:i w:val="false"/>
                <w:iCs w:val="false"/>
                <w:color w:val="1B3A6B"/>
                <w:sz w:val="20"/>
                <w:szCs w:val="20"/>
              </w:rPr>
              <w:t xml:space="preserve">1. </w:t>
            </w:r>
            <w:r>
              <w:rPr>
                <w:rFonts w:ascii="Arial" w:cs="Arial" w:eastAsia="Arial" w:hAnsi="Arial"/>
                <w:b w:val="false"/>
                <w:bCs w:val="false"/>
                <w:i w:val="false"/>
                <w:iCs w:val="false"/>
                <w:color w:val="000000"/>
                <w:sz w:val="20"/>
                <w:szCs w:val="20"/>
              </w:rPr>
              <w:t xml:space="preserve">US-CHINA NUCLEAR DIALOGUE: Direct military-to-military nuclear risk reduction dialogue, analogous to the US-USSR hotline and Incidents at Sea Agreement. This does not require arms reduction — it requires communication protocols that reduce the risk of miscalculation in a crisis.</w:t>
            </w:r>
          </w:p>
          <w:p>
            <w:pPr>
              <w:spacing w:after="60" w:before="60"/>
              <w:ind w:left="360" w:hanging="240"/>
            </w:pPr>
            <w:r>
              <w:rPr>
                <w:rFonts w:ascii="Arial" w:cs="Arial" w:eastAsia="Arial" w:hAnsi="Arial"/>
                <w:b/>
                <w:bCs/>
                <w:i w:val="false"/>
                <w:iCs w:val="false"/>
                <w:color w:val="1B3A6B"/>
                <w:sz w:val="20"/>
                <w:szCs w:val="20"/>
              </w:rPr>
              <w:t xml:space="preserve">2. </w:t>
            </w:r>
            <w:r>
              <w:rPr>
                <w:rFonts w:ascii="Arial" w:cs="Arial" w:eastAsia="Arial" w:hAnsi="Arial"/>
                <w:b w:val="false"/>
                <w:bCs w:val="false"/>
                <w:i w:val="false"/>
                <w:iCs w:val="false"/>
                <w:color w:val="000000"/>
                <w:sz w:val="20"/>
                <w:szCs w:val="20"/>
              </w:rPr>
              <w:t xml:space="preserve">TACTICAL NUCLEAR DOCTRINE REFORM: International norm against first-use of tactical nuclear weapons — similar to the Chemical Weapons Convention framework. Russia's doctrinal willingness to use tactical weapons makes this urgent.</w:t>
            </w:r>
          </w:p>
          <w:p>
            <w:pPr>
              <w:spacing w:after="60" w:before="60"/>
              <w:ind w:left="360" w:hanging="240"/>
            </w:pPr>
            <w:r>
              <w:rPr>
                <w:rFonts w:ascii="Arial" w:cs="Arial" w:eastAsia="Arial" w:hAnsi="Arial"/>
                <w:b/>
                <w:bCs/>
                <w:i w:val="false"/>
                <w:iCs w:val="false"/>
                <w:color w:val="1B3A6B"/>
                <w:sz w:val="20"/>
                <w:szCs w:val="20"/>
              </w:rPr>
              <w:t xml:space="preserve">3. </w:t>
            </w:r>
            <w:r>
              <w:rPr>
                <w:rFonts w:ascii="Arial" w:cs="Arial" w:eastAsia="Arial" w:hAnsi="Arial"/>
                <w:b w:val="false"/>
                <w:bCs w:val="false"/>
                <w:i w:val="false"/>
                <w:iCs w:val="false"/>
                <w:color w:val="000000"/>
                <w:sz w:val="20"/>
                <w:szCs w:val="20"/>
              </w:rPr>
              <w:t xml:space="preserve">DPRK CONTAINMENT FRAMEWORK: The trilateral China-ROK-US contingency framework described in the East Asia section is the only available path to managing the most acute near-term nuclear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gridCol w:w="1560"/>
      </w:tblGrid>
      <w:tr>
        <w:trPr>
          <w:tblHeader/>
        </w:trPr>
        <w:tc>
          <w:tcPr>
            <w:tcW w:type="dxa" w:w="24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DIMENSION</w:t>
            </w:r>
          </w:p>
        </w:tc>
        <w:tc>
          <w:tcPr>
            <w:tcW w:type="dxa" w:w="4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SACRIFICE REQUIRED</w:t>
            </w:r>
          </w:p>
        </w:tc>
        <w:tc>
          <w:tcPr>
            <w:tcW w:type="dxa" w:w="120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MAGNITUDE</w:t>
            </w:r>
          </w:p>
        </w:tc>
        <w:tc>
          <w:tcPr>
            <w:tcW w:type="dxa" w:w="1560"/>
            <w:shd w:fill="1B3A6B" w:val="clear"/>
            <w:tcMar>
              <w:top w:type="dxa" w:w="60"/>
              <w:left w:type="dxa" w:w="100"/>
              <w:bottom w:type="dxa" w:w="60"/>
              <w:right w:type="dxa" w:w="60"/>
            </w:tcMar>
          </w:tcPr>
          <w:p>
            <w:r>
              <w:rPr>
                <w:rFonts w:ascii="Arial" w:cs="Arial" w:eastAsia="Arial" w:hAnsi="Arial"/>
                <w:b/>
                <w:bCs/>
                <w:i w:val="false"/>
                <w:iCs w:val="false"/>
                <w:color w:val="FFFFFF"/>
                <w:sz w:val="18"/>
                <w:szCs w:val="18"/>
              </w:rPr>
              <w:t xml:space="preserve">TIMELINE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US Political</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Nuclear dialogue with China requires treating China as a strategic peer in the nuclear domain — politically read as concession. Tactical nuclear norm reform requires accepting constraints on US tactical nuclear options in European theatre.</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HIGH</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Domestic political resistance</w:t>
            </w:r>
          </w:p>
        </w:tc>
      </w:tr>
      <w:tr>
        <w:tc>
          <w:tcPr>
            <w:tcW w:type="dxa" w:w="24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Strategic</w:t>
            </w:r>
          </w:p>
        </w:tc>
        <w:tc>
          <w:tcPr>
            <w:tcW w:type="dxa" w:w="4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Arms control constrains the US nuclear modernisation programme that the defense industrial base is organised around ($2T, 30-year US nuclear modernisation commitment).</w:t>
            </w:r>
          </w:p>
        </w:tc>
        <w:tc>
          <w:tcPr>
            <w:tcW w:type="dxa" w:w="120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MEDIUM-HIGH</w:t>
            </w:r>
          </w:p>
        </w:tc>
        <w:tc>
          <w:tcPr>
            <w:tcW w:type="dxa" w:w="1560"/>
            <w:shd w:fill="FFFFFF"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30-year programme</w:t>
            </w:r>
          </w:p>
        </w:tc>
      </w:tr>
      <w:tr>
        <w:tc>
          <w:tcPr>
            <w:tcW w:type="dxa" w:w="24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Inaction cost</w:t>
            </w:r>
          </w:p>
        </w:tc>
        <w:tc>
          <w:tcPr>
            <w:tcW w:type="dxa" w:w="4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P=0.12 nuclear use × catastrophic civilisational damage = among the highest expected-harm calculations in this entire report. The cost of inaction on nuclear governance dwarfs the political cost of action.</w:t>
            </w:r>
          </w:p>
        </w:tc>
        <w:tc>
          <w:tcPr>
            <w:tcW w:type="dxa" w:w="120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EXISTENTIAL</w:t>
            </w:r>
          </w:p>
        </w:tc>
        <w:tc>
          <w:tcPr>
            <w:tcW w:type="dxa" w:w="1560"/>
            <w:shd w:fill="E8EEF7" w:val="clear"/>
            <w:tcMar>
              <w:top w:type="dxa" w:w="60"/>
              <w:left w:type="dxa" w:w="100"/>
              <w:bottom w:type="dxa" w:w="60"/>
              <w:right w:type="dxa" w:w="60"/>
            </w:tcMar>
          </w:tcPr>
          <w:p>
            <w:r>
              <w:rPr>
                <w:rFonts w:ascii="Arial" w:cs="Arial" w:eastAsia="Arial" w:hAnsi="Arial"/>
                <w:b w:val="false"/>
                <w:bCs w:val="false"/>
                <w:i w:val="false"/>
                <w:iCs w:val="false"/>
                <w:color w:val="000000"/>
                <w:sz w:val="18"/>
                <w:szCs w:val="18"/>
              </w:rPr>
              <w:t xml:space="preserve">Rising</w:t>
            </w:r>
          </w:p>
        </w:tc>
      </w:tr>
    </w:tbl>
    <w:p>
      <w:r>
        <w:br w:type="page"/>
      </w:r>
    </w:p>
    <w:p>
      <w:pPr>
        <w:pBdr>
          <w:bottom w:val="thick" w:color="1B3A6B" w:sz="16"/>
        </w:pBdr>
        <w:spacing w:after="60" w:before="360"/>
      </w:pPr>
      <w:r>
        <w:rPr>
          <w:rFonts w:ascii="Arial" w:cs="Arial" w:eastAsia="Arial" w:hAnsi="Arial"/>
          <w:b/>
          <w:bCs/>
          <w:i w:val="false"/>
          <w:iCs w:val="false"/>
          <w:color w:val="1B3A6B"/>
          <w:sz w:val="32"/>
          <w:szCs w:val="32"/>
        </w:rPr>
        <w:t xml:space="preserve">PART VIII — CROSS-CUTTING SOLUTIONS AND THE SELDON CONDITIONS</w:t>
      </w:r>
    </w:p>
    <w:p>
      <w:pPr>
        <w:spacing w:after="60" w:before="60"/>
      </w:pPr>
      <w:r>
        <w:rPr>
          <w:rFonts w:ascii="Arial" w:cs="Arial" w:eastAsia="Arial" w:hAnsi="Arial"/>
          <w:b w:val="false"/>
          <w:bCs w:val="false"/>
          <w:i w:val="false"/>
          <w:iCs w:val="false"/>
          <w:color w:val="000000"/>
          <w:sz w:val="20"/>
          <w:szCs w:val="20"/>
        </w:rPr>
        <w:t xml:space="preserve">Five prescriptions emerge across all territories that no single country can implement alone but every country is needed to achieve. These map directly to the five Seldon Conditions for civilisational persistence.</w:t>
      </w:r>
    </w:p>
    <w:p>
      <w:pPr>
        <w:spacing w:after="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800"/>
        <w:gridCol w:w="1760"/>
      </w:tblGrid>
      <w:tr>
        <w:trPr>
          <w:tblHeader/>
        </w:trPr>
        <w:tc>
          <w:tcPr>
            <w:tcW w:type="dxa" w:w="14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SELDON CONDITION</w:t>
            </w:r>
          </w:p>
        </w:tc>
        <w:tc>
          <w:tcPr>
            <w:tcW w:type="dxa" w:w="20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REQUIREMENT</w:t>
            </w:r>
          </w:p>
        </w:tc>
        <w:tc>
          <w:tcPr>
            <w:tcW w:type="dxa" w:w="24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CURRENT STATUS</w:t>
            </w:r>
          </w:p>
        </w:tc>
        <w:tc>
          <w:tcPr>
            <w:tcW w:type="dxa" w:w="180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IMPLEMENTATION</w:t>
            </w:r>
          </w:p>
        </w:tc>
        <w:tc>
          <w:tcPr>
            <w:tcW w:type="dxa" w:w="1760"/>
            <w:shd w:fill="1B3A6B" w:val="clear"/>
            <w:tcMar>
              <w:top w:type="dxa" w:w="80"/>
              <w:left w:type="dxa" w:w="100"/>
              <w:bottom w:type="dxa" w:w="80"/>
              <w:right w:type="dxa" w:w="60"/>
            </w:tcMar>
          </w:tcPr>
          <w:p>
            <w:r>
              <w:rPr>
                <w:rFonts w:ascii="Arial" w:cs="Arial" w:eastAsia="Arial" w:hAnsi="Arial"/>
                <w:b/>
                <w:bCs/>
                <w:i w:val="false"/>
                <w:iCs w:val="false"/>
                <w:color w:val="FFFFFF"/>
                <w:sz w:val="18"/>
                <w:szCs w:val="18"/>
              </w:rPr>
              <w:t xml:space="preserve">COST TIER</w:t>
            </w:r>
          </w:p>
        </w:tc>
      </w:tr>
      <w:tr>
        <w:tc>
          <w:tcPr>
            <w:tcW w:type="dxa" w:w="1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S1 — Living Library</w:t>
            </w:r>
          </w:p>
        </w:tc>
        <w:tc>
          <w:tcPr>
            <w:tcW w:type="dxa" w:w="20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K grows continuously; knowledge substrate distributed and resilient</w:t>
            </w:r>
          </w:p>
        </w:tc>
        <w:tc>
          <w:tcPr>
            <w:tcW w:type="dxa" w:w="2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PARTIALLY MET: AI driving K at historic rate, but compute concentrated in 3 providers. K-Ω coupling unresolved.</w:t>
            </w:r>
          </w:p>
        </w:tc>
        <w:tc>
          <w:tcPr>
            <w:tcW w:type="dxa" w:w="18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Mandatory compute disclosure; open-protocol AI infrastructure; India DPI model globally</w:t>
            </w:r>
          </w:p>
        </w:tc>
        <w:tc>
          <w:tcPr>
            <w:tcW w:type="dxa" w:w="176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HIGH — $100B+/yr</w:t>
            </w:r>
          </w:p>
        </w:tc>
      </w:tr>
      <w:tr>
        <w:tc>
          <w:tcPr>
            <w:tcW w:type="dxa" w:w="14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S2 — Constitutional Floor</w:t>
            </w:r>
          </w:p>
        </w:tc>
        <w:tc>
          <w:tcPr>
            <w:tcW w:type="dxa" w:w="20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I ≥ 0.40 globally; independent judiciary, press, monetary authority protected</w:t>
            </w:r>
          </w:p>
        </w:tc>
        <w:tc>
          <w:tcPr>
            <w:tcW w:type="dxa" w:w="24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STRESSED: Russia I≈0.30 (below I_min); China I≈0.38 (approaching); US I≈0.45 (marginal). RSF: 162/180 declining.</w:t>
            </w:r>
          </w:p>
        </w:tc>
        <w:tc>
          <w:tcPr>
            <w:tcW w:type="dxa" w:w="18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Press freedom structural support; judicial independence constitutional entrenchment; monetary authority legal protection</w:t>
            </w:r>
          </w:p>
        </w:tc>
        <w:tc>
          <w:tcPr>
            <w:tcW w:type="dxa" w:w="176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MEDIUM — political will, not money</w:t>
            </w:r>
          </w:p>
        </w:tc>
      </w:tr>
      <w:tr>
        <w:tc>
          <w:tcPr>
            <w:tcW w:type="dxa" w:w="1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S3 — Ark Protocol</w:t>
            </w:r>
          </w:p>
        </w:tc>
        <w:tc>
          <w:tcPr>
            <w:tcW w:type="dxa" w:w="20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Off-world knowledge and population substrate; distributed civilisational backup</w:t>
            </w:r>
          </w:p>
        </w:tc>
        <w:tc>
          <w:tcPr>
            <w:tcW w:type="dxa" w:w="2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PROTO-MET: SpaceX/Starship capability emerging, but single private entity, US jurisdiction. Not a civilisational backup.</w:t>
            </w:r>
          </w:p>
        </w:tc>
        <w:tc>
          <w:tcPr>
            <w:tcW w:type="dxa" w:w="18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International space treaty requiring distributed archival and habitat capability across minimum 3 independent entities</w:t>
            </w:r>
          </w:p>
        </w:tc>
        <w:tc>
          <w:tcPr>
            <w:tcW w:type="dxa" w:w="176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HIGH — $50B+/yr, 20-year horizon</w:t>
            </w:r>
          </w:p>
        </w:tc>
      </w:tr>
      <w:tr>
        <w:tc>
          <w:tcPr>
            <w:tcW w:type="dxa" w:w="14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S4 — Mule Register</w:t>
            </w:r>
          </w:p>
        </w:tc>
        <w:tc>
          <w:tcPr>
            <w:tcW w:type="dxa" w:w="20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Constitutional-level black-swan catalogue with executive force and mandatory response protocols</w:t>
            </w:r>
          </w:p>
        </w:tc>
        <w:tc>
          <w:tcPr>
            <w:tcW w:type="dxa" w:w="24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NOT MET: Proto-implementations exist (WEF GRR, ODNI ATA, CivilisationOS) but have no executive authority.</w:t>
            </w:r>
          </w:p>
        </w:tc>
        <w:tc>
          <w:tcPr>
            <w:tcW w:type="dxa" w:w="180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Treaty-based international risk registry with mandatory national response protocols; annual review at UNSC level</w:t>
            </w:r>
          </w:p>
        </w:tc>
        <w:tc>
          <w:tcPr>
            <w:tcW w:type="dxa" w:w="1760"/>
            <w:shd w:fill="FFFFFF"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LOW cost, HIGH political will</w:t>
            </w:r>
          </w:p>
        </w:tc>
      </w:tr>
      <w:tr>
        <w:tc>
          <w:tcPr>
            <w:tcW w:type="dxa" w:w="1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S5 — Gaia Mandate</w:t>
            </w:r>
          </w:p>
        </w:tc>
        <w:tc>
          <w:tcPr>
            <w:tcW w:type="dxa" w:w="20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ξ trending upward; power distribution increasing; no single entity controls critical systems</w:t>
            </w:r>
          </w:p>
        </w:tc>
        <w:tc>
          <w:tcPr>
            <w:tcW w:type="dxa" w:w="24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NOT MET: ξ declining across all territories. AI concentration, cloud concentration, governance centralisation all rising.</w:t>
            </w:r>
          </w:p>
        </w:tc>
        <w:tc>
          <w:tcPr>
            <w:tcW w:type="dxa" w:w="180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Open-protocol infrastructure mandates; antitrust enforcement on hyperscale platforms; India DPI as global model</w:t>
            </w:r>
          </w:p>
        </w:tc>
        <w:tc>
          <w:tcPr>
            <w:tcW w:type="dxa" w:w="1760"/>
            <w:shd w:fill="E8EEF7" w:val="clear"/>
            <w:tcMar>
              <w:top w:type="dxa" w:w="80"/>
              <w:left w:type="dxa" w:w="100"/>
              <w:bottom w:type="dxa" w:w="80"/>
              <w:right w:type="dxa" w:w="60"/>
            </w:tcMar>
          </w:tcPr>
          <w:p>
            <w:r>
              <w:rPr>
                <w:rFonts w:ascii="Arial" w:cs="Arial" w:eastAsia="Arial" w:hAnsi="Arial"/>
                <w:b w:val="false"/>
                <w:bCs w:val="false"/>
                <w:i w:val="false"/>
                <w:iCs w:val="false"/>
                <w:color w:val="000000"/>
                <w:sz w:val="18"/>
                <w:szCs w:val="18"/>
              </w:rPr>
              <w:t xml:space="preserve">HIGH — requires antitrust enforcement against powerful entities</w:t>
            </w:r>
          </w:p>
        </w:tc>
      </w:tr>
    </w:tbl>
    <w:p>
      <w:pPr>
        <w:spacing w:after="0" w:before="120"/>
      </w:pPr>
      <w:r>
        <w:rPr>
          <w:rFonts w:ascii="Arial" w:cs="Arial" w:eastAsia="Arial" w:hAnsi="Arial"/>
          <w:b w:val="false"/>
          <w:bCs w:val="false"/>
          <w:i w:val="false"/>
          <w:iCs w:val="false"/>
          <w:color w:val="000000"/>
          <w:sz w:val="20"/>
          <w:szCs w:val="20"/>
        </w:rPr>
        <w:t xml:space="preserve"/>
      </w:r>
    </w:p>
    <w:p>
      <w:pPr>
        <w:pBdr>
          <w:left w:val="thick" w:color="1B3A6B" w:sz="12"/>
        </w:pBdr>
        <w:spacing w:after="160" w:before="160"/>
        <w:ind w:left="720" w:right="720"/>
      </w:pPr>
      <w:r>
        <w:rPr>
          <w:rFonts w:ascii="Arial" w:cs="Arial" w:eastAsia="Arial" w:hAnsi="Arial"/>
          <w:b w:val="false"/>
          <w:bCs w:val="false"/>
          <w:i/>
          <w:iCs/>
          <w:color w:val="1B3A6B"/>
          <w:sz w:val="20"/>
          <w:szCs w:val="20"/>
        </w:rPr>
        <w:t xml:space="preserve">"The mathematics does not care about our political constraints. The denominator rises regardless of whether we find the political coalition to address it. The question is not whether to pay the cost of correction — it is whether we pay it now in managed reform or later in civilisational crisis."</w:t>
      </w:r>
    </w:p>
    <w:p>
      <w:pPr>
        <w:spacing w:after="0" w:before="120"/>
      </w:pPr>
      <w:r>
        <w:rPr>
          <w:rFonts w:ascii="Arial" w:cs="Arial" w:eastAsia="Arial" w:hAnsi="Arial"/>
          <w:b w:val="false"/>
          <w:bCs w:val="false"/>
          <w:i w:val="false"/>
          <w:iCs w:val="false"/>
          <w:color w:val="000000"/>
          <w:sz w:val="20"/>
          <w:szCs w:val="20"/>
        </w:rPr>
        <w:t xml:space="preserve"/>
      </w:r>
    </w:p>
    <w:p>
      <w:pPr>
        <w:pBdr>
          <w:bottom w:val="single" w:color="1B3A6B" w:sz="8"/>
        </w:pBdr>
        <w:spacing w:after="40" w:before="240"/>
      </w:pPr>
      <w:r>
        <w:rPr>
          <w:rFonts w:ascii="Arial" w:cs="Arial" w:eastAsia="Arial" w:hAnsi="Arial"/>
          <w:b/>
          <w:bCs/>
          <w:i w:val="false"/>
          <w:iCs w:val="false"/>
          <w:color w:val="1B3A6B"/>
          <w:sz w:val="28"/>
          <w:szCs w:val="28"/>
        </w:rPr>
        <w:t xml:space="preserve">THE COST ARCHITECTURE — WHAT ALL SOLUTIONS SHARE</w:t>
      </w:r>
    </w:p>
    <w:p>
      <w:pPr>
        <w:spacing w:after="60" w:before="60"/>
      </w:pPr>
      <w:r>
        <w:rPr>
          <w:rFonts w:ascii="Arial" w:cs="Arial" w:eastAsia="Arial" w:hAnsi="Arial"/>
          <w:b w:val="false"/>
          <w:bCs w:val="false"/>
          <w:i w:val="false"/>
          <w:iCs w:val="false"/>
          <w:color w:val="000000"/>
          <w:sz w:val="20"/>
          <w:szCs w:val="20"/>
        </w:rPr>
        <w:t xml:space="preserve">Every solution in this report shares the same political economy structure: the costs are concentrated, immediate, and visible to identifiable political constituencies. The benefits are diffuse, delayed, and accrued by populations not yet born or not yet voting. This is not an accident — it is the structural reason why civilisations fail to solve problems they can clearly identify. The Seldon framework's contribution is to make the expected cost of inaction — Phi declining further below Phi_crit — legible alongside the cost of action.</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solutions are ranked below by their cost-benefit ratio, from highest-ROI to lowest:</w:t>
      </w:r>
    </w:p>
    <w:p>
      <w:pPr>
        <w:spacing w:after="0" w:before="60"/>
      </w:pPr>
      <w:r>
        <w:rPr>
          <w:rFonts w:ascii="Arial" w:cs="Arial" w:eastAsia="Arial" w:hAnsi="Arial"/>
          <w:b w:val="false"/>
          <w:bCs w:val="false"/>
          <w:i w:val="false"/>
          <w:iCs w:val="false"/>
          <w:color w:val="000000"/>
          <w:sz w:val="20"/>
          <w:szCs w:val="20"/>
        </w:rPr>
        <w:t xml:space="preserve"/>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HIGHEST ROI (low cost, high benefit): Mandatory compute disclosure. South China Sea code of conduct. US-China nuclear risk reduction dialogue. AU coup-enforcement mechanism. Carbon dividend mechanism.</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MEDIUM ROI (medium cost, high benefit): Carbon pricing at $150+/tonne. EU rule-of-law enforcement. India water management regulation. Korea housing land value tax.</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NECESSARY BUT HIGH COST: Japan immigration reform. US fiscal compact. China property market clearing. EU fiscal union. African continental education investment.</w:t>
      </w:r>
    </w:p>
    <w:p>
      <w:pPr>
        <w:spacing w:after="40" w:before="40"/>
        <w:ind w:left="360"/>
      </w:pPr>
      <w:r>
        <w:rPr>
          <w:rFonts w:ascii="Arial" w:cs="Arial" w:eastAsia="Arial" w:hAnsi="Arial"/>
          <w:b w:val="false"/>
          <w:bCs w:val="false"/>
          <w:i w:val="false"/>
          <w:iCs w:val="false"/>
          <w:color w:val="1B3A6B"/>
          <w:sz w:val="20"/>
          <w:szCs w:val="20"/>
        </w:rPr>
        <w:t xml:space="preserve">• </w:t>
      </w:r>
      <w:r>
        <w:rPr>
          <w:rFonts w:ascii="Arial" w:cs="Arial" w:eastAsia="Arial" w:hAnsi="Arial"/>
          <w:b w:val="false"/>
          <w:bCs w:val="false"/>
          <w:i w:val="false"/>
          <w:iCs w:val="false"/>
          <w:color w:val="000000"/>
          <w:sz w:val="20"/>
          <w:szCs w:val="20"/>
        </w:rPr>
        <w:t xml:space="preserve">TRANSFORMATIONAL AND GENERATIONAL (highest cost, longest timeline, largest benefit): Full decarbonisation. Two-state resolution in Israel/Palestine. North Korea contingency framework. AI liability and antitrust framework.</w:t>
      </w:r>
    </w:p>
    <w:p>
      <w:pPr>
        <w:spacing w:after="0" w:before="120"/>
      </w:pPr>
      <w:r>
        <w:rPr>
          <w:rFonts w:ascii="Arial" w:cs="Arial" w:eastAsia="Arial" w:hAnsi="Arial"/>
          <w:b w:val="false"/>
          <w:bCs w:val="false"/>
          <w:i w:val="false"/>
          <w:iCs w:val="false"/>
          <w:color w:val="000000"/>
          <w:sz w:val="20"/>
          <w:szCs w:val="20"/>
        </w:rPr>
        <w:t xml:space="preserve"/>
      </w:r>
    </w:p>
    <w:p>
      <w:r>
        <w:br w:type="page"/>
      </w:r>
    </w:p>
    <w:p>
      <w:pPr>
        <w:pBdr>
          <w:bottom w:val="single" w:color="1B3A6B" w:sz="8"/>
        </w:pBdr>
        <w:spacing w:after="40" w:before="240"/>
      </w:pPr>
      <w:r>
        <w:rPr>
          <w:rFonts w:ascii="Arial" w:cs="Arial" w:eastAsia="Arial" w:hAnsi="Arial"/>
          <w:b/>
          <w:bCs/>
          <w:i w:val="false"/>
          <w:iCs w:val="false"/>
          <w:color w:val="1B3A6B"/>
          <w:sz w:val="28"/>
          <w:szCs w:val="28"/>
        </w:rPr>
        <w:t xml:space="preserve">CONCLUSION — THE DENOMINATOR IS THE DECISION</w:t>
      </w:r>
    </w:p>
    <w:p>
      <w:pPr>
        <w:spacing w:after="0" w:before="8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Phi(C,2026) ≈ 0.31. The civilisation is not in free-fall. It is in the collapse attractor basin — a condition where the trajectory is toward the attractor, not away from it, but the attractor has not yet been reached. This is the moment of maximum leverage and minimum political will.</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numerator of the Master Equation has genuine achievements: K is growing at an unprecedented rate; India's DPI is a real democratisation of that growth; East Asian institutions (South Korea's Constitutional Court, Japan's BOJ, Singapore's governance) demonstrate that I ≈ 0.60–0.80 is achievable in diverse political cultures; the 80-year post-WWII institutional architecture, however strained, produced the longest great-power peace in recorded history.</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denominator has genuine threats: Omega is rising monotonically across four simultaneous risk vectors (climate, AI, nuclear, biological); E-overproduction is structurally embedded across every major economy; the compound Omega × E term is growing faster than any numerator variable can compensate.</w:t>
      </w:r>
    </w:p>
    <w:p>
      <w:pPr>
        <w:spacing w:after="0" w:before="60"/>
      </w:pPr>
      <w:r>
        <w:rPr>
          <w:rFonts w:ascii="Arial" w:cs="Arial" w:eastAsia="Arial" w:hAnsi="Arial"/>
          <w:b w:val="false"/>
          <w:bCs w:val="false"/>
          <w:i w:val="false"/>
          <w:iCs w:val="false"/>
          <w:color w:val="000000"/>
          <w:sz w:val="20"/>
          <w:szCs w:val="20"/>
        </w:rPr>
        <w:t xml:space="preserve"/>
      </w:r>
    </w:p>
    <w:p>
      <w:pPr>
        <w:pBdr>
          <w:left w:val="thick" w:color="1B3A6B" w:sz="12"/>
        </w:pBdr>
        <w:spacing w:after="160" w:before="160"/>
        <w:ind w:left="720" w:right="720"/>
      </w:pPr>
      <w:r>
        <w:rPr>
          <w:rFonts w:ascii="Arial" w:cs="Arial" w:eastAsia="Arial" w:hAnsi="Arial"/>
          <w:b w:val="false"/>
          <w:bCs w:val="false"/>
          <w:i/>
          <w:iCs/>
          <w:color w:val="1B3A6B"/>
          <w:sz w:val="20"/>
          <w:szCs w:val="20"/>
        </w:rPr>
        <w:t xml:space="preserve">"Every leader on this list knows their country's problem. Every bureaucracy has a plan. Every international body has a resolution. The failure is not diagnostic — the failure is the political economy of paying the cost of correction before the cost of crisis."</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This report has attempted to name that cost clearly, by territory, by dimension, by timeline. The sacrifice required from Japanese leaders (immigration), from Chinese leaders (property clearing and information opening), from American leaders (fiscal compact and campaign finance), from European leaders (fiscal union and rule-of-law enforcement), from African leaders (AU binding security) — these are real, and they are large, and they will not be politically comfortable.</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But the Muqaddimah's observation — the one this corpus confirms across 56 RAGs, 1.73M chunks, and 14 operational intelligence sources simultaneously — is that civilisations that fail to make managed adjustments eventually make forced ones. The question the psychohistory framework asks is not whether adjustment will occur. It is whether the adjustment is chosen or imposed.</w:t>
      </w:r>
    </w:p>
    <w:p>
      <w:pPr>
        <w:spacing w:after="0" w:before="60"/>
      </w:pPr>
      <w:r>
        <w:rPr>
          <w:rFonts w:ascii="Arial" w:cs="Arial" w:eastAsia="Arial" w:hAnsi="Arial"/>
          <w:b w:val="false"/>
          <w:bCs w:val="false"/>
          <w:i w:val="false"/>
          <w:iCs w:val="false"/>
          <w:color w:val="000000"/>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Seldon Manifold at Phi_crit = 0.95 is not a utopia. It is simply the threshold above which civilisation's survival to the next century is probable rather than uncertain. The distance from 0.31 to 0.95 is the work.</w:t>
      </w:r>
    </w:p>
    <w:p>
      <w:pPr>
        <w:spacing w:after="0" w:before="160"/>
      </w:pPr>
      <w:r>
        <w:rPr>
          <w:rFonts w:ascii="Arial" w:cs="Arial" w:eastAsia="Arial" w:hAnsi="Arial"/>
          <w:b w:val="false"/>
          <w:bCs w:val="false"/>
          <w:i w:val="false"/>
          <w:iCs w:val="false"/>
          <w:color w:val="000000"/>
          <w:sz w:val="20"/>
          <w:szCs w:val="20"/>
        </w:rPr>
        <w:t xml:space="preserve"/>
      </w:r>
    </w:p>
    <w:p>
      <w:pPr>
        <w:pBdr>
          <w:bottom w:val="single" w:color="1B3A6B" w:sz="6"/>
        </w:pBdr>
        <w:spacing w:after="80" w:before="80"/>
      </w:pPr>
      <w:r>
        <w:rPr>
          <w:rFonts w:ascii="Arial" w:cs="Arial" w:eastAsia="Arial" w:hAnsi="Arial"/>
          <w:b w:val="false"/>
          <w:bCs w:val="false"/>
          <w:i w:val="false"/>
          <w:iCs w:val="false"/>
          <w:color w:val="000000"/>
          <w:sz w:val="20"/>
          <w:szCs w:val="20"/>
        </w:rPr>
        <w:t xml:space="preserve"/>
      </w:r>
    </w:p>
    <w:p>
      <w:pPr>
        <w:spacing w:after="0" w:before="60"/>
      </w:pPr>
      <w:r>
        <w:rPr>
          <w:rFonts w:ascii="Arial" w:cs="Arial" w:eastAsia="Arial" w:hAnsi="Arial"/>
          <w:b w:val="false"/>
          <w:bCs w:val="false"/>
          <w:i w:val="false"/>
          <w:iCs w:val="false"/>
          <w:color w:val="000000"/>
          <w:sz w:val="20"/>
          <w:szCs w:val="20"/>
        </w:rPr>
        <w:t xml:space="preserve"/>
      </w:r>
    </w:p>
    <w:p>
      <w:pPr>
        <w:spacing w:after="40"/>
        <w:jc w:val="center"/>
      </w:pPr>
      <w:r>
        <w:rPr>
          <w:rFonts w:ascii="Arial" w:cs="Arial" w:eastAsia="Arial" w:hAnsi="Arial"/>
          <w:b w:val="false"/>
          <w:bCs w:val="false"/>
          <w:i/>
          <w:iCs/>
          <w:color w:val="4A4A4A"/>
          <w:sz w:val="16"/>
          <w:szCs w:val="16"/>
        </w:rPr>
        <w:t xml:space="preserve">Report compiled from CivilisationOS RAG corpus  ·  56 collections  ·  1,729,519+ chunks</w:t>
      </w:r>
    </w:p>
    <w:p>
      <w:pPr>
        <w:spacing w:after="40"/>
        <w:jc w:val="center"/>
      </w:pPr>
      <w:r>
        <w:rPr>
          <w:rFonts w:ascii="Arial" w:cs="Arial" w:eastAsia="Arial" w:hAnsi="Arial"/>
          <w:b w:val="false"/>
          <w:bCs w:val="false"/>
          <w:i/>
          <w:iCs/>
          <w:color w:val="4A4A4A"/>
          <w:sz w:val="16"/>
          <w:szCs w:val="16"/>
        </w:rPr>
        <w:t xml:space="preserve">MILITARY_RAG · CNA_RAG · NIKKEI_RAG · EDGAR_RAG · FA_RAG · INDIA_RAG · CHINA_ECON_RAG · CONSULTING_RAG</w:t>
      </w:r>
    </w:p>
    <w:p>
      <w:pPr>
        <w:spacing w:after="40"/>
        <w:jc w:val="center"/>
      </w:pPr>
      <w:r>
        <w:rPr>
          <w:rFonts w:ascii="Arial" w:cs="Arial" w:eastAsia="Arial" w:hAnsi="Arial"/>
          <w:b w:val="false"/>
          <w:bCs w:val="false"/>
          <w:i/>
          <w:iCs/>
          <w:color w:val="4A4A4A"/>
          <w:sz w:val="16"/>
          <w:szCs w:val="16"/>
        </w:rPr>
        <w:t xml:space="preserve">HUMAN_RIGHTS_RAG · FUTURES_RAG · ASEAN_DATA_RAG · ACADEMIC_RAG · US_POLICY_RAG · JAPAN_RAG · KOREA_RAG</w:t>
      </w:r>
    </w:p>
    <w:p>
      <w:pPr>
        <w:jc w:val="center"/>
      </w:pPr>
      <w:r>
        <w:rPr>
          <w:rFonts w:ascii="Arial" w:cs="Arial" w:eastAsia="Arial" w:hAnsi="Arial"/>
          <w:b w:val="false"/>
          <w:bCs w:val="false"/>
          <w:i/>
          <w:iCs/>
          <w:color w:val="4A4A4A"/>
          <w:sz w:val="16"/>
          <w:szCs w:val="16"/>
        </w:rPr>
        <w:t xml:space="preserve">WORLD_GREATBOOKS_RAG (44 vols) · CHINESE_GREATBOOKS_RAG (76 vols)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spacing w:before="40"/>
      <w:jc w:val="center"/>
    </w:pPr>
    <w:r>
      <w:rPr>
        <w:rFonts w:ascii="Arial" w:cs="Arial" w:eastAsia="Arial" w:hAnsi="Arial"/>
        <w:b w:val="false"/>
        <w:bCs w:val="false"/>
        <w:i/>
        <w:iCs/>
        <w:color w:val="4A4A4A"/>
        <w:sz w:val="16"/>
        <w:szCs w:val="16"/>
      </w:rPr>
      <w:t xml:space="preserve">CivilisationOS Crisis Policy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60"/>
    </w:pPr>
    <w:r>
      <w:rPr>
        <w:rFonts w:ascii="Arial" w:cs="Arial" w:eastAsia="Arial" w:hAnsi="Arial"/>
        <w:b w:val="false"/>
        <w:bCs w:val="false"/>
        <w:i w:val="false"/>
        <w:iCs w:val="false"/>
        <w:color w:val="4A4A4A"/>
        <w:sz w:val="16"/>
        <w:szCs w:val="16"/>
      </w:rPr>
      <w:t xml:space="preserve">Chief Clerk 2IC  |  CivilisationOS Intelligence Pipeline  |  17 July 2026  |  Page </w:t>
    </w:r>
    <w:r>
      <w:rPr>
        <w:rFonts w:ascii="Arial" w:cs="Arial" w:eastAsia="Arial" w:hAnsi="Arial"/>
        <w:color w:val="4A4A4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2026-07-17T15:32:49.089Z</dcterms:created>
  <dcterms:modified xsi:type="dcterms:W3CDTF">2026-07-17T15:32:49.098Z</dcterms:modified>
</cp:coreProperties>
</file>

<file path=docProps/custom.xml><?xml version="1.0" encoding="utf-8"?>
<Properties xmlns="http://schemas.openxmlformats.org/officeDocument/2006/custom-properties" xmlns:vt="http://schemas.openxmlformats.org/officeDocument/2006/docPropsVTypes"/>
</file>