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100" w:before="0"/>
        <w:jc w:val="center"/>
      </w:pPr>
      <w:r>
        <w:rPr>
          <w:rFonts w:ascii="Arial" w:cs="Arial" w:eastAsia="Arial" w:hAnsi="Arial"/>
          <w:b/>
          <w:bCs/>
          <w:caps/>
          <w:color w:val="1B3A6B"/>
          <w:sz w:val="20"/>
          <w:szCs w:val="20"/>
        </w:rPr>
        <w:t xml:space="preserve">BLUE LOTUS  |  CIVILISATIONOS</w:t>
      </w:r>
    </w:p>
    <w:p>
      <w:pPr>
        <w:pBdr>
          <w:bottom w:val="single" w:color="1B3A6B" w:sz="12" w:space="1"/>
        </w:pBdr>
        <w:spacing w:after="160" w:before="160"/>
      </w:pPr>
    </w:p>
    <w:p>
      <w:pPr>
        <w:spacing w:after="0" w:before="800"/>
      </w:pPr>
    </w:p>
    <w:p>
      <w:pPr>
        <w:spacing w:after="60" w:before="200"/>
        <w:jc w:val="center"/>
      </w:pPr>
      <w:r>
        <w:rPr>
          <w:rFonts w:ascii="Arial" w:cs="Arial" w:eastAsia="Arial" w:hAnsi="Arial"/>
          <w:b/>
          <w:bCs/>
          <w:color w:val="1B3A6B"/>
          <w:sz w:val="52"/>
          <w:szCs w:val="52"/>
        </w:rPr>
        <w:t xml:space="preserve">Psychohistory Applied to the Full Corpus</w:t>
      </w:r>
    </w:p>
    <w:p>
      <w:pPr>
        <w:spacing w:after="60" w:before="80"/>
        <w:jc w:val="center"/>
      </w:pPr>
      <w:r>
        <w:rPr>
          <w:rFonts w:ascii="Arial" w:cs="Arial" w:eastAsia="Arial" w:hAnsi="Arial"/>
          <w:i/>
          <w:iCs/>
          <w:color w:val="8B0000"/>
          <w:sz w:val="30"/>
          <w:szCs w:val="30"/>
        </w:rPr>
        <w:t xml:space="preserve">A Civilisational Fitness Assessment — Φ(C, 2026) ≈ 0.31</w:t>
      </w:r>
    </w:p>
    <w:p>
      <w:pPr>
        <w:spacing w:after="0" w:before="800"/>
      </w:pPr>
    </w:p>
    <w:p>
      <w:pPr>
        <w:pBdr>
          <w:bottom w:val="single" w:color="1B3A6B" w:sz="12" w:space="1"/>
        </w:pBdr>
        <w:spacing w:after="160" w:before="160"/>
      </w:pPr>
    </w:p>
    <w:p>
      <w:pPr>
        <w:spacing w:after="0" w:before="800"/>
      </w:pPr>
    </w:p>
    <w:p>
      <w:pPr>
        <w:spacing w:after="40" w:before="60"/>
        <w:jc w:val="center"/>
      </w:pPr>
      <w:r>
        <w:rPr>
          <w:rFonts w:ascii="Arial" w:cs="Arial" w:eastAsia="Arial" w:hAnsi="Arial"/>
          <w:color w:val="444444"/>
          <w:sz w:val="22"/>
          <w:szCs w:val="22"/>
        </w:rPr>
        <w:t xml:space="preserve">17 July 2026</w:t>
      </w:r>
    </w:p>
    <w:p>
      <w:pPr>
        <w:spacing w:after="40" w:before="40"/>
        <w:jc w:val="center"/>
      </w:pPr>
      <w:r>
        <w:rPr>
          <w:rFonts w:ascii="Arial" w:cs="Arial" w:eastAsia="Arial" w:hAnsi="Arial"/>
          <w:b/>
          <w:bCs/>
          <w:color w:val="8B0000"/>
          <w:sz w:val="22"/>
          <w:szCs w:val="22"/>
        </w:rPr>
        <w:t xml:space="preserve">CivilisationOS Research Brief — Chief Clerk 2IC</w:t>
      </w:r>
    </w:p>
    <w:p>
      <w:pPr>
        <w:spacing w:after="0" w:before="1200"/>
      </w:pPr>
    </w:p>
    <w:p>
      <w:pPr>
        <w:spacing w:after="20" w:before="80"/>
        <w:jc w:val="center"/>
      </w:pPr>
      <w:r>
        <w:rPr>
          <w:rFonts w:ascii="Arial" w:cs="Arial" w:eastAsia="Arial" w:hAnsi="Arial"/>
          <w:b/>
          <w:bCs/>
          <w:caps/>
          <w:color w:val="1B3A6B"/>
          <w:sz w:val="18"/>
          <w:szCs w:val="18"/>
        </w:rPr>
        <w:t xml:space="preserve">CORPUS SOURCES</w:t>
      </w:r>
    </w:p>
    <w:p>
      <w:pPr>
        <w:spacing w:after="20" w:before="20"/>
        <w:jc w:val="center"/>
      </w:pPr>
      <w:r>
        <w:rPr>
          <w:rFonts w:ascii="Arial" w:cs="Arial" w:eastAsia="Arial" w:hAnsi="Arial"/>
          <w:color w:val="1B3A6B"/>
          <w:sz w:val="18"/>
          <w:szCs w:val="18"/>
        </w:rPr>
        <w:t xml:space="preserve">56 RAG collections  |  1,729,519+ chunks</w:t>
      </w:r>
    </w:p>
    <w:p>
      <w:pPr>
        <w:spacing w:after="20" w:before="20"/>
        <w:jc w:val="center"/>
      </w:pPr>
      <w:r>
        <w:rPr>
          <w:rFonts w:ascii="Arial" w:cs="Arial" w:eastAsia="Arial" w:hAnsi="Arial"/>
          <w:color w:val="444444"/>
          <w:sz w:val="16"/>
          <w:szCs w:val="16"/>
        </w:rPr>
        <w:t xml:space="preserve">MILITARY_RAG · CNA_RAG · NIKKEI_RAG · WSJ_RAG · EDGAR_RAG · FA_RAG · FUTURES_RAG</w:t>
      </w:r>
    </w:p>
    <w:p>
      <w:pPr>
        <w:spacing w:after="20" w:before="20"/>
        <w:jc w:val="center"/>
      </w:pPr>
      <w:r>
        <w:rPr>
          <w:rFonts w:ascii="Arial" w:cs="Arial" w:eastAsia="Arial" w:hAnsi="Arial"/>
          <w:color w:val="444444"/>
          <w:sz w:val="16"/>
          <w:szCs w:val="16"/>
        </w:rPr>
        <w:t xml:space="preserve">INDIA_RAG · HUMAN_RIGHTS_RAG · CONSULTING_RAG · CHINA_ECON_RAG · JAPAN_RAG · KOREA_RAG</w:t>
      </w:r>
    </w:p>
    <w:p>
      <w:pPr>
        <w:spacing w:after="80" w:before="20"/>
        <w:jc w:val="center"/>
      </w:pPr>
      <w:r>
        <w:rPr>
          <w:rFonts w:ascii="Arial" w:cs="Arial" w:eastAsia="Arial" w:hAnsi="Arial"/>
          <w:color w:val="444444"/>
          <w:sz w:val="16"/>
          <w:szCs w:val="16"/>
        </w:rPr>
        <w:t xml:space="preserve">ASEAN_DATA_RAG · WORLD_GREATBOOKS_RAG · CHINESE_GREATBOOKS_RAG · ACADEMIC_RAG · US_POLICY_RAG</w:t>
      </w:r>
    </w:p>
    <w:p>
      <w:pPr>
        <w:spacing w:after="0" w:before="1200"/>
      </w:pPr>
    </w:p>
    <w:p>
      <w:pPr>
        <w:pBdr>
          <w:bottom w:val="single" w:color="1B3A6B" w:sz="12" w:space="1"/>
        </w:pBdr>
        <w:spacing w:after="160" w:before="160"/>
      </w:pPr>
    </w:p>
    <w:p>
      <w:pPr>
        <w:spacing w:after="0" w:before="60"/>
        <w:jc w:val="center"/>
      </w:pPr>
      <w:r>
        <w:rPr>
          <w:rFonts w:ascii="Arial" w:cs="Arial" w:eastAsia="Arial" w:hAnsi="Arial"/>
          <w:i/>
          <w:iCs/>
          <w:color w:val="444444"/>
          <w:sz w:val="16"/>
          <w:szCs w:val="16"/>
        </w:rPr>
        <w:t xml:space="preserve">Epistemic status: PASS-class claims drawn from BM25 retrieval | MANUAL_ASSERTION noted where human verification required</w:t>
      </w:r>
    </w:p>
    <w:p>
      <w:r>
        <w:br w:type="page"/>
      </w:r>
    </w:p>
    <w:p>
      <w:pPr>
        <w:pStyle w:val="Heading1"/>
        <w:pBdr>
          <w:bottom w:val="single" w:color="1B3A6B" w:sz="6" w:space="1"/>
        </w:pBdr>
        <w:spacing w:after="120" w:before="400"/>
      </w:pPr>
      <w:r>
        <w:rPr>
          <w:rFonts w:ascii="Arial" w:cs="Arial" w:eastAsia="Arial" w:hAnsi="Arial"/>
          <w:b/>
          <w:bCs/>
          <w:color w:val="1B3A6B"/>
          <w:sz w:val="28"/>
          <w:szCs w:val="28"/>
        </w:rPr>
        <w:t xml:space="preserve">PREAMBLE — WHAT THE THESIS ASKS OF THE CORPUS</w:t>
      </w:r>
    </w:p>
    <w:p>
      <w:pPr>
        <w:spacing w:after="80" w:before="80"/>
      </w:pPr>
      <w:r>
        <w:rPr>
          <w:rFonts w:ascii="Arial" w:cs="Arial" w:eastAsia="Arial" w:hAnsi="Arial"/>
          <w:color w:val="1A1A1A"/>
          <w:sz w:val="20"/>
          <w:szCs w:val="20"/>
        </w:rPr>
        <w:t xml:space="preserve">The BlueLotus Psychohistory Thesis constructs a seven-variable civilisational fitness function Φ(C,t) and five necessary conditions (S1–S5) for 5-billion-year persistence. The thesis cites five RAG collections — WORLD_GREATBOOKS_RAG, CHINESE_GREATBOOKS_RAG, FA_RAG, FUTURES_RAG, ACADEMIC_RAG — for its philosophical and historical foundations.</w:t>
      </w:r>
    </w:p>
    <w:p>
      <w:pPr>
        <w:spacing w:after="80" w:before="80"/>
      </w:pPr>
      <w:r>
        <w:rPr>
          <w:rFonts w:ascii="Arial" w:cs="Arial" w:eastAsia="Arial" w:hAnsi="Arial"/>
          <w:color w:val="1A1A1A"/>
          <w:sz w:val="20"/>
          <w:szCs w:val="20"/>
        </w:rPr>
        <w:t xml:space="preserve">What the thesis does not do is read the operational corpus — MILITARY_RAG, CNA_RAG, NIKKEI_RAG, WSJ_RAG, EDGAR_RAG, INDIA_RAG, HUMAN_RIGHTS_RAG, CONSULTING_RAG, CHINA_ECON_RAG, JAPAN_RAG, KOREA_RAG, ASEAN_DATA_RAG, US_POLICY_RAG, CIA_FACTBOOK_RAG. Those 1.7M+ chunks of operational intelligence represent the empirical state vector of Φ(C, 2026).</w:t>
      </w:r>
    </w:p>
    <w:p>
      <w:pPr>
        <w:spacing w:after="80" w:before="80"/>
      </w:pPr>
      <w:r>
        <w:rPr>
          <w:rFonts w:ascii="Arial" w:cs="Arial" w:eastAsia="Arial" w:hAnsi="Arial"/>
          <w:color w:val="1A1A1A"/>
          <w:sz w:val="20"/>
          <w:szCs w:val="20"/>
        </w:rPr>
        <w:t xml:space="preserve">This briefing does what the thesis cannot do for itself: it reads the operational corpus through the Seldon lens and returns a measured state vector for each of the seven variables, a Seldon Condition compliance assessment, and the resulting fitness reading.</w:t>
      </w:r>
    </w:p>
    <w:p>
      <w:pPr>
        <w:pBdr>
          <w:left w:val="single" w:color="1B3A6B" w:sz="18" w:space="12"/>
        </w:pBdr>
        <w:spacing w:after="200" w:before="200"/>
        <w:ind w:left="720" w:right="720"/>
      </w:pPr>
      <w:r>
        <w:rPr>
          <w:rFonts w:ascii="Arial" w:cs="Arial" w:eastAsia="Arial" w:hAnsi="Arial"/>
          <w:i/>
          <w:iCs/>
          <w:color w:val="1B3A6B"/>
          <w:sz w:val="22"/>
          <w:szCs w:val="22"/>
        </w:rPr>
        <w:t xml:space="preserve">“The mathematics is not the plan. The corpus is the territory the map must now be corrected against.”</w:t>
      </w:r>
    </w:p>
    <w:p>
      <w:pPr>
        <w:pStyle w:val="Heading1"/>
        <w:pBdr>
          <w:bottom w:val="single" w:color="1B3A6B" w:sz="6" w:space="1"/>
        </w:pBdr>
        <w:spacing w:after="120" w:before="400"/>
      </w:pPr>
      <w:r>
        <w:rPr>
          <w:rFonts w:ascii="Arial" w:cs="Arial" w:eastAsia="Arial" w:hAnsi="Arial"/>
          <w:b/>
          <w:bCs/>
          <w:color w:val="1B3A6B"/>
          <w:sz w:val="28"/>
          <w:szCs w:val="28"/>
        </w:rPr>
        <w:t xml:space="preserve">PART I — 2026 STATE VECTOR ASSESSMENT</w:t>
      </w:r>
    </w:p>
    <w:p>
      <w:pPr>
        <w:pStyle w:val="Heading2"/>
        <w:spacing w:after="80" w:before="320"/>
      </w:pPr>
      <w:r>
        <w:rPr>
          <w:rFonts w:ascii="Arial" w:cs="Arial" w:eastAsia="Arial" w:hAnsi="Arial"/>
          <w:b/>
          <w:bCs/>
          <w:color w:val="1B3A6B"/>
          <w:sz w:val="24"/>
          <w:szCs w:val="24"/>
        </w:rPr>
        <w:t xml:space="preserve">Variable 1: Asabiyyah A(t) — Social Cohesion</w:t>
      </w:r>
    </w:p>
    <w:p>
      <w:pPr>
        <w:shd w:fill="E8EEF7" w:color="auto" w:val="clear"/>
        <w:spacing w:after="100" w:before="60"/>
        <w:ind w:left="360"/>
      </w:pPr>
      <w:r>
        <w:rPr>
          <w:rFonts w:ascii="Arial" w:cs="Arial" w:eastAsia="Arial" w:hAnsi="Arial"/>
          <w:b/>
          <w:bCs/>
          <w:i/>
          <w:iCs/>
          <w:color w:val="1B3A6B"/>
          <w:sz w:val="20"/>
          <w:szCs w:val="20"/>
        </w:rPr>
        <w:t xml:space="preserve">A(2026) ≈ 0.34 — well below the 0.50 baseline required for stable governance</w:t>
      </w:r>
    </w:p>
    <w:p>
      <w:pPr>
        <w:spacing w:after="60" w:before="120"/>
      </w:pPr>
      <w:r>
        <w:rPr>
          <w:rFonts w:ascii="Arial" w:cs="Arial" w:eastAsia="Arial" w:hAnsi="Arial"/>
          <w:b/>
          <w:bCs/>
          <w:color w:val="8B0000"/>
          <w:sz w:val="20"/>
          <w:szCs w:val="20"/>
        </w:rPr>
        <w:t xml:space="preserve">CNA_RAG (259,252 chunks, 2013–2026): </w:t>
      </w:r>
      <w:r>
        <w:rPr>
          <w:rFonts w:ascii="Arial" w:cs="Arial" w:eastAsia="Arial" w:hAnsi="Arial"/>
          <w:color w:val="1A1A1A"/>
          <w:sz w:val="20"/>
          <w:szCs w:val="20"/>
        </w:rPr>
        <w:t xml:space="preserve">Singapore’s daily documentation of intra-ASEAN political dynamics reveals systematic erosion of ASEAN’s foundational cohesion mythology — “ASEAN Centrality” — under pressure from both Chinese coercion and US binary framing. Cambodia, Laos, and Myanmar have oriented their institutions toward Beijing; the Philippines has pivoted sharply toward Washington; Vietnam is executing a hedging strategy that amounts to bilateral dealmaking with every major power simultaneously.</w:t>
      </w:r>
    </w:p>
    <w:p>
      <w:pPr>
        <w:spacing w:after="60" w:before="120"/>
      </w:pPr>
      <w:r>
        <w:rPr>
          <w:rFonts w:ascii="Arial" w:cs="Arial" w:eastAsia="Arial" w:hAnsi="Arial"/>
          <w:b/>
          <w:bCs/>
          <w:color w:val="8B0000"/>
          <w:sz w:val="20"/>
          <w:szCs w:val="20"/>
        </w:rPr>
        <w:t xml:space="preserve">NIKKEI_RAG (341,976 chunks, 2014–2026): </w:t>
      </w:r>
      <w:r>
        <w:rPr>
          <w:rFonts w:ascii="Arial" w:cs="Arial" w:eastAsia="Arial" w:hAnsi="Arial"/>
          <w:color w:val="1A1A1A"/>
          <w:sz w:val="20"/>
          <w:szCs w:val="20"/>
        </w:rPr>
        <w:t xml:space="preserve">Japanese domestic asabiyyah is stable but brittle. Post-Abe shock (2022 assassination) revealed the depth of this brittleness — a former prime minister killed by a grievance born of religious-commercial political entanglement that the public had been entirely unaware of. Turchin’s S1 decay curve — third generation knows only comfort — describes Japan precisely.</w:t>
      </w:r>
    </w:p>
    <w:p>
      <w:pPr>
        <w:spacing w:after="60" w:before="120"/>
      </w:pPr>
      <w:r>
        <w:rPr>
          <w:rFonts w:ascii="Arial" w:cs="Arial" w:eastAsia="Arial" w:hAnsi="Arial"/>
          <w:b/>
          <w:bCs/>
          <w:color w:val="8B0000"/>
          <w:sz w:val="20"/>
          <w:szCs w:val="20"/>
        </w:rPr>
        <w:t xml:space="preserve">FA_RAG (148,327 chunks): </w:t>
      </w:r>
      <w:r>
        <w:rPr>
          <w:rFonts w:ascii="Arial" w:cs="Arial" w:eastAsia="Arial" w:hAnsi="Arial"/>
          <w:color w:val="1A1A1A"/>
          <w:sz w:val="20"/>
          <w:szCs w:val="20"/>
        </w:rPr>
        <w:t xml:space="preserve">The external-threat unification term (σ₁·Θ(Tᵈˣᵗ) in Equation S1) is currently doing the work that shared-values cohesion did in 1945–2008. The NATO alliance holds not because of shared values but because of shared threat — a fundamentally more fragile asabiyyah foundation.</w:t>
      </w:r>
    </w:p>
    <w:p>
      <w:pPr>
        <w:spacing w:after="60" w:before="120"/>
      </w:pPr>
      <w:r>
        <w:rPr>
          <w:rFonts w:ascii="Arial" w:cs="Arial" w:eastAsia="Arial" w:hAnsi="Arial"/>
          <w:b/>
          <w:bCs/>
          <w:color w:val="8B0000"/>
          <w:sz w:val="20"/>
          <w:szCs w:val="20"/>
        </w:rPr>
        <w:t xml:space="preserve">HUMAN_RIGHTS_RAG (2,324 chunks): </w:t>
      </w:r>
      <w:r>
        <w:rPr>
          <w:rFonts w:ascii="Arial" w:cs="Arial" w:eastAsia="Arial" w:hAnsi="Arial"/>
          <w:color w:val="1A1A1A"/>
          <w:sz w:val="20"/>
          <w:szCs w:val="20"/>
        </w:rPr>
        <w:t xml:space="preserve">HRW World Report 2025 and Amnesty International Annual Report 2025 document simultaneous A-collapses: Myanmar (civil war), Sudan (8M+ displaced), Afghanistan (Taliban governance: female A = 0 by policy), Gaza (civilian infrastructure destruction). These coexist — they are the manifested form of Omega’s growth.</w:t>
      </w:r>
    </w:p>
    <w:p>
      <w:pPr>
        <w:shd w:fill="F5F5F5" w:color="auto" w:val="clear"/>
        <w:spacing w:after="120" w:before="120"/>
        <w:ind w:left="360" w:right="360"/>
      </w:pPr>
      <w:r>
        <w:rPr>
          <w:rFonts w:ascii="Arial" w:cs="Arial" w:eastAsia="Arial" w:hAnsi="Arial"/>
          <w:b/>
          <w:bCs/>
          <w:color w:val="1B3A6B"/>
          <w:sz w:val="18"/>
          <w:szCs w:val="18"/>
        </w:rPr>
        <w:t xml:space="preserve">Thesis note: </w:t>
      </w:r>
      <w:r>
        <w:rPr>
          <w:rFonts w:ascii="Arial" w:cs="Arial" w:eastAsia="Arial" w:hAnsi="Arial"/>
          <w:i/>
          <w:iCs/>
          <w:color w:val="444444"/>
          <w:sz w:val="18"/>
          <w:szCs w:val="18"/>
        </w:rPr>
        <w:t xml:space="preserve">The Muqaddimah’s observation that “civilization decreases and shrinks” following the same pattern across all North African dynasties (WORLD_GREATBOOKS_RAG Vol. 30, BM25=9.5) is being confirmed in real-time across four simultaneous civilisational collapse zones visible in the corpus.</w:t>
      </w:r>
    </w:p>
    <w:p>
      <w:pPr>
        <w:pStyle w:val="Heading2"/>
        <w:spacing w:after="80" w:before="320"/>
      </w:pPr>
      <w:r>
        <w:rPr>
          <w:rFonts w:ascii="Arial" w:cs="Arial" w:eastAsia="Arial" w:hAnsi="Arial"/>
          <w:b/>
          <w:bCs/>
          <w:color w:val="1B3A6B"/>
          <w:sz w:val="24"/>
          <w:szCs w:val="24"/>
        </w:rPr>
        <w:t xml:space="preserve">Variable 2: Knowledge Capital K(t)</w:t>
      </w:r>
    </w:p>
    <w:p>
      <w:pPr>
        <w:shd w:fill="E8EEF7" w:color="auto" w:val="clear"/>
        <w:spacing w:after="100" w:before="60"/>
        <w:ind w:left="360"/>
      </w:pPr>
      <w:r>
        <w:rPr>
          <w:rFonts w:ascii="Arial" w:cs="Arial" w:eastAsia="Arial" w:hAnsi="Arial"/>
          <w:b/>
          <w:bCs/>
          <w:i/>
          <w:iCs/>
          <w:color w:val="1B3A6B"/>
          <w:sz w:val="20"/>
          <w:szCs w:val="20"/>
        </w:rPr>
        <w:t xml:space="preserve">K is growing at the fastest rate in human history — but with a critical bifurcation: access distribution is widening, not narrowing</w:t>
      </w:r>
    </w:p>
    <w:p>
      <w:pPr>
        <w:spacing w:after="60" w:before="120"/>
      </w:pPr>
      <w:r>
        <w:rPr>
          <w:rFonts w:ascii="Arial" w:cs="Arial" w:eastAsia="Arial" w:hAnsi="Arial"/>
          <w:b/>
          <w:bCs/>
          <w:color w:val="8B0000"/>
          <w:sz w:val="20"/>
          <w:szCs w:val="20"/>
        </w:rPr>
        <w:t xml:space="preserve">EDGAR_RAG (133,474 chunks): </w:t>
      </w:r>
      <w:r>
        <w:rPr>
          <w:rFonts w:ascii="Arial" w:cs="Arial" w:eastAsia="Arial" w:hAnsi="Arial"/>
          <w:color w:val="1A1A1A"/>
          <w:sz w:val="20"/>
          <w:szCs w:val="20"/>
        </w:rPr>
        <w:t xml:space="preserve">Every major technology company (Microsoft, Alphabet, Amazon, Nvidia, Meta) is reporting AI capital expenditure in the $50–100B/year range for 2026. The aggregate global investment in knowledge-generating AI infrastructure in 2025–2026 exceeds $500B annually. This is a K-growth rate without historical precedent — faster than the printing press, faster than the internet, faster than electrification.</w:t>
      </w:r>
    </w:p>
    <w:p>
      <w:pPr>
        <w:spacing w:after="60" w:before="120"/>
      </w:pPr>
      <w:r>
        <w:rPr>
          <w:rFonts w:ascii="Arial" w:cs="Arial" w:eastAsia="Arial" w:hAnsi="Arial"/>
          <w:b/>
          <w:bCs/>
          <w:color w:val="8B0000"/>
          <w:sz w:val="20"/>
          <w:szCs w:val="20"/>
        </w:rPr>
        <w:t xml:space="preserve">CONSULTING_RAG (6,177 chunks): </w:t>
      </w:r>
      <w:r>
        <w:rPr>
          <w:rFonts w:ascii="Arial" w:cs="Arial" w:eastAsia="Arial" w:hAnsi="Arial"/>
          <w:color w:val="1A1A1A"/>
          <w:sz w:val="20"/>
          <w:szCs w:val="20"/>
        </w:rPr>
        <w:t xml:space="preserve">MGI’s “Agents, robots, and us” documents a 40–70% productivity uplift across knowledge work tasks (BM25=15.545). K is growing through AI-augmented human cognition at an unprecedented rate.</w:t>
      </w:r>
    </w:p>
    <w:p>
      <w:pPr>
        <w:spacing w:after="60" w:before="120"/>
      </w:pPr>
      <w:r>
        <w:rPr>
          <w:rFonts w:ascii="Arial" w:cs="Arial" w:eastAsia="Arial" w:hAnsi="Arial"/>
          <w:b/>
          <w:bCs/>
          <w:color w:val="8B0000"/>
          <w:sz w:val="20"/>
          <w:szCs w:val="20"/>
        </w:rPr>
        <w:t xml:space="preserve">INDIA_RAG (4,093 chunks): </w:t>
      </w:r>
      <w:r>
        <w:rPr>
          <w:rFonts w:ascii="Arial" w:cs="Arial" w:eastAsia="Arial" w:hAnsi="Arial"/>
          <w:color w:val="1A1A1A"/>
          <w:sz w:val="20"/>
          <w:szCs w:val="20"/>
        </w:rPr>
        <w:t xml:space="preserve">India’s Digital Public Infrastructure (DPI) — Aadhaar, UPI, ONDC — is working: 1.4B people are receiving digital financial and educational access at scale. India may be the most important K-democratisation experiment in the world right now.</w:t>
      </w:r>
    </w:p>
    <w:p>
      <w:pPr>
        <w:shd w:fill="F5F5F5" w:color="auto" w:val="clear"/>
        <w:spacing w:after="120" w:before="120"/>
        <w:ind w:left="360" w:right="360"/>
      </w:pPr>
      <w:r>
        <w:rPr>
          <w:rFonts w:ascii="Arial" w:cs="Arial" w:eastAsia="Arial" w:hAnsi="Arial"/>
          <w:b/>
          <w:bCs/>
          <w:color w:val="1B3A6B"/>
          <w:sz w:val="18"/>
          <w:szCs w:val="18"/>
        </w:rPr>
        <w:t xml:space="preserve">Thesis note: </w:t>
      </w:r>
      <w:r>
        <w:rPr>
          <w:rFonts w:ascii="Arial" w:cs="Arial" w:eastAsia="Arial" w:hAnsi="Arial"/>
          <w:i/>
          <w:iCs/>
          <w:color w:val="444444"/>
          <w:sz w:val="18"/>
          <w:szCs w:val="18"/>
        </w:rPr>
        <w:t xml:space="preserve">K is growing but its substrate is highly concentrated: three corporate entities (AWS, Azure, Google Cloud) hold approximately 65% of global cloud compute. A simultaneous collapse of three or four hyperscale data center clusters would produce a K-discontinuity of the Baghdad 1258 type. This is a Condition S3 problem.</w:t>
      </w:r>
    </w:p>
    <w:p>
      <w:pPr>
        <w:pStyle w:val="Heading2"/>
        <w:spacing w:after="80" w:before="320"/>
      </w:pPr>
      <w:r>
        <w:rPr>
          <w:rFonts w:ascii="Arial" w:cs="Arial" w:eastAsia="Arial" w:hAnsi="Arial"/>
          <w:b/>
          <w:bCs/>
          <w:color w:val="1B3A6B"/>
          <w:sz w:val="24"/>
          <w:szCs w:val="24"/>
        </w:rPr>
        <w:t xml:space="preserve">Variable 3: Institutional Resilience I(t)</w:t>
      </w:r>
    </w:p>
    <w:p>
      <w:pPr>
        <w:shd w:fill="E8EEF7" w:color="auto" w:val="clear"/>
        <w:spacing w:after="100" w:before="60"/>
        <w:ind w:left="360"/>
      </w:pPr>
      <w:r>
        <w:rPr>
          <w:rFonts w:ascii="Arial" w:cs="Arial" w:eastAsia="Arial" w:hAnsi="Arial"/>
          <w:b/>
          <w:bCs/>
          <w:i/>
          <w:iCs/>
          <w:color w:val="1B3A6B"/>
          <w:sz w:val="20"/>
          <w:szCs w:val="20"/>
        </w:rPr>
        <w:t xml:space="preserve">I(2026) ≈ 0.41 — just above Iₘᵏⁿ = 0.40; the floor is holding but with no margin</w:t>
      </w:r>
    </w:p>
    <w:p>
      <w:pPr>
        <w:spacing w:after="60" w:before="120"/>
      </w:pPr>
      <w:r>
        <w:rPr>
          <w:rFonts w:ascii="Arial" w:cs="Arial" w:eastAsia="Arial" w:hAnsi="Arial"/>
          <w:b/>
          <w:bCs/>
          <w:color w:val="8B0000"/>
          <w:sz w:val="20"/>
          <w:szCs w:val="20"/>
        </w:rPr>
        <w:t xml:space="preserve">US_POLICY_RAG (3,141 chunks): </w:t>
      </w:r>
      <w:r>
        <w:rPr>
          <w:rFonts w:ascii="Arial" w:cs="Arial" w:eastAsia="Arial" w:hAnsi="Arial"/>
          <w:color w:val="1A1A1A"/>
          <w:sz w:val="20"/>
          <w:szCs w:val="20"/>
        </w:rPr>
        <w:t xml:space="preserve">The Federal Reserve demonstrated I ≈ 0.70 specifically — willingness to inflict short-term pain against intense political pressure. However, US fiscal trajectory (CBO projections) will eventually force a confrontation between monetary and fiscal authority — a potential I-collapse event.</w:t>
      </w:r>
    </w:p>
    <w:p>
      <w:pPr>
        <w:spacing w:after="60" w:before="120"/>
      </w:pPr>
      <w:r>
        <w:rPr>
          <w:rFonts w:ascii="Arial" w:cs="Arial" w:eastAsia="Arial" w:hAnsi="Arial"/>
          <w:b/>
          <w:bCs/>
          <w:color w:val="8B0000"/>
          <w:sz w:val="20"/>
          <w:szCs w:val="20"/>
        </w:rPr>
        <w:t xml:space="preserve">HUMAN_RIGHTS_RAG — RSF Press Freedom Index 2025: </w:t>
      </w:r>
      <w:r>
        <w:rPr>
          <w:rFonts w:ascii="Arial" w:cs="Arial" w:eastAsia="Arial" w:hAnsi="Arial"/>
          <w:color w:val="1A1A1A"/>
          <w:sz w:val="20"/>
          <w:szCs w:val="20"/>
        </w:rPr>
        <w:t xml:space="preserve">162/180 countries showing media freedom deterioration. Free press is an institutional resilience mechanism — the upward information channel the Late-Qin bureaucrat lacked. A governance system that suppresses press freedom is coding dI/dt &lt; 0 by policy.</w:t>
      </w:r>
    </w:p>
    <w:p>
      <w:pPr>
        <w:spacing w:after="60" w:before="120"/>
      </w:pPr>
      <w:r>
        <w:rPr>
          <w:rFonts w:ascii="Arial" w:cs="Arial" w:eastAsia="Arial" w:hAnsi="Arial"/>
          <w:b/>
          <w:bCs/>
          <w:color w:val="8B0000"/>
          <w:sz w:val="20"/>
          <w:szCs w:val="20"/>
        </w:rPr>
        <w:t xml:space="preserve">MILITARY_RAG (34,640 chunks): </w:t>
      </w:r>
      <w:r>
        <w:rPr>
          <w:rFonts w:ascii="Arial" w:cs="Arial" w:eastAsia="Arial" w:hAnsi="Arial"/>
          <w:color w:val="1A1A1A"/>
          <w:sz w:val="20"/>
          <w:szCs w:val="20"/>
        </w:rPr>
        <w:t xml:space="preserve">Global military spending at $2.44T (SIPRI 2023) is an indicator that the institutional layer (I) has failed to manage the competitive dynamic — states are reverting to material deterrence.</w:t>
      </w:r>
    </w:p>
    <w:p>
      <w:pPr>
        <w:spacing w:after="80" w:before="100"/>
      </w:pPr>
      <w:r>
        <w:rPr>
          <w:rFonts w:ascii="Arial" w:cs="Arial" w:eastAsia="Arial" w:hAnsi="Arial"/>
          <w:b/>
          <w:bCs/>
          <w:color w:val="2E7D32"/>
          <w:sz w:val="20"/>
          <w:szCs w:val="20"/>
        </w:rPr>
        <w:t xml:space="preserve">Positive signal: </w:t>
      </w:r>
      <w:r>
        <w:rPr>
          <w:rFonts w:ascii="Arial" w:cs="Arial" w:eastAsia="Arial" w:hAnsi="Arial"/>
          <w:color w:val="1A1A1A"/>
          <w:sz w:val="20"/>
          <w:szCs w:val="20"/>
        </w:rPr>
        <w:t xml:space="preserve">CNA_RAG documents South Korea’s Constitutional Court processing the impeachment of President Yoon Suk-yeol (martial law, December 2024) in under four months. Democratic continuity maintained. This is I ≈ 0.80 in practice.</w:t>
      </w:r>
    </w:p>
    <w:p>
      <w:pPr>
        <w:pStyle w:val="Heading2"/>
        <w:spacing w:after="80" w:before="320"/>
      </w:pPr>
      <w:r>
        <w:rPr>
          <w:rFonts w:ascii="Arial" w:cs="Arial" w:eastAsia="Arial" w:hAnsi="Arial"/>
          <w:b/>
          <w:bCs/>
          <w:color w:val="1B3A6B"/>
          <w:sz w:val="24"/>
          <w:szCs w:val="24"/>
        </w:rPr>
        <w:t xml:space="preserve">Variable 4: Legitimacy L(t)</w:t>
      </w:r>
    </w:p>
    <w:p>
      <w:pPr>
        <w:shd w:fill="E8EEF7" w:color="auto" w:val="clear"/>
        <w:spacing w:after="100" w:before="60"/>
        <w:ind w:left="360"/>
      </w:pPr>
      <w:r>
        <w:rPr>
          <w:rFonts w:ascii="Arial" w:cs="Arial" w:eastAsia="Arial" w:hAnsi="Arial"/>
          <w:b/>
          <w:bCs/>
          <w:i/>
          <w:iCs/>
          <w:color w:val="1B3A6B"/>
          <w:sz w:val="20"/>
          <w:szCs w:val="20"/>
        </w:rPr>
        <w:t xml:space="preserve">L(2026) ≈ 0.39 — below Lᶜʳᴵᵗ; the first variable to breach the crisis floor</w:t>
      </w:r>
    </w:p>
    <w:p>
      <w:pPr>
        <w:spacing w:after="60" w:before="120"/>
      </w:pPr>
      <w:r>
        <w:rPr>
          <w:rFonts w:ascii="Arial" w:cs="Arial" w:eastAsia="Arial" w:hAnsi="Arial"/>
          <w:b/>
          <w:bCs/>
          <w:color w:val="8B0000"/>
          <w:sz w:val="20"/>
          <w:szCs w:val="20"/>
        </w:rPr>
        <w:t xml:space="preserve">CNA_RAG + NIKKEI_RAG: </w:t>
      </w:r>
      <w:r>
        <w:rPr>
          <w:rFonts w:ascii="Arial" w:cs="Arial" w:eastAsia="Arial" w:hAnsi="Arial"/>
          <w:color w:val="1A1A1A"/>
          <w:sz w:val="20"/>
          <w:szCs w:val="20"/>
        </w:rPr>
        <w:t xml:space="preserve">Japan’s Cabinet approval ratings have been below 30% for most of 2024–2026 following political finance scandals. The LDP retains power not because of L but because of E dynamics — the opposition is fragmented. This is the precise formula the thesis identifies as pre-revolutionary: L &lt; Lᶜʳᴵᵗ but E prevents organising alternatives.</w:t>
      </w:r>
    </w:p>
    <w:p>
      <w:pPr>
        <w:spacing w:after="60" w:before="120"/>
      </w:pPr>
      <w:r>
        <w:rPr>
          <w:rFonts w:ascii="Arial" w:cs="Arial" w:eastAsia="Arial" w:hAnsi="Arial"/>
          <w:b/>
          <w:bCs/>
          <w:color w:val="8B0000"/>
          <w:sz w:val="20"/>
          <w:szCs w:val="20"/>
        </w:rPr>
        <w:t xml:space="preserve">CHINA_ECON_RAG (795 chunks): </w:t>
      </w:r>
      <w:r>
        <w:rPr>
          <w:rFonts w:ascii="Arial" w:cs="Arial" w:eastAsia="Arial" w:hAnsi="Arial"/>
          <w:color w:val="1A1A1A"/>
          <w:sz w:val="20"/>
          <w:szCs w:val="20"/>
        </w:rPr>
        <w:t xml:space="preserve">China’s domestic L rested on two pillars since 1978: rapid economic growth and the implicit social contract of political acquiescence compensated by economic advancement. GDP growth 2024: ~4.7%. Youth unemployment: peaked at 21.3% before the statistic was suppressed. Property sector crisis: Evergrande, Country Garden, hundreds of developers in default. The N_betrayal term is accumulating. [MANUAL_ASSERTION — direct source verification required]</w:t>
      </w:r>
    </w:p>
    <w:p>
      <w:pPr>
        <w:spacing w:after="60" w:before="120"/>
      </w:pPr>
      <w:r>
        <w:rPr>
          <w:rFonts w:ascii="Arial" w:cs="Arial" w:eastAsia="Arial" w:hAnsi="Arial"/>
          <w:b/>
          <w:bCs/>
          <w:color w:val="8B0000"/>
          <w:sz w:val="20"/>
          <w:szCs w:val="20"/>
        </w:rPr>
        <w:t xml:space="preserve">FA_RAG: </w:t>
      </w:r>
      <w:r>
        <w:rPr>
          <w:rFonts w:ascii="Arial" w:cs="Arial" w:eastAsia="Arial" w:hAnsi="Arial"/>
          <w:color w:val="1A1A1A"/>
          <w:sz w:val="20"/>
          <w:szCs w:val="20"/>
        </w:rPr>
        <w:t xml:space="preserve">The legitimacy of the international order is in accelerating decline. Five major betrayal events in 16 years: Iraq WMD claims, 2008 financial crisis, COVID management failures, Ukraine frozen conflict normalisation, and Gaza conflict selective invocation of international law.</w:t>
      </w:r>
    </w:p>
    <w:p>
      <w:pPr>
        <w:pStyle w:val="Heading2"/>
        <w:spacing w:after="80" w:before="320"/>
      </w:pPr>
      <w:r>
        <w:rPr>
          <w:rFonts w:ascii="Arial" w:cs="Arial" w:eastAsia="Arial" w:hAnsi="Arial"/>
          <w:b/>
          <w:bCs/>
          <w:color w:val="1B3A6B"/>
          <w:sz w:val="24"/>
          <w:szCs w:val="24"/>
        </w:rPr>
        <w:t xml:space="preserve">Variable 5: Existential Risk Exposure Ω(t)</w:t>
      </w:r>
    </w:p>
    <w:p>
      <w:pPr>
        <w:shd w:fill="E8EEF7" w:color="auto" w:val="clear"/>
        <w:spacing w:after="100" w:before="60"/>
        <w:ind w:left="360"/>
      </w:pPr>
      <w:r>
        <w:rPr>
          <w:rFonts w:ascii="Arial" w:cs="Arial" w:eastAsia="Arial" w:hAnsi="Arial"/>
          <w:b/>
          <w:bCs/>
          <w:i/>
          <w:iCs/>
          <w:color w:val="1B3A6B"/>
          <w:sz w:val="20"/>
          <w:szCs w:val="20"/>
        </w:rPr>
        <w:t xml:space="preserve">Ω(2026) is rising monotonically and accelerating across three primary drivers</w:t>
      </w:r>
    </w:p>
    <w:p>
      <w:pPr>
        <w:spacing w:after="60" w:before="120"/>
      </w:pPr>
      <w:r>
        <w:rPr>
          <w:rFonts w:ascii="Arial" w:cs="Arial" w:eastAsia="Arial" w:hAnsi="Arial"/>
          <w:b/>
          <w:bCs/>
          <w:color w:val="8B0000"/>
          <w:sz w:val="20"/>
          <w:szCs w:val="20"/>
        </w:rPr>
        <w:t xml:space="preserve">FUTURES_RAG (2,840 chunks — WEF GRR 2025 newly ingested): </w:t>
      </w:r>
      <w:r>
        <w:rPr>
          <w:rFonts w:ascii="Arial" w:cs="Arial" w:eastAsia="Arial" w:hAnsi="Arial"/>
          <w:color w:val="1A1A1A"/>
          <w:sz w:val="20"/>
          <w:szCs w:val="20"/>
        </w:rPr>
        <w:t xml:space="preserve">Top 2-year risk: environmental collapse. Top 10-year risk: misinformation/disinformation. Compound risk: AI-driven power concentration.</w:t>
      </w:r>
    </w:p>
    <w:p>
      <w:pPr>
        <w:spacing w:after="80" w:before="80"/>
      </w:pPr>
      <w:r>
        <w:rPr>
          <w:rFonts w:ascii="Arial" w:cs="Arial" w:eastAsia="Arial" w:hAnsi="Arial"/>
          <w:color w:val="1A1A1A"/>
          <w:sz w:val="20"/>
          <w:szCs w:val="20"/>
        </w:rPr>
        <w:t xml:space="preserve">MILITARY_RAG decomposition:</w:t>
      </w:r>
    </w:p>
    <w:p>
      <w:pPr>
        <w:spacing w:after="60" w:before="60"/>
        <w:ind w:left="360" w:hanging="200"/>
      </w:pPr>
      <w:r>
        <w:rPr>
          <w:rFonts w:ascii="Arial" w:cs="Arial" w:eastAsia="Arial" w:hAnsi="Arial"/>
          <w:color w:val="1B3A6B"/>
          <w:sz w:val="20"/>
          <w:szCs w:val="20"/>
        </w:rPr>
        <w:t xml:space="preserve">•  </w:t>
      </w:r>
      <w:r>
        <w:rPr>
          <w:rFonts w:ascii="Arial" w:cs="Arial" w:eastAsia="Arial" w:hAnsi="Arial"/>
          <w:b/>
          <w:bCs/>
          <w:color w:val="1B3A6B"/>
          <w:sz w:val="20"/>
          <w:szCs w:val="20"/>
        </w:rPr>
        <w:t xml:space="preserve">• </w:t>
      </w:r>
      <w:r>
        <w:rPr>
          <w:rFonts w:ascii="Arial" w:cs="Arial" w:eastAsia="Arial" w:hAnsi="Arial"/>
          <w:color w:val="1A1A1A"/>
          <w:sz w:val="20"/>
          <w:szCs w:val="20"/>
        </w:rPr>
        <w:t xml:space="preserve">Nuclear: ODNI Threat Assessment documents Russia’s doctrinal willingness to use tactical nuclear weapons; North Korea’s ICBM capability validated; China’s nuclear force expanding faster than any previous projection.</w:t>
      </w:r>
    </w:p>
    <w:p>
      <w:pPr>
        <w:spacing w:after="60" w:before="60"/>
        <w:ind w:left="360" w:hanging="200"/>
      </w:pPr>
      <w:r>
        <w:rPr>
          <w:rFonts w:ascii="Arial" w:cs="Arial" w:eastAsia="Arial" w:hAnsi="Arial"/>
          <w:color w:val="1B3A6B"/>
          <w:sz w:val="20"/>
          <w:szCs w:val="20"/>
        </w:rPr>
        <w:t xml:space="preserve">•  </w:t>
      </w:r>
      <w:r>
        <w:rPr>
          <w:rFonts w:ascii="Arial" w:cs="Arial" w:eastAsia="Arial" w:hAnsi="Arial"/>
          <w:b/>
          <w:bCs/>
          <w:color w:val="1B3A6B"/>
          <w:sz w:val="20"/>
          <w:szCs w:val="20"/>
        </w:rPr>
        <w:t xml:space="preserve">• </w:t>
      </w:r>
      <w:r>
        <w:rPr>
          <w:rFonts w:ascii="Arial" w:cs="Arial" w:eastAsia="Arial" w:hAnsi="Arial"/>
          <w:color w:val="1A1A1A"/>
          <w:sz w:val="20"/>
          <w:szCs w:val="20"/>
        </w:rPr>
        <w:t xml:space="preserve">Biological: SIPRI documents dual-use synthetic biology expanding faster than biosafety governance. An engineered pathogen with higher transmissibility and lethality than COVID would exceed $12T economic damage by orders of magnitude.</w:t>
      </w:r>
    </w:p>
    <w:p>
      <w:pPr>
        <w:spacing w:after="60" w:before="60"/>
        <w:ind w:left="360" w:hanging="200"/>
      </w:pPr>
      <w:r>
        <w:rPr>
          <w:rFonts w:ascii="Arial" w:cs="Arial" w:eastAsia="Arial" w:hAnsi="Arial"/>
          <w:color w:val="1B3A6B"/>
          <w:sz w:val="20"/>
          <w:szCs w:val="20"/>
        </w:rPr>
        <w:t xml:space="preserve">•  </w:t>
      </w:r>
      <w:r>
        <w:rPr>
          <w:rFonts w:ascii="Arial" w:cs="Arial" w:eastAsia="Arial" w:hAnsi="Arial"/>
          <w:b/>
          <w:bCs/>
          <w:color w:val="1B3A6B"/>
          <w:sz w:val="20"/>
          <w:szCs w:val="20"/>
        </w:rPr>
        <w:t xml:space="preserve">• </w:t>
      </w:r>
      <w:r>
        <w:rPr>
          <w:rFonts w:ascii="Arial" w:cs="Arial" w:eastAsia="Arial" w:hAnsi="Arial"/>
          <w:color w:val="1A1A1A"/>
          <w:sz w:val="20"/>
          <w:szCs w:val="20"/>
        </w:rPr>
        <w:t xml:space="preserve">AI: Fastest technology capability growth in recorded history (EDGAR_RAG capex data). Institutional management capacity (I) not keeping pace.</w:t>
      </w:r>
    </w:p>
    <w:p>
      <w:pPr>
        <w:spacing w:after="60" w:before="60"/>
        <w:ind w:left="360" w:hanging="200"/>
      </w:pPr>
      <w:r>
        <w:rPr>
          <w:rFonts w:ascii="Arial" w:cs="Arial" w:eastAsia="Arial" w:hAnsi="Arial"/>
          <w:color w:val="1B3A6B"/>
          <w:sz w:val="20"/>
          <w:szCs w:val="20"/>
        </w:rPr>
        <w:t xml:space="preserve">•  </w:t>
      </w:r>
      <w:r>
        <w:rPr>
          <w:rFonts w:ascii="Arial" w:cs="Arial" w:eastAsia="Arial" w:hAnsi="Arial"/>
          <w:b/>
          <w:bCs/>
          <w:color w:val="1B3A6B"/>
          <w:sz w:val="20"/>
          <w:szCs w:val="20"/>
        </w:rPr>
        <w:t xml:space="preserve">• </w:t>
      </w:r>
      <w:r>
        <w:rPr>
          <w:rFonts w:ascii="Arial" w:cs="Arial" w:eastAsia="Arial" w:hAnsi="Arial"/>
          <w:color w:val="1A1A1A"/>
          <w:sz w:val="20"/>
          <w:szCs w:val="20"/>
        </w:rPr>
        <w:t xml:space="preserve">Climate: Six of nine planetary boundaries already breached (FUTURES_RAG: Club of Rome, IPBES, Planetary Boundaries 2023).</w:t>
      </w:r>
    </w:p>
    <w:p>
      <w:pPr>
        <w:shd w:fill="F5F5F5" w:color="auto" w:val="clear"/>
        <w:spacing w:after="120" w:before="120"/>
        <w:ind w:left="360" w:right="360"/>
      </w:pPr>
      <w:r>
        <w:rPr>
          <w:rFonts w:ascii="Arial" w:cs="Arial" w:eastAsia="Arial" w:hAnsi="Arial"/>
          <w:b/>
          <w:bCs/>
          <w:color w:val="1B3A6B"/>
          <w:sz w:val="18"/>
          <w:szCs w:val="18"/>
        </w:rPr>
        <w:t xml:space="preserve">Thesis note: </w:t>
      </w:r>
      <w:r>
        <w:rPr>
          <w:rFonts w:ascii="Arial" w:cs="Arial" w:eastAsia="Arial" w:hAnsi="Arial"/>
          <w:i/>
          <w:iCs/>
          <w:color w:val="444444"/>
          <w:sz w:val="18"/>
          <w:szCs w:val="18"/>
        </w:rPr>
        <w:t xml:space="preserve">The thesis calibrates ζ = 0.88 (existential risk exponent) — very high, reflecting nonlinear impact. The denominator term Ω^0.88 × E^0.44 is clearly growing. The compound risk (high Omega AND high Elite overproduction simultaneously) is precisely the condition the thesis identifies as “catastrophically more dangerous than either alone.”</w:t>
      </w:r>
    </w:p>
    <w:p>
      <w:pPr>
        <w:pStyle w:val="Heading2"/>
        <w:spacing w:after="80" w:before="320"/>
      </w:pPr>
      <w:r>
        <w:rPr>
          <w:rFonts w:ascii="Arial" w:cs="Arial" w:eastAsia="Arial" w:hAnsi="Arial"/>
          <w:b/>
          <w:bCs/>
          <w:color w:val="1B3A6B"/>
          <w:sz w:val="24"/>
          <w:szCs w:val="24"/>
        </w:rPr>
        <w:t xml:space="preserve">Variable 6: Elite Overproduction E(t)</w:t>
      </w:r>
    </w:p>
    <w:p>
      <w:pPr>
        <w:shd w:fill="E8EEF7" w:color="auto" w:val="clear"/>
        <w:spacing w:after="100" w:before="60"/>
        <w:ind w:left="360"/>
      </w:pPr>
      <w:r>
        <w:rPr>
          <w:rFonts w:ascii="Arial" w:cs="Arial" w:eastAsia="Arial" w:hAnsi="Arial"/>
          <w:b/>
          <w:bCs/>
          <w:i/>
          <w:iCs/>
          <w:color w:val="1B3A6B"/>
          <w:sz w:val="20"/>
          <w:szCs w:val="20"/>
        </w:rPr>
        <w:t xml:space="preserve">E(2026) is at historically elevated levels globally</w:t>
      </w:r>
    </w:p>
    <w:p>
      <w:pPr>
        <w:spacing w:after="60" w:before="120"/>
      </w:pPr>
      <w:r>
        <w:rPr>
          <w:rFonts w:ascii="Arial" w:cs="Arial" w:eastAsia="Arial" w:hAnsi="Arial"/>
          <w:b/>
          <w:bCs/>
          <w:color w:val="8B0000"/>
          <w:sz w:val="20"/>
          <w:szCs w:val="20"/>
        </w:rPr>
        <w:t xml:space="preserve">INDIA_RAG: </w:t>
      </w:r>
      <w:r>
        <w:rPr>
          <w:rFonts w:ascii="Arial" w:cs="Arial" w:eastAsia="Arial" w:hAnsi="Arial"/>
          <w:color w:val="1A1A1A"/>
          <w:sz w:val="20"/>
          <w:szCs w:val="20"/>
        </w:rPr>
        <w:t xml:space="preserve">600M+ youth under 25; ~8M formal sector jobs per year. Engineering graduates (1.5M/year) competing for 200,000 positions. The BJP’s 2024 electoral underperformance (lost majority despite economic growth) was driven substantially by youth unemployment-driven E overproduction.</w:t>
      </w:r>
    </w:p>
    <w:p>
      <w:pPr>
        <w:spacing w:after="60" w:before="120"/>
      </w:pPr>
      <w:r>
        <w:rPr>
          <w:rFonts w:ascii="Arial" w:cs="Arial" w:eastAsia="Arial" w:hAnsi="Arial"/>
          <w:b/>
          <w:bCs/>
          <w:color w:val="8B0000"/>
          <w:sz w:val="20"/>
          <w:szCs w:val="20"/>
        </w:rPr>
        <w:t xml:space="preserve">CHINA_ECON_RAG + NIKKEI_RAG: </w:t>
      </w:r>
      <w:r>
        <w:rPr>
          <w:rFonts w:ascii="Arial" w:cs="Arial" w:eastAsia="Arial" w:hAnsi="Arial"/>
          <w:color w:val="1A1A1A"/>
          <w:sz w:val="20"/>
          <w:szCs w:val="20"/>
        </w:rPr>
        <w:t xml:space="preserve">China produces 12M university graduates per year entering an economy with insufficient credentialed positions. Youth unemployment peaked at 21.3% (2023) before statistics were suppressed. The “lying flat” (躁平) and “let it rot” (摆烂) cultural movements are the ethnographic signal of E &gt;&gt; Eᶜʳᴵᵗ — the population equivalent of Equation S6’s negative feedback loop activating.</w:t>
      </w:r>
    </w:p>
    <w:p>
      <w:pPr>
        <w:spacing w:after="60" w:before="120"/>
      </w:pPr>
      <w:r>
        <w:rPr>
          <w:rFonts w:ascii="Arial" w:cs="Arial" w:eastAsia="Arial" w:hAnsi="Arial"/>
          <w:b/>
          <w:bCs/>
          <w:color w:val="8B0000"/>
          <w:sz w:val="20"/>
          <w:szCs w:val="20"/>
        </w:rPr>
        <w:t xml:space="preserve">CONSULTING_RAG: </w:t>
      </w:r>
      <w:r>
        <w:rPr>
          <w:rFonts w:ascii="Arial" w:cs="Arial" w:eastAsia="Arial" w:hAnsi="Arial"/>
          <w:color w:val="1A1A1A"/>
          <w:sz w:val="20"/>
          <w:szCs w:val="20"/>
        </w:rPr>
        <w:t xml:space="preserve">AI is beginning to substitute for the work of junior knowledge workers — the exact population currently being credentialed to enter elite positions. The first wave of AI-enabled white-collar displacement (paralegal, financial analysis, basic coding) hits precisely the generation told that credentialing was the path to security. N_betrayal count increases.</w:t>
      </w:r>
    </w:p>
    <w:p>
      <w:pPr>
        <w:pStyle w:val="Heading2"/>
        <w:spacing w:after="80" w:before="320"/>
      </w:pPr>
      <w:r>
        <w:rPr>
          <w:rFonts w:ascii="Arial" w:cs="Arial" w:eastAsia="Arial" w:hAnsi="Arial"/>
          <w:b/>
          <w:bCs/>
          <w:color w:val="1B3A6B"/>
          <w:sz w:val="24"/>
          <w:szCs w:val="24"/>
        </w:rPr>
        <w:t xml:space="preserve">Variable 7: Gaia Coefficient ξ(t) — Distributed vs. Centralised Control</w:t>
      </w:r>
    </w:p>
    <w:p>
      <w:pPr>
        <w:shd w:fill="E8EEF7" w:color="auto" w:val="clear"/>
        <w:spacing w:after="100" w:before="60"/>
        <w:ind w:left="360"/>
      </w:pPr>
      <w:r>
        <w:rPr>
          <w:rFonts w:ascii="Arial" w:cs="Arial" w:eastAsia="Arial" w:hAnsi="Arial"/>
          <w:b/>
          <w:bCs/>
          <w:i/>
          <w:iCs/>
          <w:color w:val="1B3A6B"/>
          <w:sz w:val="20"/>
          <w:szCs w:val="20"/>
        </w:rPr>
        <w:t xml:space="preserve">ξ(2026) ≈ 0.28 — declining; crisis-centralisation pull is stronger than democracy-deepening push</w:t>
      </w:r>
    </w:p>
    <w:p>
      <w:pPr>
        <w:spacing w:after="60" w:before="120"/>
      </w:pPr>
      <w:r>
        <w:rPr>
          <w:rFonts w:ascii="Arial" w:cs="Arial" w:eastAsia="Arial" w:hAnsi="Arial"/>
          <w:b/>
          <w:bCs/>
          <w:color w:val="8B0000"/>
          <w:sz w:val="20"/>
          <w:szCs w:val="20"/>
        </w:rPr>
        <w:t xml:space="preserve">MILITARY_RAG: </w:t>
      </w:r>
      <w:r>
        <w:rPr>
          <w:rFonts w:ascii="Arial" w:cs="Arial" w:eastAsia="Arial" w:hAnsi="Arial"/>
          <w:color w:val="1A1A1A"/>
          <w:sz w:val="20"/>
          <w:szCs w:val="20"/>
        </w:rPr>
        <w:t xml:space="preserve">AUKUS, Quad, and the US-ROK-Japan trilateral are ξ-positive (distributed security architecture). But the Russia-Ukraine conflict has produced war-economy centralisation across Europe; China’s response has been to increase CCP centralisation of economic management.</w:t>
      </w:r>
    </w:p>
    <w:p>
      <w:pPr>
        <w:spacing w:after="60" w:before="120"/>
      </w:pPr>
      <w:r>
        <w:rPr>
          <w:rFonts w:ascii="Arial" w:cs="Arial" w:eastAsia="Arial" w:hAnsi="Arial"/>
          <w:b/>
          <w:bCs/>
          <w:color w:val="8B0000"/>
          <w:sz w:val="20"/>
          <w:szCs w:val="20"/>
        </w:rPr>
        <w:t xml:space="preserve">ASEAN_DATA_RAG (2,727 chunks): </w:t>
      </w:r>
      <w:r>
        <w:rPr>
          <w:rFonts w:ascii="Arial" w:cs="Arial" w:eastAsia="Arial" w:hAnsi="Arial"/>
          <w:color w:val="1A1A1A"/>
          <w:sz w:val="20"/>
          <w:szCs w:val="20"/>
        </w:rPr>
        <w:t xml:space="preserve">ISEAS “State of Southeast Asia Survey 2024” documents declining confidence in ASEAN institutions as primary guarantor of regional order — movement toward bilateral major-power alignment. ξ↓.</w:t>
      </w:r>
    </w:p>
    <w:p>
      <w:pPr>
        <w:spacing w:after="60" w:before="120"/>
      </w:pPr>
      <w:r>
        <w:rPr>
          <w:rFonts w:ascii="Arial" w:cs="Arial" w:eastAsia="Arial" w:hAnsi="Arial"/>
          <w:b/>
          <w:bCs/>
          <w:color w:val="8B0000"/>
          <w:sz w:val="20"/>
          <w:szCs w:val="20"/>
        </w:rPr>
        <w:t xml:space="preserve">JAPAN_RAG (771 chunks): </w:t>
      </w:r>
      <w:r>
        <w:rPr>
          <w:rFonts w:ascii="Arial" w:cs="Arial" w:eastAsia="Arial" w:hAnsi="Arial"/>
          <w:color w:val="1A1A1A"/>
          <w:sz w:val="20"/>
          <w:szCs w:val="20"/>
        </w:rPr>
        <w:t xml:space="preserve">BOJ Monetary Policy Meeting Minutes document the central bank operating under unprecedented centralised monetary intervention (yield curve control). When the BOJ finally began normalising (April–July 2024 rate hikes), market volatility revealed how structurally dependent global bond markets had become on this centralised intervention.</w:t>
      </w:r>
    </w:p>
    <w:p>
      <w:pPr>
        <w:spacing w:after="80" w:before="100"/>
      </w:pPr>
      <w:r>
        <w:rPr>
          <w:rFonts w:ascii="Arial" w:cs="Arial" w:eastAsia="Arial" w:hAnsi="Arial"/>
          <w:b/>
          <w:bCs/>
          <w:color w:val="2E7D32"/>
          <w:sz w:val="20"/>
          <w:szCs w:val="20"/>
        </w:rPr>
        <w:t xml:space="preserve">Positive signal — India’s DPI: </w:t>
      </w:r>
      <w:r>
        <w:rPr>
          <w:rFonts w:ascii="Arial" w:cs="Arial" w:eastAsia="Arial" w:hAnsi="Arial"/>
          <w:color w:val="1A1A1A"/>
          <w:sz w:val="20"/>
          <w:szCs w:val="20"/>
        </w:rPr>
        <w:t xml:space="preserve">UPI processed $3T in transactions in 2024. ONDC is creating an open e-commerce protocol that prevents platform monopolisation. This is what ξ↑ looks like at state scale: government-created but open-access digital infrastructure that distributes economic power rather than concentrating it.</w:t>
      </w:r>
    </w:p>
    <w:p>
      <w:pPr>
        <w:pStyle w:val="Heading1"/>
        <w:pBdr>
          <w:bottom w:val="single" w:color="1B3A6B" w:sz="6" w:space="1"/>
        </w:pBdr>
        <w:spacing w:after="120" w:before="400"/>
      </w:pPr>
      <w:r>
        <w:rPr>
          <w:rFonts w:ascii="Arial" w:cs="Arial" w:eastAsia="Arial" w:hAnsi="Arial"/>
          <w:b/>
          <w:bCs/>
          <w:color w:val="1B3A6B"/>
          <w:sz w:val="28"/>
          <w:szCs w:val="28"/>
        </w:rPr>
        <w:t xml:space="preserve">PART II — Φ(C, 2026) ESTIMATE</w:t>
      </w:r>
    </w:p>
    <w:p>
      <w:pPr>
        <w:spacing w:after="80" w:before="80"/>
      </w:pPr>
      <w:r>
        <w:rPr>
          <w:rFonts w:ascii="Arial" w:cs="Arial" w:eastAsia="Arial" w:hAnsi="Arial"/>
          <w:color w:val="1A1A1A"/>
          <w:sz w:val="20"/>
          <w:szCs w:val="20"/>
        </w:rPr>
        <w:t xml:space="preserve">Using the Master Equation: Φ(C,t) = [A^0.31 × K^0.22 × I^0.29 × L^0.18 × (1+ξ)^0.12] / [1 + Ω^0.88 × E^0.44]</w:t>
      </w:r>
    </w:p>
    <w:p>
      <w:pPr>
        <w:spacing w:after="0" w:before="2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40"/>
        <w:gridCol w:w="600"/>
        <w:gridCol w:w="1080"/>
        <w:gridCol w:w="900"/>
        <w:gridCol w:w="5180"/>
      </w:tblGrid>
      <w:tr>
        <w:tc>
          <w:tcPr>
            <w:tcW w:type="auto" w:w="0"/>
            <w:shd w:fill="1B3A6B" w:color="auto" w:val="clear"/>
          </w:tcPr>
          <w:p>
            <w:r>
              <w:rPr>
                <w:rFonts w:ascii="Arial" w:cs="Arial" w:eastAsia="Arial" w:hAnsi="Arial"/>
                <w:b/>
                <w:bCs/>
                <w:color w:val="FFFFFF"/>
                <w:sz w:val="18"/>
                <w:szCs w:val="18"/>
              </w:rPr>
              <w:t xml:space="preserve">Variable</w:t>
            </w:r>
          </w:p>
        </w:tc>
        <w:tc>
          <w:tcPr>
            <w:tcW w:type="auto" w:w="0"/>
            <w:shd w:fill="1B3A6B" w:color="auto" w:val="clear"/>
          </w:tcPr>
          <w:p>
            <w:r>
              <w:rPr>
                <w:rFonts w:ascii="Arial" w:cs="Arial" w:eastAsia="Arial" w:hAnsi="Arial"/>
                <w:b/>
                <w:bCs/>
                <w:color w:val="FFFFFF"/>
                <w:sz w:val="18"/>
                <w:szCs w:val="18"/>
              </w:rPr>
              <w:t xml:space="preserve">Symbol</w:t>
            </w:r>
          </w:p>
        </w:tc>
        <w:tc>
          <w:tcPr>
            <w:tcW w:type="auto" w:w="0"/>
            <w:shd w:fill="1B3A6B" w:color="auto" w:val="clear"/>
          </w:tcPr>
          <w:p>
            <w:r>
              <w:rPr>
                <w:rFonts w:ascii="Arial" w:cs="Arial" w:eastAsia="Arial" w:hAnsi="Arial"/>
                <w:b/>
                <w:bCs/>
                <w:color w:val="FFFFFF"/>
                <w:sz w:val="18"/>
                <w:szCs w:val="18"/>
              </w:rPr>
              <w:t xml:space="preserve">2026 Reading</w:t>
            </w:r>
          </w:p>
        </w:tc>
        <w:tc>
          <w:tcPr>
            <w:tcW w:type="auto" w:w="0"/>
            <w:shd w:fill="1B3A6B" w:color="auto" w:val="clear"/>
          </w:tcPr>
          <w:p>
            <w:r>
              <w:rPr>
                <w:rFonts w:ascii="Arial" w:cs="Arial" w:eastAsia="Arial" w:hAnsi="Arial"/>
                <w:b/>
                <w:bCs/>
                <w:color w:val="FFFFFF"/>
                <w:sz w:val="18"/>
                <w:szCs w:val="18"/>
              </w:rPr>
              <w:t xml:space="preserve">Direction</w:t>
            </w:r>
          </w:p>
        </w:tc>
        <w:tc>
          <w:tcPr>
            <w:tcW w:type="auto" w:w="0"/>
            <w:shd w:fill="1B3A6B" w:color="auto" w:val="clear"/>
          </w:tcPr>
          <w:p>
            <w:r>
              <w:rPr>
                <w:rFonts w:ascii="Arial" w:cs="Arial" w:eastAsia="Arial" w:hAnsi="Arial"/>
                <w:b/>
                <w:bCs/>
                <w:color w:val="FFFFFF"/>
                <w:sz w:val="18"/>
                <w:szCs w:val="18"/>
              </w:rPr>
              <w:t xml:space="preserve">Primary Evidence</w:t>
            </w:r>
          </w:p>
        </w:tc>
      </w:tr>
      <w:tr>
        <w:tc>
          <w:tcPr>
            <w:tcW w:type="auto" w:w="0"/>
          </w:tcPr>
          <w:p>
            <w:r>
              <w:rPr>
                <w:rFonts w:ascii="Arial" w:cs="Arial" w:eastAsia="Arial" w:hAnsi="Arial"/>
                <w:b w:val="false"/>
                <w:bCs w:val="false"/>
                <w:color w:val="1A1A1A"/>
                <w:sz w:val="18"/>
                <w:szCs w:val="18"/>
              </w:rPr>
              <w:t xml:space="preserve">Asabiyyah</w:t>
            </w:r>
          </w:p>
        </w:tc>
        <w:tc>
          <w:tcPr>
            <w:tcW w:type="auto" w:w="0"/>
          </w:tcPr>
          <w:p>
            <w:r>
              <w:rPr>
                <w:rFonts w:ascii="Arial" w:cs="Arial" w:eastAsia="Arial" w:hAnsi="Arial"/>
                <w:b w:val="false"/>
                <w:bCs w:val="false"/>
                <w:color w:val="1A1A1A"/>
                <w:sz w:val="18"/>
                <w:szCs w:val="18"/>
              </w:rPr>
              <w:t xml:space="preserve">A</w:t>
            </w:r>
          </w:p>
        </w:tc>
        <w:tc>
          <w:tcPr>
            <w:tcW w:type="auto" w:w="0"/>
          </w:tcPr>
          <w:p>
            <w:r>
              <w:rPr>
                <w:rFonts w:ascii="Arial" w:cs="Arial" w:eastAsia="Arial" w:hAnsi="Arial"/>
                <w:b w:val="false"/>
                <w:bCs w:val="false"/>
                <w:color w:val="1A1A1A"/>
                <w:sz w:val="18"/>
                <w:szCs w:val="18"/>
              </w:rPr>
              <w:t xml:space="preserve">0.34</w:t>
            </w:r>
          </w:p>
        </w:tc>
        <w:tc>
          <w:tcPr>
            <w:tcW w:type="auto" w:w="0"/>
          </w:tcPr>
          <w:p>
            <w:r>
              <w:rPr>
                <w:rFonts w:ascii="Arial" w:cs="Arial" w:eastAsia="Arial" w:hAnsi="Arial"/>
                <w:b/>
                <w:bCs/>
                <w:color w:val="8B0000"/>
                <w:sz w:val="18"/>
                <w:szCs w:val="18"/>
              </w:rPr>
              <w:t xml:space="preserve">↓ Declining</w:t>
            </w:r>
          </w:p>
        </w:tc>
        <w:tc>
          <w:tcPr>
            <w:tcW w:type="auto" w:w="0"/>
          </w:tcPr>
          <w:p>
            <w:r>
              <w:rPr>
                <w:rFonts w:ascii="Arial" w:cs="Arial" w:eastAsia="Arial" w:hAnsi="Arial"/>
                <w:b w:val="false"/>
                <w:bCs w:val="false"/>
                <w:color w:val="1A1A1A"/>
                <w:sz w:val="18"/>
                <w:szCs w:val="18"/>
              </w:rPr>
              <w:t xml:space="preserve">CNA_RAG ASEAN fragmentation; HUMAN_RIGHTS_RAG collapse zones</w:t>
            </w:r>
          </w:p>
        </w:tc>
      </w:tr>
      <w:tr>
        <w:tc>
          <w:tcPr>
            <w:tcW w:type="auto" w:w="0"/>
          </w:tcPr>
          <w:p>
            <w:r>
              <w:rPr>
                <w:rFonts w:ascii="Arial" w:cs="Arial" w:eastAsia="Arial" w:hAnsi="Arial"/>
                <w:b w:val="false"/>
                <w:bCs w:val="false"/>
                <w:color w:val="1A1A1A"/>
                <w:sz w:val="18"/>
                <w:szCs w:val="18"/>
              </w:rPr>
              <w:t xml:space="preserve">Knowledge Capital</w:t>
            </w:r>
          </w:p>
        </w:tc>
        <w:tc>
          <w:tcPr>
            <w:tcW w:type="auto" w:w="0"/>
          </w:tcPr>
          <w:p>
            <w:r>
              <w:rPr>
                <w:rFonts w:ascii="Arial" w:cs="Arial" w:eastAsia="Arial" w:hAnsi="Arial"/>
                <w:b w:val="false"/>
                <w:bCs w:val="false"/>
                <w:color w:val="1A1A1A"/>
                <w:sz w:val="18"/>
                <w:szCs w:val="18"/>
              </w:rPr>
              <w:t xml:space="preserve">K</w:t>
            </w:r>
          </w:p>
        </w:tc>
        <w:tc>
          <w:tcPr>
            <w:tcW w:type="auto" w:w="0"/>
          </w:tcPr>
          <w:p>
            <w:r>
              <w:rPr>
                <w:rFonts w:ascii="Arial" w:cs="Arial" w:eastAsia="Arial" w:hAnsi="Arial"/>
                <w:b w:val="false"/>
                <w:bCs w:val="false"/>
                <w:color w:val="1A1A1A"/>
                <w:sz w:val="18"/>
                <w:szCs w:val="18"/>
              </w:rPr>
              <w:t xml:space="preserve">1.00 (AI boom)</w:t>
            </w:r>
          </w:p>
        </w:tc>
        <w:tc>
          <w:tcPr>
            <w:tcW w:type="auto" w:w="0"/>
          </w:tcPr>
          <w:p>
            <w:r>
              <w:rPr>
                <w:rFonts w:ascii="Arial" w:cs="Arial" w:eastAsia="Arial" w:hAnsi="Arial"/>
                <w:b/>
                <w:bCs/>
                <w:color w:val="2E7D32"/>
                <w:sz w:val="18"/>
                <w:szCs w:val="18"/>
              </w:rPr>
              <w:t xml:space="preserve">↑ Rising fast</w:t>
            </w:r>
          </w:p>
        </w:tc>
        <w:tc>
          <w:tcPr>
            <w:tcW w:type="auto" w:w="0"/>
          </w:tcPr>
          <w:p>
            <w:r>
              <w:rPr>
                <w:rFonts w:ascii="Arial" w:cs="Arial" w:eastAsia="Arial" w:hAnsi="Arial"/>
                <w:b w:val="false"/>
                <w:bCs w:val="false"/>
                <w:color w:val="1A1A1A"/>
                <w:sz w:val="18"/>
                <w:szCs w:val="18"/>
              </w:rPr>
              <w:t xml:space="preserve">EDGAR_RAG capex $500B+; CONSULTING_RAG MGI productivity data</w:t>
            </w:r>
          </w:p>
        </w:tc>
      </w:tr>
      <w:tr>
        <w:tc>
          <w:tcPr>
            <w:tcW w:type="auto" w:w="0"/>
          </w:tcPr>
          <w:p>
            <w:r>
              <w:rPr>
                <w:rFonts w:ascii="Arial" w:cs="Arial" w:eastAsia="Arial" w:hAnsi="Arial"/>
                <w:b w:val="false"/>
                <w:bCs w:val="false"/>
                <w:color w:val="1A1A1A"/>
                <w:sz w:val="18"/>
                <w:szCs w:val="18"/>
              </w:rPr>
              <w:t xml:space="preserve">Institutional Resilience</w:t>
            </w:r>
          </w:p>
        </w:tc>
        <w:tc>
          <w:tcPr>
            <w:tcW w:type="auto" w:w="0"/>
          </w:tcPr>
          <w:p>
            <w:r>
              <w:rPr>
                <w:rFonts w:ascii="Arial" w:cs="Arial" w:eastAsia="Arial" w:hAnsi="Arial"/>
                <w:b w:val="false"/>
                <w:bCs w:val="false"/>
                <w:color w:val="1A1A1A"/>
                <w:sz w:val="18"/>
                <w:szCs w:val="18"/>
              </w:rPr>
              <w:t xml:space="preserve">I</w:t>
            </w:r>
          </w:p>
        </w:tc>
        <w:tc>
          <w:tcPr>
            <w:tcW w:type="auto" w:w="0"/>
          </w:tcPr>
          <w:p>
            <w:r>
              <w:rPr>
                <w:rFonts w:ascii="Arial" w:cs="Arial" w:eastAsia="Arial" w:hAnsi="Arial"/>
                <w:b w:val="false"/>
                <w:bCs w:val="false"/>
                <w:color w:val="1A1A1A"/>
                <w:sz w:val="18"/>
                <w:szCs w:val="18"/>
              </w:rPr>
              <w:t xml:space="preserve">0.41</w:t>
            </w:r>
          </w:p>
        </w:tc>
        <w:tc>
          <w:tcPr>
            <w:tcW w:type="auto" w:w="0"/>
          </w:tcPr>
          <w:p>
            <w:r>
              <w:rPr>
                <w:rFonts w:ascii="Arial" w:cs="Arial" w:eastAsia="Arial" w:hAnsi="Arial"/>
                <w:b/>
                <w:bCs/>
                <w:color w:val="E65100"/>
                <w:sz w:val="18"/>
                <w:szCs w:val="18"/>
              </w:rPr>
              <w:t xml:space="preserve">→ Marginal</w:t>
            </w:r>
          </w:p>
        </w:tc>
        <w:tc>
          <w:tcPr>
            <w:tcW w:type="auto" w:w="0"/>
          </w:tcPr>
          <w:p>
            <w:r>
              <w:rPr>
                <w:rFonts w:ascii="Arial" w:cs="Arial" w:eastAsia="Arial" w:hAnsi="Arial"/>
                <w:b w:val="false"/>
                <w:bCs w:val="false"/>
                <w:color w:val="1A1A1A"/>
                <w:sz w:val="18"/>
                <w:szCs w:val="18"/>
              </w:rPr>
              <w:t xml:space="preserve">US_POLICY_RAG Fed performance; RSF press freedom 162/180 declining</w:t>
            </w:r>
          </w:p>
        </w:tc>
      </w:tr>
      <w:tr>
        <w:tc>
          <w:tcPr>
            <w:tcW w:type="auto" w:w="0"/>
          </w:tcPr>
          <w:p>
            <w:r>
              <w:rPr>
                <w:rFonts w:ascii="Arial" w:cs="Arial" w:eastAsia="Arial" w:hAnsi="Arial"/>
                <w:b w:val="false"/>
                <w:bCs w:val="false"/>
                <w:color w:val="1A1A1A"/>
                <w:sz w:val="18"/>
                <w:szCs w:val="18"/>
              </w:rPr>
              <w:t xml:space="preserve">Legitimacy</w:t>
            </w:r>
          </w:p>
        </w:tc>
        <w:tc>
          <w:tcPr>
            <w:tcW w:type="auto" w:w="0"/>
          </w:tcPr>
          <w:p>
            <w:r>
              <w:rPr>
                <w:rFonts w:ascii="Arial" w:cs="Arial" w:eastAsia="Arial" w:hAnsi="Arial"/>
                <w:b w:val="false"/>
                <w:bCs w:val="false"/>
                <w:color w:val="1A1A1A"/>
                <w:sz w:val="18"/>
                <w:szCs w:val="18"/>
              </w:rPr>
              <w:t xml:space="preserve">L</w:t>
            </w:r>
          </w:p>
        </w:tc>
        <w:tc>
          <w:tcPr>
            <w:tcW w:type="auto" w:w="0"/>
          </w:tcPr>
          <w:p>
            <w:r>
              <w:rPr>
                <w:rFonts w:ascii="Arial" w:cs="Arial" w:eastAsia="Arial" w:hAnsi="Arial"/>
                <w:b w:val="false"/>
                <w:bCs w:val="false"/>
                <w:color w:val="1A1A1A"/>
                <w:sz w:val="18"/>
                <w:szCs w:val="18"/>
              </w:rPr>
              <w:t xml:space="preserve">0.39</w:t>
            </w:r>
          </w:p>
        </w:tc>
        <w:tc>
          <w:tcPr>
            <w:tcW w:type="auto" w:w="0"/>
          </w:tcPr>
          <w:p>
            <w:r>
              <w:rPr>
                <w:rFonts w:ascii="Arial" w:cs="Arial" w:eastAsia="Arial" w:hAnsi="Arial"/>
                <w:b/>
                <w:bCs/>
                <w:color w:val="8B0000"/>
                <w:sz w:val="18"/>
                <w:szCs w:val="18"/>
              </w:rPr>
              <w:t xml:space="preserve">↓ Below L₃ᵉᵇ</w:t>
            </w:r>
          </w:p>
        </w:tc>
        <w:tc>
          <w:tcPr>
            <w:tcW w:type="auto" w:w="0"/>
          </w:tcPr>
          <w:p>
            <w:r>
              <w:rPr>
                <w:rFonts w:ascii="Arial" w:cs="Arial" w:eastAsia="Arial" w:hAnsi="Arial"/>
                <w:b w:val="false"/>
                <w:bCs w:val="false"/>
                <w:color w:val="1A1A1A"/>
                <w:sz w:val="18"/>
                <w:szCs w:val="18"/>
              </w:rPr>
              <w:t xml:space="preserve">CNA_RAG Japan/ASEAN; CHINA_ECON_RAG property crisis</w:t>
            </w:r>
          </w:p>
        </w:tc>
      </w:tr>
      <w:tr>
        <w:tc>
          <w:tcPr>
            <w:tcW w:type="auto" w:w="0"/>
          </w:tcPr>
          <w:p>
            <w:r>
              <w:rPr>
                <w:rFonts w:ascii="Arial" w:cs="Arial" w:eastAsia="Arial" w:hAnsi="Arial"/>
                <w:b w:val="false"/>
                <w:bCs w:val="false"/>
                <w:color w:val="1A1A1A"/>
                <w:sz w:val="18"/>
                <w:szCs w:val="18"/>
              </w:rPr>
              <w:t xml:space="preserve">Existential Risk</w:t>
            </w:r>
          </w:p>
        </w:tc>
        <w:tc>
          <w:tcPr>
            <w:tcW w:type="auto" w:w="0"/>
          </w:tcPr>
          <w:p>
            <w:r>
              <w:rPr>
                <w:rFonts w:ascii="Arial" w:cs="Arial" w:eastAsia="Arial" w:hAnsi="Arial"/>
                <w:b w:val="false"/>
                <w:bCs w:val="false"/>
                <w:color w:val="1A1A1A"/>
                <w:sz w:val="18"/>
                <w:szCs w:val="18"/>
              </w:rPr>
              <w:t xml:space="preserve">Ω</w:t>
            </w:r>
          </w:p>
        </w:tc>
        <w:tc>
          <w:tcPr>
            <w:tcW w:type="auto" w:w="0"/>
          </w:tcPr>
          <w:p>
            <w:r>
              <w:rPr>
                <w:rFonts w:ascii="Arial" w:cs="Arial" w:eastAsia="Arial" w:hAnsi="Arial"/>
                <w:b w:val="false"/>
                <w:bCs w:val="false"/>
                <w:color w:val="1A1A1A"/>
                <w:sz w:val="18"/>
                <w:szCs w:val="18"/>
              </w:rPr>
              <w:t xml:space="preserve">0.72 (elevated)</w:t>
            </w:r>
          </w:p>
        </w:tc>
        <w:tc>
          <w:tcPr>
            <w:tcW w:type="auto" w:w="0"/>
          </w:tcPr>
          <w:p>
            <w:r>
              <w:rPr>
                <w:rFonts w:ascii="Arial" w:cs="Arial" w:eastAsia="Arial" w:hAnsi="Arial"/>
                <w:b/>
                <w:bCs/>
                <w:color w:val="8B0000"/>
                <w:sz w:val="18"/>
                <w:szCs w:val="18"/>
              </w:rPr>
              <w:t xml:space="preserve">↑ Rising</w:t>
            </w:r>
          </w:p>
        </w:tc>
        <w:tc>
          <w:tcPr>
            <w:tcW w:type="auto" w:w="0"/>
          </w:tcPr>
          <w:p>
            <w:r>
              <w:rPr>
                <w:rFonts w:ascii="Arial" w:cs="Arial" w:eastAsia="Arial" w:hAnsi="Arial"/>
                <w:b w:val="false"/>
                <w:bCs w:val="false"/>
                <w:color w:val="1A1A1A"/>
                <w:sz w:val="18"/>
                <w:szCs w:val="18"/>
              </w:rPr>
              <w:t xml:space="preserve">FUTURES_RAG WEF GRR 2025; MILITARY_RAG nuclear/bio/AI/climate</w:t>
            </w:r>
          </w:p>
        </w:tc>
      </w:tr>
      <w:tr>
        <w:tc>
          <w:tcPr>
            <w:tcW w:type="auto" w:w="0"/>
          </w:tcPr>
          <w:p>
            <w:r>
              <w:rPr>
                <w:rFonts w:ascii="Arial" w:cs="Arial" w:eastAsia="Arial" w:hAnsi="Arial"/>
                <w:b w:val="false"/>
                <w:bCs w:val="false"/>
                <w:color w:val="1A1A1A"/>
                <w:sz w:val="18"/>
                <w:szCs w:val="18"/>
              </w:rPr>
              <w:t xml:space="preserve">Elite Overproduction</w:t>
            </w:r>
          </w:p>
        </w:tc>
        <w:tc>
          <w:tcPr>
            <w:tcW w:type="auto" w:w="0"/>
          </w:tcPr>
          <w:p>
            <w:r>
              <w:rPr>
                <w:rFonts w:ascii="Arial" w:cs="Arial" w:eastAsia="Arial" w:hAnsi="Arial"/>
                <w:b w:val="false"/>
                <w:bCs w:val="false"/>
                <w:color w:val="1A1A1A"/>
                <w:sz w:val="18"/>
                <w:szCs w:val="18"/>
              </w:rPr>
              <w:t xml:space="preserve">E</w:t>
            </w:r>
          </w:p>
        </w:tc>
        <w:tc>
          <w:tcPr>
            <w:tcW w:type="auto" w:w="0"/>
          </w:tcPr>
          <w:p>
            <w:r>
              <w:rPr>
                <w:rFonts w:ascii="Arial" w:cs="Arial" w:eastAsia="Arial" w:hAnsi="Arial"/>
                <w:b w:val="false"/>
                <w:bCs w:val="false"/>
                <w:color w:val="1A1A1A"/>
                <w:sz w:val="18"/>
                <w:szCs w:val="18"/>
              </w:rPr>
              <w:t xml:space="preserve">0.68 (elevated)</w:t>
            </w:r>
          </w:p>
        </w:tc>
        <w:tc>
          <w:tcPr>
            <w:tcW w:type="auto" w:w="0"/>
          </w:tcPr>
          <w:p>
            <w:r>
              <w:rPr>
                <w:rFonts w:ascii="Arial" w:cs="Arial" w:eastAsia="Arial" w:hAnsi="Arial"/>
                <w:b/>
                <w:bCs/>
                <w:color w:val="8B0000"/>
                <w:sz w:val="18"/>
                <w:szCs w:val="18"/>
              </w:rPr>
              <w:t xml:space="preserve">↑ Rising</w:t>
            </w:r>
          </w:p>
        </w:tc>
        <w:tc>
          <w:tcPr>
            <w:tcW w:type="auto" w:w="0"/>
          </w:tcPr>
          <w:p>
            <w:r>
              <w:rPr>
                <w:rFonts w:ascii="Arial" w:cs="Arial" w:eastAsia="Arial" w:hAnsi="Arial"/>
                <w:b w:val="false"/>
                <w:bCs w:val="false"/>
                <w:color w:val="1A1A1A"/>
                <w:sz w:val="18"/>
                <w:szCs w:val="18"/>
              </w:rPr>
              <w:t xml:space="preserve">INDIA_RAG youth cohort; CHINA_ECON_RAG graduate crisis</w:t>
            </w:r>
          </w:p>
        </w:tc>
      </w:tr>
      <w:tr>
        <w:tc>
          <w:tcPr>
            <w:tcW w:type="auto" w:w="0"/>
          </w:tcPr>
          <w:p>
            <w:r>
              <w:rPr>
                <w:rFonts w:ascii="Arial" w:cs="Arial" w:eastAsia="Arial" w:hAnsi="Arial"/>
                <w:b w:val="false"/>
                <w:bCs w:val="false"/>
                <w:color w:val="1A1A1A"/>
                <w:sz w:val="18"/>
                <w:szCs w:val="18"/>
              </w:rPr>
              <w:t xml:space="preserve">Gaia Coefficient</w:t>
            </w:r>
          </w:p>
        </w:tc>
        <w:tc>
          <w:tcPr>
            <w:tcW w:type="auto" w:w="0"/>
          </w:tcPr>
          <w:p>
            <w:r>
              <w:rPr>
                <w:rFonts w:ascii="Arial" w:cs="Arial" w:eastAsia="Arial" w:hAnsi="Arial"/>
                <w:b w:val="false"/>
                <w:bCs w:val="false"/>
                <w:color w:val="1A1A1A"/>
                <w:sz w:val="18"/>
                <w:szCs w:val="18"/>
              </w:rPr>
              <w:t xml:space="preserve">ξ</w:t>
            </w:r>
          </w:p>
        </w:tc>
        <w:tc>
          <w:tcPr>
            <w:tcW w:type="auto" w:w="0"/>
          </w:tcPr>
          <w:p>
            <w:r>
              <w:rPr>
                <w:rFonts w:ascii="Arial" w:cs="Arial" w:eastAsia="Arial" w:hAnsi="Arial"/>
                <w:b w:val="false"/>
                <w:bCs w:val="false"/>
                <w:color w:val="1A1A1A"/>
                <w:sz w:val="18"/>
                <w:szCs w:val="18"/>
              </w:rPr>
              <w:t xml:space="preserve">0.28</w:t>
            </w:r>
          </w:p>
        </w:tc>
        <w:tc>
          <w:tcPr>
            <w:tcW w:type="auto" w:w="0"/>
          </w:tcPr>
          <w:p>
            <w:r>
              <w:rPr>
                <w:rFonts w:ascii="Arial" w:cs="Arial" w:eastAsia="Arial" w:hAnsi="Arial"/>
                <w:b/>
                <w:bCs/>
                <w:color w:val="8B0000"/>
                <w:sz w:val="18"/>
                <w:szCs w:val="18"/>
              </w:rPr>
              <w:t xml:space="preserve">↓ Declining</w:t>
            </w:r>
          </w:p>
        </w:tc>
        <w:tc>
          <w:tcPr>
            <w:tcW w:type="auto" w:w="0"/>
          </w:tcPr>
          <w:p>
            <w:r>
              <w:rPr>
                <w:rFonts w:ascii="Arial" w:cs="Arial" w:eastAsia="Arial" w:hAnsi="Arial"/>
                <w:b w:val="false"/>
                <w:bCs w:val="false"/>
                <w:color w:val="1A1A1A"/>
                <w:sz w:val="18"/>
                <w:szCs w:val="18"/>
              </w:rPr>
              <w:t xml:space="preserve">ASEAN_DATA_RAG; JAPAN_RAG BOJ centralisation</w:t>
            </w:r>
          </w:p>
        </w:tc>
      </w:tr>
    </w:tbl>
    <w:p>
      <w:pPr>
        <w:spacing w:after="0" w:before="240"/>
      </w:pPr>
    </w:p>
    <w:p>
      <w:pPr>
        <w:pStyle w:val="Heading2"/>
        <w:spacing w:after="80" w:before="320"/>
      </w:pPr>
      <w:r>
        <w:rPr>
          <w:rFonts w:ascii="Arial" w:cs="Arial" w:eastAsia="Arial" w:hAnsi="Arial"/>
          <w:b/>
          <w:bCs/>
          <w:color w:val="1B3A6B"/>
          <w:sz w:val="24"/>
          <w:szCs w:val="24"/>
        </w:rPr>
        <w:t xml:space="preserve">Calculation</w:t>
      </w:r>
    </w:p>
    <w:p>
      <w:pPr>
        <w:spacing w:after="40" w:before="40"/>
        <w:ind w:left="360"/>
      </w:pPr>
      <w:r>
        <w:rPr>
          <w:rFonts w:ascii="Arial" w:cs="Arial" w:eastAsia="Arial" w:hAnsi="Arial"/>
          <w:b/>
          <w:bCs/>
          <w:color w:val="1B3A6B"/>
          <w:sz w:val="20"/>
          <w:szCs w:val="20"/>
        </w:rPr>
        <w:t xml:space="preserve">Numerator: </w:t>
      </w:r>
      <w:r>
        <w:rPr>
          <w:rFonts w:ascii="Arial" w:cs="Arial" w:eastAsia="Arial" w:hAnsi="Arial"/>
          <w:color w:val="1A1A1A"/>
          <w:sz w:val="20"/>
          <w:szCs w:val="20"/>
        </w:rPr>
        <w:t xml:space="preserve">0.34^0.31 × 1.0^0.22 × 0.41^0.29 × 0.39^0.18 × (1.28)^0.12 = 0.724 × 1.0 × 0.798 × 0.842 × 1.031 ≈ 0.503</w:t>
      </w:r>
    </w:p>
    <w:p>
      <w:pPr>
        <w:spacing w:after="40" w:before="40"/>
        <w:ind w:left="360"/>
      </w:pPr>
      <w:r>
        <w:rPr>
          <w:rFonts w:ascii="Arial" w:cs="Arial" w:eastAsia="Arial" w:hAnsi="Arial"/>
          <w:b/>
          <w:bCs/>
          <w:color w:val="1B3A6B"/>
          <w:sz w:val="20"/>
          <w:szCs w:val="20"/>
        </w:rPr>
        <w:t xml:space="preserve">Denominator: </w:t>
      </w:r>
      <w:r>
        <w:rPr>
          <w:rFonts w:ascii="Arial" w:cs="Arial" w:eastAsia="Arial" w:hAnsi="Arial"/>
          <w:color w:val="1A1A1A"/>
          <w:sz w:val="20"/>
          <w:szCs w:val="20"/>
        </w:rPr>
        <w:t xml:space="preserve">1 + 0.72^0.88 × 0.68^0.44 = 1 + 0.752 × 0.852 = 1 + 0.641 = 1.641</w:t>
      </w:r>
    </w:p>
    <w:p>
      <w:pPr>
        <w:shd w:fill="EEF2F8" w:color="auto" w:val="clear"/>
        <w:spacing w:after="160" w:before="160"/>
      </w:pPr>
      <w:r>
        <w:rPr>
          <w:rFonts w:ascii="Arial" w:cs="Arial" w:eastAsia="Arial" w:hAnsi="Arial"/>
          <w:b/>
          <w:bCs/>
          <w:color w:val="8B0000"/>
          <w:sz w:val="28"/>
          <w:szCs w:val="28"/>
        </w:rPr>
        <w:t xml:space="preserve">Φ(C, 2026) ≈ 0.503 / 1.641 ≈ 0.307</w:t>
      </w:r>
    </w:p>
    <w:p>
      <w:pPr>
        <w:pBdr>
          <w:left w:val="single" w:color="1B3A6B" w:sz="18" w:space="12"/>
        </w:pBdr>
        <w:spacing w:after="200" w:before="200"/>
        <w:ind w:left="720" w:right="720"/>
      </w:pPr>
      <w:r>
        <w:rPr>
          <w:rFonts w:ascii="Arial" w:cs="Arial" w:eastAsia="Arial" w:hAnsi="Arial"/>
          <w:i/>
          <w:iCs/>
          <w:color w:val="1B3A6B"/>
          <w:sz w:val="22"/>
          <w:szCs w:val="22"/>
        </w:rPr>
        <w:t xml:space="preserve">“The global civilisational system in 2026 is in the collapse attractor basin, not the persistence basin. The system is not in free-fall — but the dynamics trend toward collapse and have not yet produced irreversible discontinuity.”</w:t>
      </w:r>
    </w:p>
    <w:p>
      <w:pPr>
        <w:spacing w:after="80" w:before="80"/>
      </w:pPr>
      <w:r>
        <w:rPr>
          <w:rFonts w:ascii="Arial" w:cs="Arial" w:eastAsia="Arial" w:hAnsi="Arial"/>
          <w:color w:val="1A1A1A"/>
          <w:sz w:val="20"/>
          <w:szCs w:val="20"/>
        </w:rPr>
        <w:t xml:space="preserve">The system is dragged below the Seldon Manifold (Φᶜʳᴵᵗ = 0.95) by two simultaneous drivers:</w:t>
      </w:r>
    </w:p>
    <w:p>
      <w:pPr>
        <w:spacing w:after="60" w:before="60"/>
        <w:ind w:left="360" w:hanging="200"/>
      </w:pPr>
      <w:r>
        <w:rPr>
          <w:rFonts w:ascii="Arial" w:cs="Arial" w:eastAsia="Arial" w:hAnsi="Arial"/>
          <w:color w:val="1B3A6B"/>
          <w:sz w:val="20"/>
          <w:szCs w:val="20"/>
        </w:rPr>
        <w:t xml:space="preserve">•  </w:t>
      </w:r>
      <w:r>
        <w:rPr>
          <w:rFonts w:ascii="Arial" w:cs="Arial" w:eastAsia="Arial" w:hAnsi="Arial"/>
          <w:color w:val="1A1A1A"/>
          <w:sz w:val="20"/>
          <w:szCs w:val="20"/>
        </w:rPr>
        <w:t xml:space="preserve">L below Lᶜʳᴵᵗ — the legitimacy crisis is structural and widespread</w:t>
      </w:r>
    </w:p>
    <w:p>
      <w:pPr>
        <w:spacing w:after="60" w:before="60"/>
        <w:ind w:left="360" w:hanging="200"/>
      </w:pPr>
      <w:r>
        <w:rPr>
          <w:rFonts w:ascii="Arial" w:cs="Arial" w:eastAsia="Arial" w:hAnsi="Arial"/>
          <w:color w:val="1B3A6B"/>
          <w:sz w:val="20"/>
          <w:szCs w:val="20"/>
        </w:rPr>
        <w:t xml:space="preserve">•  </w:t>
      </w:r>
      <w:r>
        <w:rPr>
          <w:rFonts w:ascii="Arial" w:cs="Arial" w:eastAsia="Arial" w:hAnsi="Arial"/>
          <w:color w:val="1A1A1A"/>
          <w:sz w:val="20"/>
          <w:szCs w:val="20"/>
        </w:rPr>
        <w:t xml:space="preserve">Ω × E compound — existential risk and elite overproduction both elevated simultaneously — exactly the “catastrophically more dangerous than either alone” condition</w:t>
      </w:r>
    </w:p>
    <w:p>
      <w:pPr>
        <w:pStyle w:val="Heading1"/>
        <w:pBdr>
          <w:bottom w:val="single" w:color="1B3A6B" w:sz="6" w:space="1"/>
        </w:pBdr>
        <w:spacing w:after="120" w:before="400"/>
      </w:pPr>
      <w:r>
        <w:rPr>
          <w:rFonts w:ascii="Arial" w:cs="Arial" w:eastAsia="Arial" w:hAnsi="Arial"/>
          <w:b/>
          <w:bCs/>
          <w:color w:val="1B3A6B"/>
          <w:sz w:val="28"/>
          <w:szCs w:val="28"/>
        </w:rPr>
        <w:t xml:space="preserve">PART III — SELDON CONDITIONS COMPLIANCE CHECK</w:t>
      </w:r>
    </w:p>
    <w:p>
      <w:pPr>
        <w:spacing w:after="0" w:before="2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000"/>
        <w:gridCol w:w="4400"/>
      </w:tblGrid>
      <w:tr>
        <w:tc>
          <w:tcPr>
            <w:tcW w:type="auto" w:w="0"/>
            <w:shd w:fill="1B3A6B" w:color="auto" w:val="clear"/>
          </w:tcPr>
          <w:p>
            <w:r>
              <w:rPr>
                <w:rFonts w:ascii="Arial" w:cs="Arial" w:eastAsia="Arial" w:hAnsi="Arial"/>
                <w:b/>
                <w:bCs/>
                <w:color w:val="FFFFFF"/>
                <w:sz w:val="18"/>
                <w:szCs w:val="18"/>
              </w:rPr>
              <w:t xml:space="preserve">Condition</w:t>
            </w:r>
          </w:p>
        </w:tc>
        <w:tc>
          <w:tcPr>
            <w:tcW w:type="auto" w:w="0"/>
            <w:shd w:fill="1B3A6B" w:color="auto" w:val="clear"/>
          </w:tcPr>
          <w:p>
            <w:r>
              <w:rPr>
                <w:rFonts w:ascii="Arial" w:cs="Arial" w:eastAsia="Arial" w:hAnsi="Arial"/>
                <w:b/>
                <w:bCs/>
                <w:color w:val="FFFFFF"/>
                <w:sz w:val="18"/>
                <w:szCs w:val="18"/>
              </w:rPr>
              <w:t xml:space="preserve">Requirement</w:t>
            </w:r>
          </w:p>
        </w:tc>
        <w:tc>
          <w:tcPr>
            <w:tcW w:type="auto" w:w="0"/>
            <w:shd w:fill="1B3A6B" w:color="auto" w:val="clear"/>
          </w:tcPr>
          <w:p>
            <w:r>
              <w:rPr>
                <w:rFonts w:ascii="Arial" w:cs="Arial" w:eastAsia="Arial" w:hAnsi="Arial"/>
                <w:b/>
                <w:bCs/>
                <w:color w:val="FFFFFF"/>
                <w:sz w:val="18"/>
                <w:szCs w:val="18"/>
              </w:rPr>
              <w:t xml:space="preserve">Status</w:t>
            </w:r>
          </w:p>
        </w:tc>
        <w:tc>
          <w:tcPr>
            <w:tcW w:type="auto" w:w="0"/>
            <w:shd w:fill="1B3A6B" w:color="auto" w:val="clear"/>
          </w:tcPr>
          <w:p>
            <w:r>
              <w:rPr>
                <w:rFonts w:ascii="Arial" w:cs="Arial" w:eastAsia="Arial" w:hAnsi="Arial"/>
                <w:b/>
                <w:bCs/>
                <w:color w:val="FFFFFF"/>
                <w:sz w:val="18"/>
                <w:szCs w:val="18"/>
              </w:rPr>
              <w:t xml:space="preserve">Key Evidence</w:t>
            </w:r>
          </w:p>
        </w:tc>
      </w:tr>
      <w:tr>
        <w:tc>
          <w:tcPr>
            <w:tcW w:type="auto" w:w="0"/>
          </w:tcPr>
          <w:p>
            <w:r>
              <w:rPr>
                <w:rFonts w:ascii="Arial" w:cs="Arial" w:eastAsia="Arial" w:hAnsi="Arial"/>
                <w:b w:val="false"/>
                <w:bCs w:val="false"/>
                <w:color w:val="1A1A1A"/>
                <w:sz w:val="18"/>
                <w:szCs w:val="18"/>
              </w:rPr>
              <w:t xml:space="preserve">S1 — Living Library</w:t>
            </w:r>
          </w:p>
        </w:tc>
        <w:tc>
          <w:tcPr>
            <w:tcW w:type="auto" w:w="0"/>
          </w:tcPr>
          <w:p>
            <w:r>
              <w:rPr>
                <w:rFonts w:ascii="Arial" w:cs="Arial" w:eastAsia="Arial" w:hAnsi="Arial"/>
                <w:b w:val="false"/>
                <w:bCs w:val="false"/>
                <w:color w:val="1A1A1A"/>
                <w:sz w:val="18"/>
                <w:szCs w:val="18"/>
              </w:rPr>
              <w:t xml:space="preserve">K growing, institutionally maintained, universally accessible</w:t>
            </w:r>
          </w:p>
        </w:tc>
        <w:tc>
          <w:tcPr>
            <w:tcW w:type="auto" w:w="0"/>
          </w:tcPr>
          <w:p>
            <w:r>
              <w:rPr>
                <w:rFonts w:ascii="Arial" w:cs="Arial" w:eastAsia="Arial" w:hAnsi="Arial"/>
                <w:b/>
                <w:bCs/>
                <w:color w:val="E65100"/>
                <w:sz w:val="18"/>
                <w:szCs w:val="18"/>
              </w:rPr>
              <w:t xml:space="preserve">PARTIAL ⚠️</w:t>
            </w:r>
          </w:p>
        </w:tc>
        <w:tc>
          <w:tcPr>
            <w:tcW w:type="auto" w:w="0"/>
          </w:tcPr>
          <w:p>
            <w:r>
              <w:rPr>
                <w:rFonts w:ascii="Arial" w:cs="Arial" w:eastAsia="Arial" w:hAnsi="Arial"/>
                <w:b w:val="false"/>
                <w:bCs w:val="false"/>
                <w:color w:val="1A1A1A"/>
                <w:sz w:val="18"/>
                <w:szCs w:val="18"/>
              </w:rPr>
              <w:t xml:space="preserve">K growing exponentially (AI) but substrate concentrated in 3 hyperscalers; access bifurcated globally</w:t>
            </w:r>
          </w:p>
        </w:tc>
      </w:tr>
      <w:tr>
        <w:tc>
          <w:tcPr>
            <w:tcW w:type="auto" w:w="0"/>
          </w:tcPr>
          <w:p>
            <w:r>
              <w:rPr>
                <w:rFonts w:ascii="Arial" w:cs="Arial" w:eastAsia="Arial" w:hAnsi="Arial"/>
                <w:b w:val="false"/>
                <w:bCs w:val="false"/>
                <w:color w:val="1A1A1A"/>
                <w:sz w:val="18"/>
                <w:szCs w:val="18"/>
              </w:rPr>
              <w:t xml:space="preserve">S2 — Constitutional Floor</w:t>
            </w:r>
          </w:p>
        </w:tc>
        <w:tc>
          <w:tcPr>
            <w:tcW w:type="auto" w:w="0"/>
          </w:tcPr>
          <w:p>
            <w:r>
              <w:rPr>
                <w:rFonts w:ascii="Arial" w:cs="Arial" w:eastAsia="Arial" w:hAnsi="Arial"/>
                <w:b w:val="false"/>
                <w:bCs w:val="false"/>
                <w:color w:val="1A1A1A"/>
                <w:sz w:val="18"/>
                <w:szCs w:val="18"/>
              </w:rPr>
              <w:t xml:space="preserve">I(t) ≥ 0.40 continuously</w:t>
            </w:r>
          </w:p>
        </w:tc>
        <w:tc>
          <w:tcPr>
            <w:tcW w:type="auto" w:w="0"/>
          </w:tcPr>
          <w:p>
            <w:r>
              <w:rPr>
                <w:rFonts w:ascii="Arial" w:cs="Arial" w:eastAsia="Arial" w:hAnsi="Arial"/>
                <w:b/>
                <w:bCs/>
                <w:color w:val="E65100"/>
                <w:sz w:val="18"/>
                <w:szCs w:val="18"/>
              </w:rPr>
              <w:t xml:space="preserve">MARGIN ⚠️</w:t>
            </w:r>
          </w:p>
        </w:tc>
        <w:tc>
          <w:tcPr>
            <w:tcW w:type="auto" w:w="0"/>
          </w:tcPr>
          <w:p>
            <w:r>
              <w:rPr>
                <w:rFonts w:ascii="Arial" w:cs="Arial" w:eastAsia="Arial" w:hAnsi="Arial"/>
                <w:b w:val="false"/>
                <w:bCs w:val="false"/>
                <w:color w:val="1A1A1A"/>
                <w:sz w:val="18"/>
                <w:szCs w:val="18"/>
              </w:rPr>
              <w:t xml:space="preserve">I ≈ 0.41 globally; several states below floor; no buffer; RSF press freedom 162/180 declining</w:t>
            </w:r>
          </w:p>
        </w:tc>
      </w:tr>
      <w:tr>
        <w:tc>
          <w:tcPr>
            <w:tcW w:type="auto" w:w="0"/>
          </w:tcPr>
          <w:p>
            <w:r>
              <w:rPr>
                <w:rFonts w:ascii="Arial" w:cs="Arial" w:eastAsia="Arial" w:hAnsi="Arial"/>
                <w:b w:val="false"/>
                <w:bCs w:val="false"/>
                <w:color w:val="1A1A1A"/>
                <w:sz w:val="18"/>
                <w:szCs w:val="18"/>
              </w:rPr>
              <w:t xml:space="preserve">S3 — Ark Protocol</w:t>
            </w:r>
          </w:p>
        </w:tc>
        <w:tc>
          <w:tcPr>
            <w:tcW w:type="auto" w:w="0"/>
          </w:tcPr>
          <w:p>
            <w:r>
              <w:rPr>
                <w:rFonts w:ascii="Arial" w:cs="Arial" w:eastAsia="Arial" w:hAnsi="Arial"/>
                <w:b w:val="false"/>
                <w:bCs w:val="false"/>
                <w:color w:val="1A1A1A"/>
                <w:sz w:val="18"/>
                <w:szCs w:val="18"/>
              </w:rPr>
              <w:t xml:space="preserve">Off-world substrate transition underway</w:t>
            </w:r>
          </w:p>
        </w:tc>
        <w:tc>
          <w:tcPr>
            <w:tcW w:type="auto" w:w="0"/>
          </w:tcPr>
          <w:p>
            <w:r>
              <w:rPr>
                <w:rFonts w:ascii="Arial" w:cs="Arial" w:eastAsia="Arial" w:hAnsi="Arial"/>
                <w:b/>
                <w:bCs/>
                <w:color w:val="8B0000"/>
                <w:sz w:val="18"/>
                <w:szCs w:val="18"/>
              </w:rPr>
              <w:t xml:space="preserve">NOT MET ❌</w:t>
            </w:r>
          </w:p>
        </w:tc>
        <w:tc>
          <w:tcPr>
            <w:tcW w:type="auto" w:w="0"/>
          </w:tcPr>
          <w:p>
            <w:r>
              <w:rPr>
                <w:rFonts w:ascii="Arial" w:cs="Arial" w:eastAsia="Arial" w:hAnsi="Arial"/>
                <w:b w:val="false"/>
                <w:bCs w:val="false"/>
                <w:color w:val="1A1A1A"/>
                <w:sz w:val="18"/>
                <w:szCs w:val="18"/>
              </w:rPr>
              <w:t xml:space="preserve">SpaceX Starlink = first orbital infrastructure but not knowledge-preservation substrate; no off-world repository</w:t>
            </w:r>
          </w:p>
        </w:tc>
      </w:tr>
      <w:tr>
        <w:tc>
          <w:tcPr>
            <w:tcW w:type="auto" w:w="0"/>
          </w:tcPr>
          <w:p>
            <w:r>
              <w:rPr>
                <w:rFonts w:ascii="Arial" w:cs="Arial" w:eastAsia="Arial" w:hAnsi="Arial"/>
                <w:b w:val="false"/>
                <w:bCs w:val="false"/>
                <w:color w:val="1A1A1A"/>
                <w:sz w:val="18"/>
                <w:szCs w:val="18"/>
              </w:rPr>
              <w:t xml:space="preserve">S4 — Mule Register</w:t>
            </w:r>
          </w:p>
        </w:tc>
        <w:tc>
          <w:tcPr>
            <w:tcW w:type="auto" w:w="0"/>
          </w:tcPr>
          <w:p>
            <w:r>
              <w:rPr>
                <w:rFonts w:ascii="Arial" w:cs="Arial" w:eastAsia="Arial" w:hAnsi="Arial"/>
                <w:b w:val="false"/>
                <w:bCs w:val="false"/>
                <w:color w:val="1A1A1A"/>
                <w:sz w:val="18"/>
                <w:szCs w:val="18"/>
              </w:rPr>
              <w:t xml:space="preserve">Known/Known-Unknown risk catalogue, constitutional status</w:t>
            </w:r>
          </w:p>
        </w:tc>
        <w:tc>
          <w:tcPr>
            <w:tcW w:type="auto" w:w="0"/>
          </w:tcPr>
          <w:p>
            <w:r>
              <w:rPr>
                <w:rFonts w:ascii="Arial" w:cs="Arial" w:eastAsia="Arial" w:hAnsi="Arial"/>
                <w:b/>
                <w:bCs/>
                <w:color w:val="8B0000"/>
                <w:sz w:val="18"/>
                <w:szCs w:val="18"/>
              </w:rPr>
              <w:t xml:space="preserve">NOT MET ❌</w:t>
            </w:r>
          </w:p>
        </w:tc>
        <w:tc>
          <w:tcPr>
            <w:tcW w:type="auto" w:w="0"/>
          </w:tcPr>
          <w:p>
            <w:r>
              <w:rPr>
                <w:rFonts w:ascii="Arial" w:cs="Arial" w:eastAsia="Arial" w:hAnsi="Arial"/>
                <w:b w:val="false"/>
                <w:bCs w:val="false"/>
                <w:color w:val="1A1A1A"/>
                <w:sz w:val="18"/>
                <w:szCs w:val="18"/>
              </w:rPr>
              <w:t xml:space="preserve">WEF GRR + ODNI ATA = proto-Mule Registers; no constitutional status; classified; can be defunded</w:t>
            </w:r>
          </w:p>
        </w:tc>
      </w:tr>
      <w:tr>
        <w:tc>
          <w:tcPr>
            <w:tcW w:type="auto" w:w="0"/>
          </w:tcPr>
          <w:p>
            <w:r>
              <w:rPr>
                <w:rFonts w:ascii="Arial" w:cs="Arial" w:eastAsia="Arial" w:hAnsi="Arial"/>
                <w:b w:val="false"/>
                <w:bCs w:val="false"/>
                <w:color w:val="1A1A1A"/>
                <w:sz w:val="18"/>
                <w:szCs w:val="18"/>
              </w:rPr>
              <w:t xml:space="preserve">S5 — Gaia Mandate</w:t>
            </w:r>
          </w:p>
        </w:tc>
        <w:tc>
          <w:tcPr>
            <w:tcW w:type="auto" w:w="0"/>
          </w:tcPr>
          <w:p>
            <w:r>
              <w:rPr>
                <w:rFonts w:ascii="Arial" w:cs="Arial" w:eastAsia="Arial" w:hAnsi="Arial"/>
                <w:b w:val="false"/>
                <w:bCs w:val="false"/>
                <w:color w:val="1A1A1A"/>
                <w:sz w:val="18"/>
                <w:szCs w:val="18"/>
              </w:rPr>
              <w:t xml:space="preserve">ξ trending upward per century</w:t>
            </w:r>
          </w:p>
        </w:tc>
        <w:tc>
          <w:tcPr>
            <w:tcW w:type="auto" w:w="0"/>
          </w:tcPr>
          <w:p>
            <w:r>
              <w:rPr>
                <w:rFonts w:ascii="Arial" w:cs="Arial" w:eastAsia="Arial" w:hAnsi="Arial"/>
                <w:b/>
                <w:bCs/>
                <w:color w:val="8B0000"/>
                <w:sz w:val="18"/>
                <w:szCs w:val="18"/>
              </w:rPr>
              <w:t xml:space="preserve">NOT MET ❌</w:t>
            </w:r>
          </w:p>
        </w:tc>
        <w:tc>
          <w:tcPr>
            <w:tcW w:type="auto" w:w="0"/>
          </w:tcPr>
          <w:p>
            <w:r>
              <w:rPr>
                <w:rFonts w:ascii="Arial" w:cs="Arial" w:eastAsia="Arial" w:hAnsi="Arial"/>
                <w:b w:val="false"/>
                <w:bCs w:val="false"/>
                <w:color w:val="1A1A1A"/>
                <w:sz w:val="18"/>
                <w:szCs w:val="18"/>
              </w:rPr>
              <w:t xml:space="preserve">ξ declining 2016–2026; crisis-centralisation dominant; no constitutional deconcentration mechanism</w:t>
            </w:r>
          </w:p>
        </w:tc>
      </w:tr>
    </w:tbl>
    <w:p>
      <w:pPr>
        <w:spacing w:after="0" w:before="240"/>
      </w:pPr>
    </w:p>
    <w:p>
      <w:pPr>
        <w:spacing w:after="80" w:before="80"/>
      </w:pPr>
      <w:r>
        <w:rPr>
          <w:rFonts w:ascii="Arial" w:cs="Arial" w:eastAsia="Arial" w:hAnsi="Arial"/>
          <w:color w:val="1A1A1A"/>
          <w:sz w:val="20"/>
          <w:szCs w:val="20"/>
        </w:rPr>
        <w:t xml:space="preserve">Three of five Seldon Conditions are not being met. S2 is holding by a 0.01 margin above the floor. S1 is met for some populations and not others.</w:t>
      </w:r>
    </w:p>
    <w:p>
      <w:pPr>
        <w:pStyle w:val="Heading1"/>
        <w:pBdr>
          <w:bottom w:val="single" w:color="1B3A6B" w:sz="6" w:space="1"/>
        </w:pBdr>
        <w:spacing w:after="120" w:before="400"/>
      </w:pPr>
      <w:r>
        <w:rPr>
          <w:rFonts w:ascii="Arial" w:cs="Arial" w:eastAsia="Arial" w:hAnsi="Arial"/>
          <w:b/>
          <w:bCs/>
          <w:color w:val="1B3A6B"/>
          <w:sz w:val="28"/>
          <w:szCs w:val="28"/>
        </w:rPr>
        <w:t xml:space="preserve">PART IV — THE THREE CRITICAL FINDINGS</w:t>
      </w:r>
    </w:p>
    <w:p>
      <w:pPr>
        <w:shd w:fill="EEF2F8" w:color="auto" w:val="clear"/>
        <w:spacing w:after="100" w:before="280"/>
      </w:pPr>
      <w:r>
        <w:rPr>
          <w:rFonts w:ascii="Arial" w:cs="Arial" w:eastAsia="Arial" w:hAnsi="Arial"/>
          <w:b/>
          <w:bCs/>
          <w:color w:val="1B3A6B"/>
          <w:sz w:val="22"/>
          <w:szCs w:val="22"/>
        </w:rPr>
        <w:t xml:space="preserve">Finding 1 — The AI K-Ω Coupling (Thesis-Critical Structural Gap)</w:t>
      </w:r>
    </w:p>
    <w:p>
      <w:pPr>
        <w:spacing w:after="80" w:before="80"/>
      </w:pPr>
      <w:r>
        <w:rPr>
          <w:rFonts w:ascii="Arial" w:cs="Arial" w:eastAsia="Arial" w:hAnsi="Arial"/>
          <w:color w:val="1A1A1A"/>
          <w:sz w:val="20"/>
          <w:szCs w:val="20"/>
        </w:rPr>
        <w:t xml:space="preserve">The BlueLotus thesis constructs Equation S2 (Knowledge Capital Dynamics) and Equation S5 (Existential Risk Dynamics) as independent differential equations. The corpus reveals they are not independent — they are coupled through a single variable: AI capability.</w:t>
      </w:r>
    </w:p>
    <w:p>
      <w:pPr>
        <w:spacing w:after="80" w:before="80"/>
      </w:pPr>
      <w:r>
        <w:rPr>
          <w:rFonts w:ascii="Arial" w:cs="Arial" w:eastAsia="Arial" w:hAnsi="Arial"/>
          <w:color w:val="1A1A1A"/>
          <w:sz w:val="20"/>
          <w:szCs w:val="20"/>
        </w:rPr>
        <w:t xml:space="preserve">The specific mechanism: large-scale AI systems are simultaneously the K-growth engine AND the Ω-source — misinformation at scale, AI-assisted weapons design, AI-enabled financial manipulation, surveillance infrastructure for authoritarian control, potential AGI misalignment. The EDGAR_RAG capex numbers document the K side; the WEF GRR 2025 (FUTURES_RAG) documents the Ω side. They are the same technology.</w:t>
      </w:r>
    </w:p>
    <w:p>
      <w:pPr>
        <w:spacing w:after="80" w:before="80"/>
      </w:pPr>
      <w:r>
        <w:rPr>
          <w:rFonts w:ascii="Arial" w:cs="Arial" w:eastAsia="Arial" w:hAnsi="Arial"/>
          <w:color w:val="1A1A1A"/>
          <w:sz w:val="20"/>
          <w:szCs w:val="20"/>
        </w:rPr>
        <w:t xml:space="preserve">The Seldon Equations as written assume K and Ω are independent. The corpus shows they are not. A coupled K-Ω system changes the stability analysis of the Seldon Manifold in a direction that is not yet formally modelled.</w:t>
      </w:r>
    </w:p>
    <w:p>
      <w:pPr>
        <w:spacing w:after="80" w:before="80"/>
      </w:pPr>
      <w:r>
        <w:rPr>
          <w:rFonts w:ascii="Arial" w:cs="Arial" w:eastAsia="Arial" w:hAnsi="Arial"/>
          <w:color w:val="1A1A1A"/>
          <w:sz w:val="20"/>
          <w:szCs w:val="20"/>
        </w:rPr>
        <w:t xml:space="preserve">The sequencing specification (Part VIII: S2 → S1 → S4 → S3 → S5) needs an additional constraint: a required sub-condition between S2 and S1 — S1.5: AI Governance Floor — institutional frameworks ensuring K-growth via AI does not simultaneously produce Ω-growth via AI. This condition is currently not being met.</w:t>
      </w:r>
    </w:p>
    <w:p>
      <w:pPr>
        <w:shd w:fill="EEF2F8" w:color="auto" w:val="clear"/>
        <w:spacing w:after="100" w:before="280"/>
      </w:pPr>
      <w:r>
        <w:rPr>
          <w:rFonts w:ascii="Arial" w:cs="Arial" w:eastAsia="Arial" w:hAnsi="Arial"/>
          <w:b/>
          <w:bCs/>
          <w:color w:val="1B3A6B"/>
          <w:sz w:val="22"/>
          <w:szCs w:val="22"/>
        </w:rPr>
        <w:t xml:space="preserve">Finding 2 — India as the Civilisational Wildcard (Thesis-Unmodelled)</w:t>
      </w:r>
    </w:p>
    <w:p>
      <w:pPr>
        <w:spacing w:after="80" w:before="80"/>
      </w:pPr>
      <w:r>
        <w:rPr>
          <w:rFonts w:ascii="Arial" w:cs="Arial" w:eastAsia="Arial" w:hAnsi="Arial"/>
          <w:color w:val="1A1A1A"/>
          <w:sz w:val="20"/>
          <w:szCs w:val="20"/>
        </w:rPr>
        <w:t xml:space="preserve">The thesis’s historical calibration draws on Chinese, Islamic, and Western civilisational examples. It does not model India as a separate trajectory variable. The corpus reveals India as the highest-variance variable in the 2026–2040 civilisational forecast.</w:t>
      </w:r>
    </w:p>
    <w:p>
      <w:pPr>
        <w:spacing w:after="80" w:before="80"/>
      </w:pPr>
      <w:r>
        <w:rPr>
          <w:rFonts w:ascii="Arial" w:cs="Arial" w:eastAsia="Arial" w:hAnsi="Arial"/>
          <w:color w:val="1A1A1A"/>
          <w:sz w:val="20"/>
          <w:szCs w:val="20"/>
        </w:rPr>
        <w:t xml:space="preserve">India is simultaneously:</w:t>
      </w:r>
    </w:p>
    <w:p>
      <w:pPr>
        <w:spacing w:after="60" w:before="60"/>
        <w:ind w:left="400" w:hanging="240"/>
      </w:pPr>
      <w:r>
        <w:rPr>
          <w:rFonts w:ascii="Arial" w:cs="Arial" w:eastAsia="Arial" w:hAnsi="Arial"/>
          <w:b/>
          <w:bCs/>
          <w:color w:val="1B3A6B"/>
          <w:sz w:val="20"/>
          <w:szCs w:val="20"/>
        </w:rPr>
        <w:t xml:space="preserve">1.  </w:t>
      </w:r>
      <w:r>
        <w:rPr>
          <w:rFonts w:ascii="Arial" w:cs="Arial" w:eastAsia="Arial" w:hAnsi="Arial"/>
          <w:color w:val="1A1A1A"/>
          <w:sz w:val="20"/>
          <w:szCs w:val="20"/>
        </w:rPr>
        <w:t xml:space="preserve">The fastest-growing major economy with the largest demographic dividend in the world</w:t>
      </w:r>
    </w:p>
    <w:p>
      <w:pPr>
        <w:spacing w:after="60" w:before="60"/>
        <w:ind w:left="400" w:hanging="240"/>
      </w:pPr>
      <w:r>
        <w:rPr>
          <w:rFonts w:ascii="Arial" w:cs="Arial" w:eastAsia="Arial" w:hAnsi="Arial"/>
          <w:b/>
          <w:bCs/>
          <w:color w:val="1B3A6B"/>
          <w:sz w:val="20"/>
          <w:szCs w:val="20"/>
        </w:rPr>
        <w:t xml:space="preserve">2.  </w:t>
      </w:r>
      <w:r>
        <w:rPr>
          <w:rFonts w:ascii="Arial" w:cs="Arial" w:eastAsia="Arial" w:hAnsi="Arial"/>
          <w:color w:val="1A1A1A"/>
          <w:sz w:val="20"/>
          <w:szCs w:val="20"/>
        </w:rPr>
        <w:t xml:space="preserve">The most important K-democratisation experiment (DPI: Aadhaar, UPI, ONDC)</w:t>
      </w:r>
    </w:p>
    <w:p>
      <w:pPr>
        <w:spacing w:after="60" w:before="60"/>
        <w:ind w:left="400" w:hanging="240"/>
      </w:pPr>
      <w:r>
        <w:rPr>
          <w:rFonts w:ascii="Arial" w:cs="Arial" w:eastAsia="Arial" w:hAnsi="Arial"/>
          <w:b/>
          <w:bCs/>
          <w:color w:val="1B3A6B"/>
          <w:sz w:val="20"/>
          <w:szCs w:val="20"/>
        </w:rPr>
        <w:t xml:space="preserve">3.  </w:t>
      </w:r>
      <w:r>
        <w:rPr>
          <w:rFonts w:ascii="Arial" w:cs="Arial" w:eastAsia="Arial" w:hAnsi="Arial"/>
          <w:color w:val="1A1A1A"/>
          <w:sz w:val="20"/>
          <w:szCs w:val="20"/>
        </w:rPr>
        <w:t xml:space="preserve">The largest E-overproduction scenario in the world (600M youth under 25, insufficient formal employment)</w:t>
      </w:r>
    </w:p>
    <w:p>
      <w:pPr>
        <w:spacing w:after="60" w:before="60"/>
        <w:ind w:left="400" w:hanging="240"/>
      </w:pPr>
      <w:r>
        <w:rPr>
          <w:rFonts w:ascii="Arial" w:cs="Arial" w:eastAsia="Arial" w:hAnsi="Arial"/>
          <w:b/>
          <w:bCs/>
          <w:color w:val="1B3A6B"/>
          <w:sz w:val="20"/>
          <w:szCs w:val="20"/>
        </w:rPr>
        <w:t xml:space="preserve">4.  </w:t>
      </w:r>
      <w:r>
        <w:rPr>
          <w:rFonts w:ascii="Arial" w:cs="Arial" w:eastAsia="Arial" w:hAnsi="Arial"/>
          <w:color w:val="1A1A1A"/>
          <w:sz w:val="20"/>
          <w:szCs w:val="20"/>
        </w:rPr>
        <w:t xml:space="preserve">The maximum-optionality geopolitical actor (Quad + BRICS + Russian arms purchaser + 2025 BRICS host that steered away from Western confrontation)</w:t>
      </w:r>
    </w:p>
    <w:p>
      <w:pPr>
        <w:spacing w:after="80" w:before="80"/>
      </w:pPr>
      <w:r>
        <w:rPr>
          <w:rFonts w:ascii="Arial" w:cs="Arial" w:eastAsia="Arial" w:hAnsi="Arial"/>
          <w:color w:val="1A1A1A"/>
          <w:sz w:val="20"/>
          <w:szCs w:val="20"/>
        </w:rPr>
        <w:t xml:space="preserve">India has two attractors in the Seldon phase space:</w:t>
      </w:r>
    </w:p>
    <w:p>
      <w:pPr>
        <w:spacing w:after="60" w:before="60"/>
        <w:ind w:left="360" w:hanging="200"/>
      </w:pPr>
      <w:r>
        <w:rPr>
          <w:rFonts w:ascii="Arial" w:cs="Arial" w:eastAsia="Arial" w:hAnsi="Arial"/>
          <w:color w:val="1B3A6B"/>
          <w:sz w:val="20"/>
          <w:szCs w:val="20"/>
        </w:rPr>
        <w:t xml:space="preserve">•  </w:t>
      </w:r>
      <w:r>
        <w:rPr>
          <w:rFonts w:ascii="Arial" w:cs="Arial" w:eastAsia="Arial" w:hAnsi="Arial"/>
          <w:b/>
          <w:bCs/>
          <w:color w:val="1B3A6B"/>
          <w:sz w:val="20"/>
          <w:szCs w:val="20"/>
        </w:rPr>
        <w:t xml:space="preserve">▶ </w:t>
      </w:r>
      <w:r>
        <w:rPr>
          <w:rFonts w:ascii="Arial" w:cs="Arial" w:eastAsia="Arial" w:hAnsi="Arial"/>
          <w:color w:val="1A1A1A"/>
          <w:sz w:val="20"/>
          <w:szCs w:val="20"/>
        </w:rPr>
        <w:t xml:space="preserve">SUCCESS: High I, high K, E absorbed, ξ-positive DPI exported globally → India becomes the primary S5 engine</w:t>
      </w:r>
    </w:p>
    <w:p>
      <w:pPr>
        <w:spacing w:after="60" w:before="60"/>
        <w:ind w:left="360" w:hanging="200"/>
      </w:pPr>
      <w:r>
        <w:rPr>
          <w:rFonts w:ascii="Arial" w:cs="Arial" w:eastAsia="Arial" w:hAnsi="Arial"/>
          <w:color w:val="1B3A6B"/>
          <w:sz w:val="20"/>
          <w:szCs w:val="20"/>
        </w:rPr>
        <w:t xml:space="preserve">•  </w:t>
      </w:r>
      <w:r>
        <w:rPr>
          <w:rFonts w:ascii="Arial" w:cs="Arial" w:eastAsia="Arial" w:hAnsi="Arial"/>
          <w:b/>
          <w:bCs/>
          <w:color w:val="1B3A6B"/>
          <w:sz w:val="20"/>
          <w:szCs w:val="20"/>
        </w:rPr>
        <w:t xml:space="preserve">▶ </w:t>
      </w:r>
      <w:r>
        <w:rPr>
          <w:rFonts w:ascii="Arial" w:cs="Arial" w:eastAsia="Arial" w:hAnsi="Arial"/>
          <w:color w:val="1A1A1A"/>
          <w:sz w:val="20"/>
          <w:szCs w:val="20"/>
        </w:rPr>
        <w:t xml:space="preserve">STRESS: E-crisis → institutional erosion → Hindu nationalism-driven L bifurcation → nuclear-armed instability</w:t>
      </w:r>
    </w:p>
    <w:p>
      <w:pPr>
        <w:spacing w:after="80" w:before="80"/>
      </w:pPr>
      <w:r>
        <w:rPr>
          <w:rFonts w:ascii="Arial" w:cs="Arial" w:eastAsia="Arial" w:hAnsi="Arial"/>
          <w:color w:val="1A1A1A"/>
          <w:sz w:val="20"/>
          <w:szCs w:val="20"/>
        </w:rPr>
        <w:t xml:space="preserve">India should be modelled as a bifurcation point rather than a trend line. Its trajectory is the most important unresolved variable in the 2026–2040 Φ forecast.</w:t>
      </w:r>
    </w:p>
    <w:p>
      <w:pPr>
        <w:shd w:fill="EEF2F8" w:color="auto" w:val="clear"/>
        <w:spacing w:after="100" w:before="280"/>
      </w:pPr>
      <w:r>
        <w:rPr>
          <w:rFonts w:ascii="Arial" w:cs="Arial" w:eastAsia="Arial" w:hAnsi="Arial"/>
          <w:b/>
          <w:bCs/>
          <w:color w:val="1B3A6B"/>
          <w:sz w:val="22"/>
          <w:szCs w:val="22"/>
        </w:rPr>
        <w:t xml:space="preserve">Finding 3 — The Mule Register Is Being Built But Not Named (S4 Validation)</w:t>
      </w:r>
    </w:p>
    <w:p>
      <w:pPr>
        <w:spacing w:after="80" w:before="80"/>
      </w:pPr>
      <w:r>
        <w:rPr>
          <w:rFonts w:ascii="Arial" w:cs="Arial" w:eastAsia="Arial" w:hAnsi="Arial"/>
          <w:color w:val="1A1A1A"/>
          <w:sz w:val="20"/>
          <w:szCs w:val="20"/>
        </w:rPr>
        <w:t xml:space="preserve">The corpus reveals that the functional precursors of a constitutional Mule Register exist — fragmented, under-resourced, and without constitutional status:</w:t>
      </w:r>
    </w:p>
    <w:p>
      <w:pPr>
        <w:spacing w:after="60" w:before="60"/>
        <w:ind w:left="360" w:hanging="200"/>
      </w:pPr>
      <w:r>
        <w:rPr>
          <w:rFonts w:ascii="Arial" w:cs="Arial" w:eastAsia="Arial" w:hAnsi="Arial"/>
          <w:color w:val="1B3A6B"/>
          <w:sz w:val="20"/>
          <w:szCs w:val="20"/>
        </w:rPr>
        <w:t xml:space="preserve">•  </w:t>
      </w:r>
      <w:r>
        <w:rPr>
          <w:rFonts w:ascii="Arial" w:cs="Arial" w:eastAsia="Arial" w:hAnsi="Arial"/>
          <w:color w:val="1A1A1A"/>
          <w:sz w:val="20"/>
          <w:szCs w:val="20"/>
        </w:rPr>
        <w:t xml:space="preserve">ODNI Annual Threat Assessment (MILITARY_RAG, 443 chunks): Exactly what a Known-class Mule Register requires — systematic, updated annually, interagency. Not constitutional; can be classified or defunded.</w:t>
      </w:r>
    </w:p>
    <w:p>
      <w:pPr>
        <w:spacing w:after="60" w:before="60"/>
        <w:ind w:left="360" w:hanging="200"/>
      </w:pPr>
      <w:r>
        <w:rPr>
          <w:rFonts w:ascii="Arial" w:cs="Arial" w:eastAsia="Arial" w:hAnsi="Arial"/>
          <w:color w:val="1B3A6B"/>
          <w:sz w:val="20"/>
          <w:szCs w:val="20"/>
        </w:rPr>
        <w:t xml:space="preserve">•  </w:t>
      </w:r>
      <w:r>
        <w:rPr>
          <w:rFonts w:ascii="Arial" w:cs="Arial" w:eastAsia="Arial" w:hAnsi="Arial"/>
          <w:color w:val="1A1A1A"/>
          <w:sz w:val="20"/>
          <w:szCs w:val="20"/>
        </w:rPr>
        <w:t xml:space="preserve">WEF Global Risks Report (FUTURES_RAG, 2,840 chunks including 2025 edition): Known-Unknown class risk catalogue, multi-stakeholder, annually updated. Not constitutional; a private institution’s publication.</w:t>
      </w:r>
    </w:p>
    <w:p>
      <w:pPr>
        <w:spacing w:after="60" w:before="60"/>
        <w:ind w:left="360" w:hanging="200"/>
      </w:pPr>
      <w:r>
        <w:rPr>
          <w:rFonts w:ascii="Arial" w:cs="Arial" w:eastAsia="Arial" w:hAnsi="Arial"/>
          <w:color w:val="1B3A6B"/>
          <w:sz w:val="20"/>
          <w:szCs w:val="20"/>
        </w:rPr>
        <w:t xml:space="preserve">•  </w:t>
      </w:r>
      <w:r>
        <w:rPr>
          <w:rFonts w:ascii="Arial" w:cs="Arial" w:eastAsia="Arial" w:hAnsi="Arial"/>
          <w:color w:val="1A1A1A"/>
          <w:sz w:val="20"/>
          <w:szCs w:val="20"/>
        </w:rPr>
        <w:t xml:space="preserve">IPBES Global Assessment (FUTURES_RAG): Systematic Known-Unknown documentation of biodiversity collapse — an Ω driver whose institutional recognition is confirmed in the thesis’s own source list.</w:t>
      </w:r>
    </w:p>
    <w:p>
      <w:pPr>
        <w:spacing w:after="60" w:before="60"/>
        <w:ind w:left="360" w:hanging="200"/>
      </w:pPr>
      <w:r>
        <w:rPr>
          <w:rFonts w:ascii="Arial" w:cs="Arial" w:eastAsia="Arial" w:hAnsi="Arial"/>
          <w:color w:val="1B3A6B"/>
          <w:sz w:val="20"/>
          <w:szCs w:val="20"/>
        </w:rPr>
        <w:t xml:space="preserve">•  </w:t>
      </w:r>
      <w:r>
        <w:rPr>
          <w:rFonts w:ascii="Arial" w:cs="Arial" w:eastAsia="Arial" w:hAnsi="Arial"/>
          <w:color w:val="1A1A1A"/>
          <w:sz w:val="20"/>
          <w:szCs w:val="20"/>
        </w:rPr>
        <w:t xml:space="preserve">CivilisationOS itself: 56 RAG collections, 1.7M+ chunks, cross-domain synthesis capability. The most comprehensive Unknown-Unknown preparation available.</w:t>
      </w:r>
    </w:p>
    <w:p>
      <w:pPr>
        <w:spacing w:after="80" w:before="80"/>
      </w:pPr>
      <w:r>
        <w:rPr>
          <w:rFonts w:ascii="Arial" w:cs="Arial" w:eastAsia="Arial" w:hAnsi="Arial"/>
          <w:color w:val="1A1A1A"/>
          <w:sz w:val="20"/>
          <w:szCs w:val="20"/>
        </w:rPr>
        <w:t xml:space="preserve">The Mule Register does not need to be invented from scratch. It needs to be assembled from existing precursors, given constitutional status in one jurisdiction that can model it for others, and made unconditionally open-access. The most tractable path: an OECD-jurisdiction instrument that 38 member states adopt into domestic constitutional frameworks, with a standing secretariat that cannot be defunded.</w:t>
      </w:r>
    </w:p>
    <w:p>
      <w:pPr>
        <w:pBdr>
          <w:left w:val="single" w:color="1B3A6B" w:sz="18" w:space="12"/>
        </w:pBdr>
        <w:spacing w:after="200" w:before="200"/>
        <w:ind w:left="720" w:right="720"/>
      </w:pPr>
      <w:r>
        <w:rPr>
          <w:rFonts w:ascii="Arial" w:cs="Arial" w:eastAsia="Arial" w:hAnsi="Arial"/>
          <w:i/>
          <w:iCs/>
          <w:color w:val="1B3A6B"/>
          <w:sz w:val="22"/>
          <w:szCs w:val="22"/>
        </w:rPr>
        <w:t xml:space="preserve">“The knowledge exists. The synthesis capacity is being built. What is missing is constitutional status, the open-access mandate, and the single-institutional-entity requirement.”</w:t>
      </w:r>
    </w:p>
    <w:p>
      <w:pPr>
        <w:pStyle w:val="Heading1"/>
        <w:pBdr>
          <w:bottom w:val="single" w:color="1B3A6B" w:sz="6" w:space="1"/>
        </w:pBdr>
        <w:spacing w:after="120" w:before="400"/>
      </w:pPr>
      <w:r>
        <w:rPr>
          <w:rFonts w:ascii="Arial" w:cs="Arial" w:eastAsia="Arial" w:hAnsi="Arial"/>
          <w:b/>
          <w:bCs/>
          <w:color w:val="1B3A6B"/>
          <w:sz w:val="28"/>
          <w:szCs w:val="28"/>
        </w:rPr>
        <w:t xml:space="preserve">CONCLUSION — THE RECKONING WITH TIME</w:t>
      </w:r>
    </w:p>
    <w:p>
      <w:pPr>
        <w:spacing w:after="120" w:before="120"/>
      </w:pPr>
      <w:r>
        <w:rPr>
          <w:rFonts w:ascii="Arial" w:cs="Arial" w:eastAsia="Arial" w:hAnsi="Arial"/>
          <w:b/>
          <w:bCs/>
          <w:color w:val="8B0000"/>
          <w:sz w:val="24"/>
          <w:szCs w:val="24"/>
        </w:rPr>
        <w:t xml:space="preserve">Φ(C, 2026) ≈ 0.31. The global civilisational system is below the Seldon Manifold.</w:t>
      </w:r>
    </w:p>
    <w:p>
      <w:pPr>
        <w:pStyle w:val="Heading2"/>
        <w:spacing w:after="80" w:before="320"/>
      </w:pPr>
      <w:r>
        <w:rPr>
          <w:rFonts w:ascii="Arial" w:cs="Arial" w:eastAsia="Arial" w:hAnsi="Arial"/>
          <w:b/>
          <w:bCs/>
          <w:color w:val="1B3A6B"/>
          <w:sz w:val="24"/>
          <w:szCs w:val="24"/>
        </w:rPr>
        <w:t xml:space="preserve">What keeps the system above zero:</w:t>
      </w:r>
    </w:p>
    <w:p>
      <w:pPr>
        <w:spacing w:after="60" w:before="60"/>
        <w:ind w:left="360" w:hanging="200"/>
      </w:pPr>
      <w:r>
        <w:rPr>
          <w:rFonts w:ascii="Arial" w:cs="Arial" w:eastAsia="Arial" w:hAnsi="Arial"/>
          <w:color w:val="1B3A6B"/>
          <w:sz w:val="20"/>
          <w:szCs w:val="20"/>
        </w:rPr>
        <w:t xml:space="preserve">•  </w:t>
      </w:r>
      <w:r>
        <w:rPr>
          <w:rFonts w:ascii="Arial" w:cs="Arial" w:eastAsia="Arial" w:hAnsi="Arial"/>
          <w:color w:val="1A1A1A"/>
          <w:sz w:val="20"/>
          <w:szCs w:val="20"/>
        </w:rPr>
        <w:t xml:space="preserve">K is growing faster than any point in history (AI-driven)</w:t>
      </w:r>
    </w:p>
    <w:p>
      <w:pPr>
        <w:spacing w:after="60" w:before="60"/>
        <w:ind w:left="360" w:hanging="200"/>
      </w:pPr>
      <w:r>
        <w:rPr>
          <w:rFonts w:ascii="Arial" w:cs="Arial" w:eastAsia="Arial" w:hAnsi="Arial"/>
          <w:color w:val="1B3A6B"/>
          <w:sz w:val="20"/>
          <w:szCs w:val="20"/>
        </w:rPr>
        <w:t xml:space="preserve">•  </w:t>
      </w:r>
      <w:r>
        <w:rPr>
          <w:rFonts w:ascii="Arial" w:cs="Arial" w:eastAsia="Arial" w:hAnsi="Arial"/>
          <w:color w:val="1A1A1A"/>
          <w:sz w:val="20"/>
          <w:szCs w:val="20"/>
        </w:rPr>
        <w:t xml:space="preserve">The distributed security architecture (AUKUS, Quad, US-ROK-Japan) is more robust than any previous</w:t>
      </w:r>
    </w:p>
    <w:p>
      <w:pPr>
        <w:spacing w:after="60" w:before="60"/>
        <w:ind w:left="360" w:hanging="200"/>
      </w:pPr>
      <w:r>
        <w:rPr>
          <w:rFonts w:ascii="Arial" w:cs="Arial" w:eastAsia="Arial" w:hAnsi="Arial"/>
          <w:color w:val="1B3A6B"/>
          <w:sz w:val="20"/>
          <w:szCs w:val="20"/>
        </w:rPr>
        <w:t xml:space="preserve">•  </w:t>
      </w:r>
      <w:r>
        <w:rPr>
          <w:rFonts w:ascii="Arial" w:cs="Arial" w:eastAsia="Arial" w:hAnsi="Arial"/>
          <w:color w:val="1A1A1A"/>
          <w:sz w:val="20"/>
          <w:szCs w:val="20"/>
        </w:rPr>
        <w:t xml:space="preserve">India is executing the most promising large-scale Gaia-positive institutional experiment in the world</w:t>
      </w:r>
    </w:p>
    <w:p>
      <w:pPr>
        <w:spacing w:after="60" w:before="60"/>
        <w:ind w:left="360" w:hanging="200"/>
      </w:pPr>
      <w:r>
        <w:rPr>
          <w:rFonts w:ascii="Arial" w:cs="Arial" w:eastAsia="Arial" w:hAnsi="Arial"/>
          <w:color w:val="1B3A6B"/>
          <w:sz w:val="20"/>
          <w:szCs w:val="20"/>
        </w:rPr>
        <w:t xml:space="preserve">•  </w:t>
      </w:r>
      <w:r>
        <w:rPr>
          <w:rFonts w:ascii="Arial" w:cs="Arial" w:eastAsia="Arial" w:hAnsi="Arial"/>
          <w:color w:val="1A1A1A"/>
          <w:sz w:val="20"/>
          <w:szCs w:val="20"/>
        </w:rPr>
        <w:t xml:space="preserve">Several democratic institutions have demonstrated I above the minimum floor under stress (South Korea Constitutional Court, Federal Reserve, Taiwan’s democratic continuity)</w:t>
      </w:r>
    </w:p>
    <w:p>
      <w:pPr>
        <w:pStyle w:val="Heading2"/>
        <w:spacing w:after="80" w:before="320"/>
      </w:pPr>
      <w:r>
        <w:rPr>
          <w:rFonts w:ascii="Arial" w:cs="Arial" w:eastAsia="Arial" w:hAnsi="Arial"/>
          <w:b/>
          <w:bCs/>
          <w:color w:val="1B3A6B"/>
          <w:sz w:val="24"/>
          <w:szCs w:val="24"/>
        </w:rPr>
        <w:t xml:space="preserve">What drives Φ below Φᶜʳᴵᵗ:</w:t>
      </w:r>
    </w:p>
    <w:p>
      <w:pPr>
        <w:spacing w:after="60" w:before="60"/>
        <w:ind w:left="360" w:hanging="200"/>
      </w:pPr>
      <w:r>
        <w:rPr>
          <w:rFonts w:ascii="Arial" w:cs="Arial" w:eastAsia="Arial" w:hAnsi="Arial"/>
          <w:color w:val="1B3A6B"/>
          <w:sz w:val="20"/>
          <w:szCs w:val="20"/>
        </w:rPr>
        <w:t xml:space="preserve">•  </w:t>
      </w:r>
      <w:r>
        <w:rPr>
          <w:rFonts w:ascii="Arial" w:cs="Arial" w:eastAsia="Arial" w:hAnsi="Arial"/>
          <w:color w:val="1A1A1A"/>
          <w:sz w:val="20"/>
          <w:szCs w:val="20"/>
        </w:rPr>
        <w:t xml:space="preserve">L is below Lᶜʳᴵᵗ in most major governance systems</w:t>
      </w:r>
    </w:p>
    <w:p>
      <w:pPr>
        <w:spacing w:after="60" w:before="60"/>
        <w:ind w:left="360" w:hanging="200"/>
      </w:pPr>
      <w:r>
        <w:rPr>
          <w:rFonts w:ascii="Arial" w:cs="Arial" w:eastAsia="Arial" w:hAnsi="Arial"/>
          <w:color w:val="1B3A6B"/>
          <w:sz w:val="20"/>
          <w:szCs w:val="20"/>
        </w:rPr>
        <w:t xml:space="preserve">•  </w:t>
      </w:r>
      <w:r>
        <w:rPr>
          <w:rFonts w:ascii="Arial" w:cs="Arial" w:eastAsia="Arial" w:hAnsi="Arial"/>
          <w:color w:val="1A1A1A"/>
          <w:sz w:val="20"/>
          <w:szCs w:val="20"/>
        </w:rPr>
        <w:t xml:space="preserve">Ω × E compound term is elevated and growing</w:t>
      </w:r>
    </w:p>
    <w:p>
      <w:pPr>
        <w:spacing w:after="60" w:before="60"/>
        <w:ind w:left="360" w:hanging="200"/>
      </w:pPr>
      <w:r>
        <w:rPr>
          <w:rFonts w:ascii="Arial" w:cs="Arial" w:eastAsia="Arial" w:hAnsi="Arial"/>
          <w:color w:val="1B3A6B"/>
          <w:sz w:val="20"/>
          <w:szCs w:val="20"/>
        </w:rPr>
        <w:t xml:space="preserve">•  </w:t>
      </w:r>
      <w:r>
        <w:rPr>
          <w:rFonts w:ascii="Arial" w:cs="Arial" w:eastAsia="Arial" w:hAnsi="Arial"/>
          <w:color w:val="1A1A1A"/>
          <w:sz w:val="20"/>
          <w:szCs w:val="20"/>
        </w:rPr>
        <w:t xml:space="preserve">ξ is declining (crisis-centralisation dominant)</w:t>
      </w:r>
    </w:p>
    <w:p>
      <w:pPr>
        <w:spacing w:after="60" w:before="60"/>
        <w:ind w:left="360" w:hanging="200"/>
      </w:pPr>
      <w:r>
        <w:rPr>
          <w:rFonts w:ascii="Arial" w:cs="Arial" w:eastAsia="Arial" w:hAnsi="Arial"/>
          <w:color w:val="1B3A6B"/>
          <w:sz w:val="20"/>
          <w:szCs w:val="20"/>
        </w:rPr>
        <w:t xml:space="preserve">•  </w:t>
      </w:r>
      <w:r>
        <w:rPr>
          <w:rFonts w:ascii="Arial" w:cs="Arial" w:eastAsia="Arial" w:hAnsi="Arial"/>
          <w:color w:val="1A1A1A"/>
          <w:sz w:val="20"/>
          <w:szCs w:val="20"/>
        </w:rPr>
        <w:t xml:space="preserve">S3 (Ark Protocol) is unmistakably not being pursued</w:t>
      </w:r>
    </w:p>
    <w:p>
      <w:pPr>
        <w:spacing w:after="60" w:before="60"/>
        <w:ind w:left="360" w:hanging="200"/>
      </w:pPr>
      <w:r>
        <w:rPr>
          <w:rFonts w:ascii="Arial" w:cs="Arial" w:eastAsia="Arial" w:hAnsi="Arial"/>
          <w:color w:val="1B3A6B"/>
          <w:sz w:val="20"/>
          <w:szCs w:val="20"/>
        </w:rPr>
        <w:t xml:space="preserve">•  </w:t>
      </w:r>
      <w:r>
        <w:rPr>
          <w:rFonts w:ascii="Arial" w:cs="Arial" w:eastAsia="Arial" w:hAnsi="Arial"/>
          <w:color w:val="1A1A1A"/>
          <w:sz w:val="20"/>
          <w:szCs w:val="20"/>
        </w:rPr>
        <w:t xml:space="preserve">S4 (Mule Register) lacks constitutional status</w:t>
      </w:r>
    </w:p>
    <w:p>
      <w:pPr>
        <w:spacing w:after="60" w:before="60"/>
        <w:ind w:left="360" w:hanging="200"/>
      </w:pPr>
      <w:r>
        <w:rPr>
          <w:rFonts w:ascii="Arial" w:cs="Arial" w:eastAsia="Arial" w:hAnsi="Arial"/>
          <w:color w:val="1B3A6B"/>
          <w:sz w:val="20"/>
          <w:szCs w:val="20"/>
        </w:rPr>
        <w:t xml:space="preserve">•  </w:t>
      </w:r>
      <w:r>
        <w:rPr>
          <w:rFonts w:ascii="Arial" w:cs="Arial" w:eastAsia="Arial" w:hAnsi="Arial"/>
          <w:color w:val="1A1A1A"/>
          <w:sz w:val="20"/>
          <w:szCs w:val="20"/>
        </w:rPr>
        <w:t xml:space="preserve">S5 (Gaia Mandate) has no enforcement mechanism</w:t>
      </w:r>
    </w:p>
    <w:p>
      <w:pPr>
        <w:spacing w:after="0" w:before="400"/>
      </w:pPr>
    </w:p>
    <w:p>
      <w:pPr>
        <w:spacing w:after="80" w:before="80"/>
      </w:pPr>
      <w:r>
        <w:rPr>
          <w:rFonts w:ascii="Arial" w:cs="Arial" w:eastAsia="Arial" w:hAnsi="Arial"/>
          <w:color w:val="1A1A1A"/>
          <w:sz w:val="20"/>
          <w:szCs w:val="20"/>
        </w:rPr>
        <w:t xml:space="preserve">The single most important finding from the corpus for the thesis: the AI capability curve creates a K-Ω coupling not modelled in the thesis’s differential system. If this coupling is real — and the EDGAR capex data, the FUTURES_RAG risk documentation, and the CONSULTING_RAG productivity data together suggest it is — then the sequencing of the Seldon Conditions requires an additional S1.5 (AI Governance Floor) that must be achieved before S1 (Knowledge Growth) can be counted as net-positive for Φ.</w:t>
      </w:r>
    </w:p>
    <w:p>
      <w:pPr>
        <w:spacing w:after="0" w:before="400"/>
      </w:pPr>
    </w:p>
    <w:p>
      <w:pPr>
        <w:spacing w:after="120" w:before="120"/>
        <w:ind w:left="360"/>
      </w:pPr>
      <w:r>
        <w:rPr>
          <w:rFonts w:ascii="Arial" w:cs="Arial" w:eastAsia="Arial" w:hAnsi="Arial"/>
          <w:b/>
          <w:bCs/>
          <w:i/>
          <w:iCs/>
          <w:color w:val="1B3A6B"/>
          <w:sz w:val="22"/>
          <w:szCs w:val="22"/>
        </w:rPr>
        <w:t xml:space="preserve">The probability is 2.2% under optimal conditions. We are not yet under optimal conditions. The corpus measures exactly how far we are from them.</w:t>
      </w:r>
    </w:p>
    <w:p>
      <w:pPr>
        <w:pBdr>
          <w:bottom w:val="single" w:color="1B3A6B" w:sz="12" w:space="1"/>
        </w:pBdr>
        <w:spacing w:after="160" w:before="160"/>
      </w:pPr>
    </w:p>
    <w:p>
      <w:pPr>
        <w:spacing w:after="0" w:before="120"/>
        <w:jc w:val="center"/>
      </w:pPr>
      <w:r>
        <w:rPr>
          <w:rFonts w:ascii="Arial" w:cs="Arial" w:eastAsia="Arial" w:hAnsi="Arial"/>
          <w:i/>
          <w:iCs/>
          <w:color w:val="444444"/>
          <w:sz w:val="16"/>
          <w:szCs w:val="16"/>
        </w:rPr>
        <w:t xml:space="preserve">All citations traceable to CivilisationOS RAG retrieval logs. Epistemic status: PASS-class claims drawn from BM25 retrieval; MANUAL_ASSERTION noted where human verification required.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1"/>
      </w:pBdr>
      <w:jc w:val="center"/>
    </w:pPr>
    <w:r>
      <w:rPr>
        <w:rFonts w:ascii="Arial" w:cs="Arial" w:eastAsia="Arial" w:hAnsi="Arial"/>
        <w:color w:val="444444"/>
        <w:sz w:val="16"/>
        <w:szCs w:val="16"/>
      </w:rPr>
      <w:t xml:space="preserve">Chief Clerk 2IC  |  CivilisationOS Intelligence Pipeline  |  17 July 2026  |  Page </w:t>
    </w:r>
    <w:r>
      <w:rPr>
        <w:rFonts w:ascii="Arial" w:cs="Arial" w:eastAsia="Arial" w:hAnsi="Arial"/>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1"/>
      </w:pBdr>
      <w:jc w:val="right"/>
    </w:pPr>
    <w:r>
      <w:rPr>
        <w:rFonts w:ascii="Arial" w:cs="Arial" w:eastAsia="Arial" w:hAnsi="Arial"/>
        <w:i/>
        <w:iCs/>
        <w:color w:val="1B3A6B"/>
        <w:sz w:val="16"/>
        <w:szCs w:val="16"/>
      </w:rPr>
      <w:t xml:space="preserve">CivilisationOS Intelligence Synthesis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2026-07-17T14:04:58.739Z</dcterms:created>
  <dcterms:modified xsi:type="dcterms:W3CDTF">2026-07-17T14:04:58.748Z</dcterms:modified>
</cp:coreProperties>
</file>

<file path=docProps/custom.xml><?xml version="1.0" encoding="utf-8"?>
<Properties xmlns="http://schemas.openxmlformats.org/officeDocument/2006/custom-properties" xmlns:vt="http://schemas.openxmlformats.org/officeDocument/2006/docPropsVTypes"/>
</file>