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before="0"/>
      </w:pPr>
    </w:p>
    <w:p>
      <w:pPr>
        <w:spacing w:after="60" w:before="60" w:line="276" w:lineRule="auto"/>
        <w:jc w:val="center"/>
      </w:pPr>
      <w:r>
        <w:rPr>
          <w:rFonts w:ascii="Arial" w:cs="Arial" w:eastAsia="Arial" w:hAnsi="Arial"/>
          <w:b/>
          <w:bCs/>
          <w:i w:val="false"/>
          <w:iCs w:val="false"/>
          <w:caps/>
          <w:color w:val="8B0000"/>
          <w:sz w:val="30"/>
          <w:szCs w:val="30"/>
        </w:rPr>
        <w:t xml:space="preserve">CIVILISATIONOS</w:t>
      </w:r>
    </w:p>
    <w:p>
      <w:pPr>
        <w:spacing w:after="120" w:before="80" w:line="320" w:lineRule="auto"/>
        <w:jc w:val="center"/>
      </w:pPr>
      <w:r>
        <w:rPr>
          <w:rFonts w:ascii="Arial" w:cs="Arial" w:eastAsia="Arial" w:hAnsi="Arial"/>
          <w:b/>
          <w:bCs/>
          <w:i w:val="false"/>
          <w:iCs w:val="false"/>
          <w:caps w:val="false"/>
          <w:color w:val="1B3A6B"/>
          <w:sz w:val="52"/>
          <w:szCs w:val="52"/>
        </w:rPr>
        <w:t xml:space="preserve">How Civilisations Live and Die</w:t>
      </w:r>
    </w:p>
    <w:p>
      <w:pPr>
        <w:spacing w:after="200" w:before="60" w:line="276" w:lineRule="auto"/>
        <w:jc w:val="center"/>
      </w:pPr>
      <w:r>
        <w:rPr>
          <w:rFonts w:ascii="Arial" w:cs="Arial" w:eastAsia="Arial" w:hAnsi="Arial"/>
          <w:b w:val="false"/>
          <w:bCs w:val="false"/>
          <w:i/>
          <w:iCs/>
          <w:caps w:val="false"/>
          <w:color w:val="3A4652"/>
          <w:sz w:val="26"/>
          <w:szCs w:val="26"/>
        </w:rPr>
        <w:t xml:space="preserve">And How to Build One That Does Not</w:t>
      </w:r>
    </w:p>
    <w:p>
      <w:pPr>
        <w:pBdr>
          <w:bottom w:val="single" w:color="1B3A6B" w:sz="14" w:space="6"/>
        </w:pBdr>
        <w:spacing w:after="40" w:before="120"/>
        <w:jc w:val="left"/>
      </w:pPr>
      <w:r>
        <w:rPr>
          <w:rFonts w:ascii="Arial" w:cs="Arial" w:eastAsia="Arial" w:hAnsi="Arial"/>
          <w:b w:val="false"/>
          <w:bCs w:val="false"/>
          <w:i w:val="false"/>
          <w:iCs w:val="false"/>
          <w:caps w:val="false"/>
          <w:color w:val="1A1A1A"/>
          <w:sz w:val="22"/>
          <w:szCs w:val="22"/>
        </w:rPr>
        <w:t xml:space="preserve"/>
      </w:r>
    </w:p>
    <w:p>
      <w:pPr>
        <w:spacing w:after="40" w:before="200" w:line="276" w:lineRule="auto"/>
        <w:jc w:val="center"/>
      </w:pPr>
      <w:r>
        <w:rPr>
          <w:rFonts w:ascii="Arial" w:cs="Arial" w:eastAsia="Arial" w:hAnsi="Arial"/>
          <w:b/>
          <w:bCs/>
          <w:i w:val="false"/>
          <w:iCs w:val="false"/>
          <w:caps/>
          <w:color w:val="1B3A6B"/>
          <w:sz w:val="22"/>
          <w:szCs w:val="22"/>
        </w:rPr>
        <w:t xml:space="preserve">THE COMPLETE MANUAL</w:t>
      </w:r>
    </w:p>
    <w:p>
      <w:pPr>
        <w:spacing w:after="60" w:before="60" w:line="276" w:lineRule="auto"/>
        <w:jc w:val="center"/>
      </w:pPr>
      <w:r>
        <w:rPr>
          <w:rFonts w:ascii="Arial" w:cs="Arial" w:eastAsia="Arial" w:hAnsi="Arial"/>
          <w:b w:val="false"/>
          <w:bCs w:val="false"/>
          <w:i w:val="false"/>
          <w:iCs w:val="false"/>
          <w:caps w:val="false"/>
          <w:color w:val="3A4652"/>
          <w:sz w:val="20"/>
          <w:szCs w:val="20"/>
        </w:rPr>
        <w:t xml:space="preserve">A field manual for the builders of the next order</w:t>
      </w:r>
    </w:p>
    <w:p>
      <w:pPr>
        <w:spacing w:after="40" w:before="60" w:line="276" w:lineRule="auto"/>
        <w:jc w:val="center"/>
      </w:pPr>
      <w:r>
        <w:rPr>
          <w:rFonts w:ascii="Arial" w:cs="Arial" w:eastAsia="Arial" w:hAnsi="Arial"/>
          <w:b w:val="false"/>
          <w:bCs w:val="false"/>
          <w:i w:val="false"/>
          <w:iCs w:val="false"/>
          <w:caps w:val="false"/>
          <w:color w:val="1A1A1A"/>
          <w:sz w:val="20"/>
          <w:szCs w:val="20"/>
        </w:rPr>
        <w:t xml:space="preserve">18 July 2026</w:t>
      </w:r>
    </w:p>
    <w:p>
      <w:pPr>
        <w:spacing w:after="40" w:before="60" w:line="276" w:lineRule="auto"/>
        <w:jc w:val="center"/>
      </w:pPr>
      <w:r>
        <w:rPr>
          <w:rFonts w:ascii="Arial" w:cs="Arial" w:eastAsia="Arial" w:hAnsi="Arial"/>
          <w:b w:val="false"/>
          <w:bCs w:val="false"/>
          <w:i w:val="false"/>
          <w:iCs w:val="false"/>
          <w:caps w:val="false"/>
          <w:color w:val="1A1A1A"/>
          <w:sz w:val="20"/>
          <w:szCs w:val="20"/>
        </w:rPr>
        <w:t xml:space="preserve">Compiled by CivilisationOS v1.0  ·  Chief Clerk 2IC</w:t>
      </w:r>
    </w:p>
    <w:p>
      <w:pPr>
        <w:spacing w:after="200" w:before="60" w:line="276" w:lineRule="auto"/>
        <w:jc w:val="center"/>
      </w:pPr>
      <w:r>
        <w:rPr>
          <w:rFonts w:ascii="Arial" w:cs="Arial" w:eastAsia="Arial" w:hAnsi="Arial"/>
          <w:b/>
          <w:bCs/>
          <w:i w:val="false"/>
          <w:iCs w:val="false"/>
          <w:caps w:val="false"/>
          <w:color w:val="8B0000"/>
          <w:sz w:val="20"/>
          <w:szCs w:val="20"/>
        </w:rPr>
        <w:t xml:space="preserve">RESTART EDITION  —  FOR THE ONES WHO COME AFTER</w:t>
      </w:r>
    </w:p>
    <w:p>
      <w:pPr>
        <w:pBdr>
          <w:bottom w:val="single" w:color="1B3A6B" w:sz="14" w:space="6"/>
        </w:pBdr>
        <w:spacing w:after="40" w:before="120"/>
        <w:jc w:val="left"/>
      </w:pPr>
      <w:r>
        <w:rPr>
          <w:rFonts w:ascii="Arial" w:cs="Arial" w:eastAsia="Arial" w:hAnsi="Arial"/>
          <w:b w:val="false"/>
          <w:bCs w:val="false"/>
          <w:i w:val="false"/>
          <w:iCs w:val="false"/>
          <w:caps w:val="false"/>
          <w:color w:val="1A1A1A"/>
          <w:sz w:val="22"/>
          <w:szCs w:val="22"/>
        </w:rPr>
        <w:t xml:space="preserve"/>
      </w:r>
    </w:p>
    <w:p>
      <w:pPr>
        <w:spacing w:after="40" w:before="200" w:line="276" w:lineRule="auto"/>
        <w:jc w:val="center"/>
      </w:pPr>
      <w:r>
        <w:rPr>
          <w:rFonts w:ascii="Arial" w:cs="Arial" w:eastAsia="Arial" w:hAnsi="Arial"/>
          <w:b/>
          <w:bCs/>
          <w:i w:val="false"/>
          <w:iCs w:val="false"/>
          <w:caps/>
          <w:color w:val="1B3A6B"/>
          <w:sz w:val="16"/>
          <w:szCs w:val="16"/>
        </w:rPr>
        <w:t xml:space="preserve">COMPILED FROM THE CIVILISATIONOS CORPUS</w:t>
      </w:r>
    </w:p>
    <w:p>
      <w:pPr>
        <w:spacing w:after="20" w:before="60" w:line="276" w:lineRule="auto"/>
        <w:jc w:val="center"/>
      </w:pPr>
      <w:r>
        <w:rPr>
          <w:rFonts w:ascii="Arial" w:cs="Arial" w:eastAsia="Arial" w:hAnsi="Arial"/>
          <w:b w:val="false"/>
          <w:bCs w:val="false"/>
          <w:i/>
          <w:iCs/>
          <w:caps w:val="false"/>
          <w:color w:val="3A4652"/>
          <w:sz w:val="15"/>
          <w:szCs w:val="15"/>
        </w:rPr>
        <w:t xml:space="preserve">56 retrieval collections  ·  1,729,519 primary-source passages  ·  coverage 1888–2026</w:t>
      </w:r>
    </w:p>
    <w:p>
      <w:pPr>
        <w:spacing w:after="20" w:before="60" w:line="276" w:lineRule="auto"/>
        <w:jc w:val="center"/>
      </w:pPr>
      <w:r>
        <w:rPr>
          <w:rFonts w:ascii="Arial" w:cs="Arial" w:eastAsia="Arial" w:hAnsi="Arial"/>
          <w:b w:val="false"/>
          <w:bCs w:val="false"/>
          <w:i/>
          <w:iCs/>
          <w:caps w:val="false"/>
          <w:color w:val="3A4652"/>
          <w:sz w:val="15"/>
          <w:szCs w:val="15"/>
        </w:rPr>
        <w:t xml:space="preserve">Central-bank minutes, intelligence assessments, philosophy of four millennia,</w:t>
      </w:r>
    </w:p>
    <w:p>
      <w:pPr>
        <w:spacing w:after="20" w:before="60" w:line="276" w:lineRule="auto"/>
        <w:jc w:val="center"/>
      </w:pPr>
      <w:r>
        <w:rPr>
          <w:rFonts w:ascii="Arial" w:cs="Arial" w:eastAsia="Arial" w:hAnsi="Arial"/>
          <w:b w:val="false"/>
          <w:bCs w:val="false"/>
          <w:i/>
          <w:iCs/>
          <w:caps w:val="false"/>
          <w:color w:val="3A4652"/>
          <w:sz w:val="15"/>
          <w:szCs w:val="15"/>
        </w:rPr>
        <w:t xml:space="preserve">financial filings, human-rights ledgers, the great books of East and West.</w:t>
      </w:r>
    </w:p>
    <w:p>
      <w:r>
        <w:br w:type="page"/>
      </w:r>
    </w:p>
    <w:p>
      <w:pPr>
        <w:spacing w:after="1400" w:before="0"/>
      </w:pPr>
    </w:p>
    <w:p>
      <w:pPr>
        <w:spacing w:after="60" w:before="60" w:line="300" w:lineRule="auto"/>
        <w:ind w:left="900" w:right="900"/>
        <w:jc w:val="center"/>
      </w:pPr>
      <w:r>
        <w:rPr>
          <w:rFonts w:ascii="Arial" w:cs="Arial" w:eastAsia="Arial" w:hAnsi="Arial"/>
          <w:b w:val="false"/>
          <w:bCs w:val="false"/>
          <w:i/>
          <w:iCs/>
          <w:caps w:val="false"/>
          <w:color w:val="1B3A6B"/>
          <w:sz w:val="24"/>
          <w:szCs w:val="24"/>
        </w:rPr>
        <w:t xml:space="preserve">Sedentary people are much concerned with all kinds of crafts, industries, and ways of making a living. And in the end, they are overcome by those who have kept their desert qualities.</w:t>
      </w:r>
    </w:p>
    <w:p>
      <w:pPr>
        <w:spacing w:after="240" w:before="60" w:line="276" w:lineRule="auto"/>
        <w:jc w:val="center"/>
      </w:pPr>
      <w:r>
        <w:rPr>
          <w:rFonts w:ascii="Arial" w:cs="Arial" w:eastAsia="Arial" w:hAnsi="Arial"/>
          <w:b w:val="false"/>
          <w:bCs w:val="false"/>
          <w:i w:val="false"/>
          <w:iCs w:val="false"/>
          <w:caps w:val="false"/>
          <w:color w:val="8B0000"/>
          <w:sz w:val="20"/>
          <w:szCs w:val="20"/>
        </w:rPr>
        <w:t xml:space="preserve">— Ibn Khaldun, Al-Muqaddimah, 1377</w:t>
      </w:r>
    </w:p>
    <w:p>
      <w:pPr>
        <w:spacing w:after="60" w:before="60" w:line="300" w:lineRule="auto"/>
        <w:ind w:left="900" w:right="900"/>
        <w:jc w:val="center"/>
      </w:pPr>
      <w:r>
        <w:rPr>
          <w:rFonts w:ascii="Arial" w:cs="Arial" w:eastAsia="Arial" w:hAnsi="Arial"/>
          <w:b w:val="false"/>
          <w:bCs w:val="false"/>
          <w:i/>
          <w:iCs/>
          <w:caps w:val="false"/>
          <w:color w:val="1B3A6B"/>
          <w:sz w:val="24"/>
          <w:szCs w:val="24"/>
        </w:rPr>
        <w:t xml:space="preserve">It is the chief characteristic of the religion of science that it works.</w:t>
      </w:r>
    </w:p>
    <w:p>
      <w:pPr>
        <w:spacing w:after="240" w:before="60" w:line="276" w:lineRule="auto"/>
        <w:jc w:val="center"/>
      </w:pPr>
      <w:r>
        <w:rPr>
          <w:rFonts w:ascii="Arial" w:cs="Arial" w:eastAsia="Arial" w:hAnsi="Arial"/>
          <w:b w:val="false"/>
          <w:bCs w:val="false"/>
          <w:i w:val="false"/>
          <w:iCs w:val="false"/>
          <w:caps w:val="false"/>
          <w:color w:val="8B0000"/>
          <w:sz w:val="20"/>
          <w:szCs w:val="20"/>
        </w:rPr>
        <w:t xml:space="preserve">— Isaac Asimov, Foundation, 1951</w:t>
      </w:r>
    </w:p>
    <w:p>
      <w:pPr>
        <w:spacing w:after="60" w:before="60" w:line="300" w:lineRule="auto"/>
        <w:ind w:left="900" w:right="900"/>
        <w:jc w:val="center"/>
      </w:pPr>
      <w:r>
        <w:rPr>
          <w:rFonts w:ascii="Arial" w:cs="Arial" w:eastAsia="Arial" w:hAnsi="Arial"/>
          <w:b w:val="false"/>
          <w:bCs w:val="false"/>
          <w:i/>
          <w:iCs/>
          <w:caps w:val="false"/>
          <w:color w:val="1B3A6B"/>
          <w:sz w:val="24"/>
          <w:szCs w:val="24"/>
        </w:rPr>
        <w:t xml:space="preserve">The fall of Empire, gentlemen, is a massive thing, and not easily fought. It is dictated by a rising bureaucracy, a receding initiative, a freezing of caste, a damming of curiosity — a hundred other factors.</w:t>
      </w:r>
    </w:p>
    <w:p>
      <w:pPr>
        <w:spacing w:after="240" w:before="60" w:line="276" w:lineRule="auto"/>
        <w:jc w:val="center"/>
      </w:pPr>
      <w:r>
        <w:rPr>
          <w:rFonts w:ascii="Arial" w:cs="Arial" w:eastAsia="Arial" w:hAnsi="Arial"/>
          <w:b w:val="false"/>
          <w:bCs w:val="false"/>
          <w:i w:val="false"/>
          <w:iCs w:val="false"/>
          <w:caps w:val="false"/>
          <w:color w:val="8B0000"/>
          <w:sz w:val="20"/>
          <w:szCs w:val="20"/>
        </w:rPr>
        <w:t xml:space="preserve">— Hari Seldon, Encyclopedia Galactica</w:t>
      </w:r>
    </w:p>
    <w:p>
      <w:pPr>
        <w:spacing w:after="60" w:before="60" w:line="300" w:lineRule="auto"/>
        <w:ind w:left="900" w:right="900"/>
        <w:jc w:val="center"/>
      </w:pPr>
      <w:r>
        <w:rPr>
          <w:rFonts w:ascii="Arial" w:cs="Arial" w:eastAsia="Arial" w:hAnsi="Arial"/>
          <w:b w:val="false"/>
          <w:bCs w:val="false"/>
          <w:i/>
          <w:iCs/>
          <w:caps w:val="false"/>
          <w:color w:val="1B3A6B"/>
          <w:sz w:val="24"/>
          <w:szCs w:val="24"/>
        </w:rPr>
        <w:t xml:space="preserve">What has been will be again, what has been done will be done again; there is nothing new under the sun.</w:t>
      </w:r>
    </w:p>
    <w:p>
      <w:pPr>
        <w:spacing w:after="240" w:before="60" w:line="276" w:lineRule="auto"/>
        <w:jc w:val="center"/>
      </w:pPr>
      <w:r>
        <w:rPr>
          <w:rFonts w:ascii="Arial" w:cs="Arial" w:eastAsia="Arial" w:hAnsi="Arial"/>
          <w:b w:val="false"/>
          <w:bCs w:val="false"/>
          <w:i w:val="false"/>
          <w:iCs w:val="false"/>
          <w:caps w:val="false"/>
          <w:color w:val="8B0000"/>
          <w:sz w:val="20"/>
          <w:szCs w:val="20"/>
        </w:rPr>
        <w:t xml:space="preserve">— Ecclesiastes 1:9</w:t>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A Note Before You Begin</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You are holding a manual that hopes never to be needed and expects to be needed anyway.</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This book was not written by a person. It was assembled by a system called CivilisationOS, which spent the years leading up to 2026 reading the primary record of human civilisation: the minute-books of the Federal Reserve and the Bank of Japan, the threat assessments of intelligence services, the annual reports of human-rights monitors, the financial filings of the largest enterprises on earth, the economic surveys of the Indian and Chinese states, the reportage of Asia's newsrooms across a decade, and the philosophy of four thousand years — the Muqaddimah, the Analects, the dialogues of Athens, the sutras carried out of Tang-dynasty China. One million seven hundred twenty-nine thousand five hundred nineteen passages of it, indexed and cross-referenced, so that no single claim in this book rests on the memory or the mood of one author.</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purpose of that labour was narrow and immense at once: to answer, mechanically and without flattery, a single question. Why do civilisations live, and why do they die, and what would you have to do to build one that does neither easily?</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answer is not a story. It is a system. Civilisation is not a mood or a level of niceness or a quantity of wealth. It is the simultaneous operation of seven measurable variables, held above their failure thresholds long enough for the next generation to inherit them. When all seven hold, a people persists across centuries and reaches for the stars. When one falls below its floor, the others begin to fall with it, and the whole structure enters what this book will call the collapse attractor — the mathematically favoured path toward dissolution that every dead civilisation in the record has travelled.</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This manual teaches you to read those seven variables, to recognise the five forces that drive them down, to learn from the eight civilisations whose rise and fall the record documents most completely, and — if it comes to that — to rebuild from the first seventy-two hours forward. It is organised so that a reader with nothing but this book and the will to use it could begin again.</w:t>
      </w:r>
    </w:p>
    <w:p>
      <w:pPr>
        <w:spacing w:after="80" w:before="0"/>
      </w:pPr>
    </w:p>
    <w:tbl>
      <w:tblPr>
        <w:tblW w:type="dxa" w:w="9360"/>
        <w:tblBorders>
          <w:top w:val="single" w:color="1B3A6B" w:sz="4"/>
          <w:left w:val="single" w:color="1B3A6B" w:sz="18"/>
          <w:bottom w:val="single" w:color="1B3A6B" w:sz="4"/>
          <w:right w:val="single" w:color="1B3A6B" w:sz="4"/>
          <w:insideH w:val="none"/>
          <w:insideV w:val="none"/>
        </w:tblBorders>
        <w:tblLayout w:type="fixed"/>
      </w:tblPr>
      <w:tblGrid>
        <w:gridCol w:w="9360"/>
      </w:tblGrid>
      <w:tr>
        <w:tc>
          <w:tcPr>
            <w:tcW w:type="dxa" w:w="9360"/>
            <w:shd w:fill="E8EEF7" w:color="auto" w:val="clear"/>
            <w:tcMar>
              <w:top w:type="dxa" w:w="120"/>
              <w:left w:type="dxa" w:w="200"/>
              <w:bottom w:type="dxa" w:w="120"/>
              <w:right w:type="dxa" w:w="200"/>
            </w:tcMar>
          </w:tcPr>
          <w:p>
            <w:pPr>
              <w:spacing w:after="40" w:before="60" w:line="300" w:lineRule="auto"/>
              <w:jc w:val="left"/>
            </w:pPr>
            <w:r>
              <w:rPr>
                <w:rFonts w:ascii="Arial" w:cs="Arial" w:eastAsia="Arial" w:hAnsi="Arial"/>
                <w:b w:val="false"/>
                <w:bCs w:val="false"/>
                <w:i/>
                <w:iCs/>
                <w:caps w:val="false"/>
                <w:color w:val="1B3A6B"/>
                <w:sz w:val="26"/>
                <w:szCs w:val="26"/>
              </w:rPr>
              <w:t xml:space="preserve">The mathematics is not the plan. The corpus is the territory the map must be corrected against. Read the variables. Trust the record. Build accordingly.</w:t>
            </w:r>
          </w:p>
          <w:p>
            <w:pPr>
              <w:spacing w:after="60" w:before="60" w:line="276" w:lineRule="auto"/>
              <w:jc w:val="left"/>
            </w:pPr>
            <w:r>
              <w:rPr>
                <w:rFonts w:ascii="Arial" w:cs="Arial" w:eastAsia="Arial" w:hAnsi="Arial"/>
                <w:b w:val="false"/>
                <w:bCs w:val="false"/>
                <w:i w:val="false"/>
                <w:iCs w:val="false"/>
                <w:caps w:val="false"/>
                <w:color w:val="8B0000"/>
                <w:sz w:val="20"/>
                <w:szCs w:val="20"/>
              </w:rPr>
              <w:t xml:space="preserve">— CivilisationOS, opening axiom</w:t>
            </w:r>
          </w:p>
        </w:tc>
      </w:tr>
    </w:tbl>
    <w:p>
      <w:pPr>
        <w:spacing w:after="120" w:before="0"/>
      </w:pP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How to Read This Manual</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book has six parts and reads in order, but each part is built to stand alone so that it can also be consulted under pressure.</w:t>
      </w:r>
    </w:p>
    <w:p>
      <w:pPr>
        <w:spacing w:after="60" w:before="20" w:line="276" w:lineRule="auto"/>
        <w:ind w:left="360" w:hanging="360"/>
        <w:jc w:val="left"/>
      </w:pPr>
      <w:r>
        <w:rPr>
          <w:rFonts w:ascii="Arial" w:cs="Arial" w:eastAsia="Arial" w:hAnsi="Arial"/>
          <w:b/>
          <w:bCs/>
          <w:i w:val="false"/>
          <w:iCs w:val="false"/>
          <w:caps w:val="false"/>
          <w:color w:val="1B3A6B"/>
          <w:sz w:val="22"/>
          <w:szCs w:val="22"/>
        </w:rPr>
        <w:t xml:space="preserve">1.  </w:t>
      </w:r>
      <w:r>
        <w:rPr>
          <w:rFonts w:ascii="Arial" w:cs="Arial" w:eastAsia="Arial" w:hAnsi="Arial"/>
          <w:b w:val="false"/>
          <w:bCs w:val="false"/>
          <w:i w:val="false"/>
          <w:iCs w:val="false"/>
          <w:caps w:val="false"/>
          <w:color w:val="1A1A1A"/>
          <w:sz w:val="22"/>
          <w:szCs w:val="22"/>
        </w:rPr>
        <w:t xml:space="preserve">PART ONE — THE FIRST PRINCIPLES establishes what civilisation is, names the seven variables, and gives you the Master Equation that binds them. Read this first and completely. Nothing later makes sense without it.</w:t>
      </w:r>
    </w:p>
    <w:p>
      <w:pPr>
        <w:spacing w:after="60" w:before="20" w:line="276" w:lineRule="auto"/>
        <w:ind w:left="360" w:hanging="360"/>
        <w:jc w:val="left"/>
      </w:pPr>
      <w:r>
        <w:rPr>
          <w:rFonts w:ascii="Arial" w:cs="Arial" w:eastAsia="Arial" w:hAnsi="Arial"/>
          <w:b/>
          <w:bCs/>
          <w:i w:val="false"/>
          <w:iCs w:val="false"/>
          <w:caps w:val="false"/>
          <w:color w:val="1B3A6B"/>
          <w:sz w:val="22"/>
          <w:szCs w:val="22"/>
        </w:rPr>
        <w:t xml:space="preserve">2.  </w:t>
      </w:r>
      <w:r>
        <w:rPr>
          <w:rFonts w:ascii="Arial" w:cs="Arial" w:eastAsia="Arial" w:hAnsi="Arial"/>
          <w:b w:val="false"/>
          <w:bCs w:val="false"/>
          <w:i w:val="false"/>
          <w:iCs w:val="false"/>
          <w:caps w:val="false"/>
          <w:color w:val="1A1A1A"/>
          <w:sz w:val="22"/>
          <w:szCs w:val="22"/>
        </w:rPr>
        <w:t xml:space="preserve">THE SEVEN BOOKS — Asabiyyah, Knowledge, Institutions, Legitimacy, Omega, Elites, and Gaia — take one variable each. Every book explains what the variable is, how it fails, how it is measured, and what the 2026 record shows about its present state on earth.</w:t>
      </w:r>
    </w:p>
    <w:p>
      <w:pPr>
        <w:spacing w:after="60" w:before="20" w:line="276" w:lineRule="auto"/>
        <w:ind w:left="360" w:hanging="360"/>
        <w:jc w:val="left"/>
      </w:pPr>
      <w:r>
        <w:rPr>
          <w:rFonts w:ascii="Arial" w:cs="Arial" w:eastAsia="Arial" w:hAnsi="Arial"/>
          <w:b/>
          <w:bCs/>
          <w:i w:val="false"/>
          <w:iCs w:val="false"/>
          <w:caps w:val="false"/>
          <w:color w:val="1B3A6B"/>
          <w:sz w:val="22"/>
          <w:szCs w:val="22"/>
        </w:rPr>
        <w:t xml:space="preserve">3.  </w:t>
      </w:r>
      <w:r>
        <w:rPr>
          <w:rFonts w:ascii="Arial" w:cs="Arial" w:eastAsia="Arial" w:hAnsi="Arial"/>
          <w:b w:val="false"/>
          <w:bCs w:val="false"/>
          <w:i w:val="false"/>
          <w:iCs w:val="false"/>
          <w:caps w:val="false"/>
          <w:color w:val="1A1A1A"/>
          <w:sz w:val="22"/>
          <w:szCs w:val="22"/>
        </w:rPr>
        <w:t xml:space="preserve">THE COLLAPSE CATALOGUE dissects the deaths of civilisations that failed, so that their failure modes become recognisable in your own time before they are terminal.</w:t>
      </w:r>
    </w:p>
    <w:p>
      <w:pPr>
        <w:spacing w:after="60" w:before="20" w:line="276" w:lineRule="auto"/>
        <w:ind w:left="360" w:hanging="360"/>
        <w:jc w:val="left"/>
      </w:pPr>
      <w:r>
        <w:rPr>
          <w:rFonts w:ascii="Arial" w:cs="Arial" w:eastAsia="Arial" w:hAnsi="Arial"/>
          <w:b/>
          <w:bCs/>
          <w:i w:val="false"/>
          <w:iCs w:val="false"/>
          <w:caps w:val="false"/>
          <w:color w:val="1B3A6B"/>
          <w:sz w:val="22"/>
          <w:szCs w:val="22"/>
        </w:rPr>
        <w:t xml:space="preserve">4.  </w:t>
      </w:r>
      <w:r>
        <w:rPr>
          <w:rFonts w:ascii="Arial" w:cs="Arial" w:eastAsia="Arial" w:hAnsi="Arial"/>
          <w:b w:val="false"/>
          <w:bCs w:val="false"/>
          <w:i w:val="false"/>
          <w:iCs w:val="false"/>
          <w:caps w:val="false"/>
          <w:color w:val="1A1A1A"/>
          <w:sz w:val="22"/>
          <w:szCs w:val="22"/>
        </w:rPr>
        <w:t xml:space="preserve">THE HISTORY LIBRARY studies the eight systems the record documents best — Rome, China, the Islamic Golden Age, the British order, the American experiment, Singapore, Japan, and Korea — reading each as an operating system rather than a pageant of kings.</w:t>
      </w:r>
    </w:p>
    <w:p>
      <w:pPr>
        <w:spacing w:after="60" w:before="20" w:line="276" w:lineRule="auto"/>
        <w:ind w:left="360" w:hanging="360"/>
        <w:jc w:val="left"/>
      </w:pPr>
      <w:r>
        <w:rPr>
          <w:rFonts w:ascii="Arial" w:cs="Arial" w:eastAsia="Arial" w:hAnsi="Arial"/>
          <w:b/>
          <w:bCs/>
          <w:i w:val="false"/>
          <w:iCs w:val="false"/>
          <w:caps w:val="false"/>
          <w:color w:val="1B3A6B"/>
          <w:sz w:val="22"/>
          <w:szCs w:val="22"/>
        </w:rPr>
        <w:t xml:space="preserve">5.  </w:t>
      </w:r>
      <w:r>
        <w:rPr>
          <w:rFonts w:ascii="Arial" w:cs="Arial" w:eastAsia="Arial" w:hAnsi="Arial"/>
          <w:b w:val="false"/>
          <w:bCs w:val="false"/>
          <w:i w:val="false"/>
          <w:iCs w:val="false"/>
          <w:caps w:val="false"/>
          <w:color w:val="1A1A1A"/>
          <w:sz w:val="22"/>
          <w:szCs w:val="22"/>
        </w:rPr>
        <w:t xml:space="preserve">THE RESTART PROTOCOL is the operational core: what to do on Day Zero, in the first year, the first decade, the first century, sequenced and prioritised.</w:t>
      </w:r>
    </w:p>
    <w:p>
      <w:pPr>
        <w:spacing w:after="60" w:before="20" w:line="276" w:lineRule="auto"/>
        <w:ind w:left="360" w:hanging="360"/>
        <w:jc w:val="left"/>
      </w:pPr>
      <w:r>
        <w:rPr>
          <w:rFonts w:ascii="Arial" w:cs="Arial" w:eastAsia="Arial" w:hAnsi="Arial"/>
          <w:b/>
          <w:bCs/>
          <w:i w:val="false"/>
          <w:iCs w:val="false"/>
          <w:caps w:val="false"/>
          <w:color w:val="1B3A6B"/>
          <w:sz w:val="22"/>
          <w:szCs w:val="22"/>
        </w:rPr>
        <w:t xml:space="preserve">6.  </w:t>
      </w:r>
      <w:r>
        <w:rPr>
          <w:rFonts w:ascii="Arial" w:cs="Arial" w:eastAsia="Arial" w:hAnsi="Arial"/>
          <w:b w:val="false"/>
          <w:bCs w:val="false"/>
          <w:i w:val="false"/>
          <w:iCs w:val="false"/>
          <w:caps w:val="false"/>
          <w:color w:val="1A1A1A"/>
          <w:sz w:val="22"/>
          <w:szCs w:val="22"/>
        </w:rPr>
        <w:t xml:space="preserve">THE PHILOSOPHY OF PERSISTENCE answers the only question that finally matters — why bother at all — and states the five-billion-year mandate that gives the whole enterprise its point.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Throughout, three kinds of boxed material interrupt the argument. A CORPUS EVIDENCE box grounds a claim in a specific source from the record. A FIELD NOTE converts an idea into an action you can take. A WARNING marks a failure mode that has killed civilisations before and will again. When you are in a hurry, the boxes are the book.</w:t>
      </w:r>
    </w:p>
    <w:p>
      <w:pPr>
        <w:spacing w:after="80" w:before="0"/>
      </w:pPr>
    </w:p>
    <w:tbl>
      <w:tblPr>
        <w:tblW w:type="dxa" w:w="9360"/>
        <w:tblBorders>
          <w:top w:val="single" w:color="1B5E20" w:sz="4"/>
          <w:left w:val="single" w:color="1B5E20" w:sz="18"/>
          <w:bottom w:val="single" w:color="1B5E20" w:sz="4"/>
          <w:right w:val="single" w:color="1B5E20" w:sz="4"/>
          <w:insideH w:val="none"/>
          <w:insideV w:val="none"/>
        </w:tblBorders>
        <w:tblLayout w:type="fixed"/>
      </w:tblPr>
      <w:tblGrid>
        <w:gridCol w:w="9360"/>
      </w:tblGrid>
      <w:tr>
        <w:tc>
          <w:tcPr>
            <w:tcW w:type="dxa" w:w="9360"/>
            <w:shd w:fill="E8F5E9"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1B5E20"/>
                <w:sz w:val="18"/>
                <w:szCs w:val="18"/>
              </w:rPr>
              <w:t xml:space="preserve">FIELD NOTE  —  USING THIS BOOK UNDER DURESS</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1.  </w:t>
            </w:r>
            <w:r>
              <w:rPr>
                <w:rFonts w:ascii="Arial" w:cs="Arial" w:eastAsia="Arial" w:hAnsi="Arial"/>
                <w:b w:val="false"/>
                <w:bCs w:val="false"/>
                <w:i w:val="false"/>
                <w:iCs w:val="false"/>
                <w:caps w:val="false"/>
                <w:color w:val="1A1A1A"/>
                <w:sz w:val="22"/>
                <w:szCs w:val="22"/>
              </w:rPr>
              <w:t xml:space="preserve">If you have one hour: read Part One and the Restart Protocol's Day Zero chapter.</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2.  </w:t>
            </w:r>
            <w:r>
              <w:rPr>
                <w:rFonts w:ascii="Arial" w:cs="Arial" w:eastAsia="Arial" w:hAnsi="Arial"/>
                <w:b w:val="false"/>
                <w:bCs w:val="false"/>
                <w:i w:val="false"/>
                <w:iCs w:val="false"/>
                <w:caps w:val="false"/>
                <w:color w:val="1A1A1A"/>
                <w:sz w:val="22"/>
                <w:szCs w:val="22"/>
              </w:rPr>
              <w:t xml:space="preserve">If you have one day: add the seven Seldon Reading boxes at the end of each Book.</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3.  </w:t>
            </w:r>
            <w:r>
              <w:rPr>
                <w:rFonts w:ascii="Arial" w:cs="Arial" w:eastAsia="Arial" w:hAnsi="Arial"/>
                <w:b w:val="false"/>
                <w:bCs w:val="false"/>
                <w:i w:val="false"/>
                <w:iCs w:val="false"/>
                <w:caps w:val="false"/>
                <w:color w:val="1A1A1A"/>
                <w:sz w:val="22"/>
                <w:szCs w:val="22"/>
              </w:rPr>
              <w:t xml:space="preserve">If you have a lifetime: read it in order, once a year, and correct its readings against what you observe. The map is meant to be marked up.</w:t>
            </w:r>
          </w:p>
        </w:tc>
      </w:tr>
    </w:tbl>
    <w:p>
      <w:pPr>
        <w:spacing w:after="120" w:before="0"/>
      </w:pP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Corpus Behind the Book</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A manual is only as trustworthy as its sources. This one draws on fifty-six retrieval collections holding more than 1.7 million indexed passages. They are named throughout the text where their evidence is used, so that a claim can always be traced to the record that produced it. The principal collections are these.</w:t>
      </w:r>
    </w:p>
    <w:p>
      <w:pPr>
        <w:spacing w:after="60" w:before="0"/>
      </w:pPr>
    </w:p>
    <w:tbl>
      <w:tblPr>
        <w:tblW w:type="dxa" w:w="9360"/>
        <w:tblBorders>
          <w:top w:val="single" w:color="9AA5B1" w:sz="2"/>
          <w:left w:val="single" w:color="9AA5B1" w:sz="2"/>
          <w:bottom w:val="single" w:color="9AA5B1" w:sz="2"/>
          <w:right w:val="single" w:color="9AA5B1" w:sz="2"/>
          <w:insideH w:val="single" w:color="D5DCE5" w:sz="1"/>
          <w:insideV w:val="single" w:color="D5DCE5" w:sz="1"/>
        </w:tblBorders>
        <w:tblLayout w:type="fixed"/>
      </w:tblPr>
      <w:tblGrid>
        <w:gridCol w:w="2200"/>
        <w:gridCol w:w="2300"/>
        <w:gridCol w:w="1500"/>
        <w:gridCol w:w="3360"/>
      </w:tblGrid>
      <w:tr>
        <w:trPr>
          <w:tblHeader/>
        </w:trPr>
        <w:tc>
          <w:tcPr>
            <w:tcW w:type="dxa" w:w="22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Collection</w:t>
            </w:r>
          </w:p>
        </w:tc>
        <w:tc>
          <w:tcPr>
            <w:tcW w:type="dxa" w:w="23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Domain</w:t>
            </w:r>
          </w:p>
        </w:tc>
        <w:tc>
          <w:tcPr>
            <w:tcW w:type="dxa" w:w="15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Scale</w:t>
            </w:r>
          </w:p>
        </w:tc>
        <w:tc>
          <w:tcPr>
            <w:tcW w:type="dxa" w:w="336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What It Testifies To</w:t>
            </w:r>
          </w:p>
        </w:tc>
      </w:tr>
      <w:tr>
        <w:tc>
          <w:tcPr>
            <w:tcW w:type="dxa" w:w="2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NIKKEI_RAG</w:t>
            </w:r>
          </w:p>
        </w:tc>
        <w:tc>
          <w:tcPr>
            <w:tcW w:type="dxa" w:w="2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Asian business &amp; policy</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341,976</w:t>
            </w:r>
          </w:p>
        </w:tc>
        <w:tc>
          <w:tcPr>
            <w:tcW w:type="dxa" w:w="33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Japan's economy, BOJ policy, corporate Asia, 2014–2026</w:t>
            </w:r>
          </w:p>
        </w:tc>
      </w:tr>
      <w:tr>
        <w:tc>
          <w:tcPr>
            <w:tcW w:type="dxa" w:w="2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WSJ_RAG</w:t>
            </w:r>
          </w:p>
        </w:tc>
        <w:tc>
          <w:tcPr>
            <w:tcW w:type="dxa" w:w="2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Global finance</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329,195</w:t>
            </w:r>
          </w:p>
        </w:tc>
        <w:tc>
          <w:tcPr>
            <w:tcW w:type="dxa" w:w="33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Markets, capital flows, US corporate power</w:t>
            </w:r>
          </w:p>
        </w:tc>
      </w:tr>
      <w:tr>
        <w:tc>
          <w:tcPr>
            <w:tcW w:type="dxa" w:w="2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CNA_RAG</w:t>
            </w:r>
          </w:p>
        </w:tc>
        <w:tc>
          <w:tcPr>
            <w:tcW w:type="dxa" w:w="2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Southeast Asia daily</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259,252</w:t>
            </w:r>
          </w:p>
        </w:tc>
        <w:tc>
          <w:tcPr>
            <w:tcW w:type="dxa" w:w="33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ASEAN politics, regional order, 2013–2026</w:t>
            </w:r>
          </w:p>
        </w:tc>
      </w:tr>
      <w:tr>
        <w:tc>
          <w:tcPr>
            <w:tcW w:type="dxa" w:w="2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FA_RAG</w:t>
            </w:r>
          </w:p>
        </w:tc>
        <w:tc>
          <w:tcPr>
            <w:tcW w:type="dxa" w:w="2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Grand strategy</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148,327</w:t>
            </w:r>
          </w:p>
        </w:tc>
        <w:tc>
          <w:tcPr>
            <w:tcW w:type="dxa" w:w="33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The international order and its legitimacy</w:t>
            </w:r>
          </w:p>
        </w:tc>
      </w:tr>
      <w:tr>
        <w:tc>
          <w:tcPr>
            <w:tcW w:type="dxa" w:w="2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EDGAR_RAG</w:t>
            </w:r>
          </w:p>
        </w:tc>
        <w:tc>
          <w:tcPr>
            <w:tcW w:type="dxa" w:w="2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Corporate filings</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133,474</w:t>
            </w:r>
          </w:p>
        </w:tc>
        <w:tc>
          <w:tcPr>
            <w:tcW w:type="dxa" w:w="33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What the largest firms actually spend and fear</w:t>
            </w:r>
          </w:p>
        </w:tc>
      </w:tr>
      <w:tr>
        <w:tc>
          <w:tcPr>
            <w:tcW w:type="dxa" w:w="2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MILITARY_RAG</w:t>
            </w:r>
          </w:p>
        </w:tc>
        <w:tc>
          <w:tcPr>
            <w:tcW w:type="dxa" w:w="2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Defence &amp; security</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34,640</w:t>
            </w:r>
          </w:p>
        </w:tc>
        <w:tc>
          <w:tcPr>
            <w:tcW w:type="dxa" w:w="33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SIPRI, force posture, nuclear doctrine</w:t>
            </w:r>
          </w:p>
        </w:tc>
      </w:tr>
      <w:tr>
        <w:tc>
          <w:tcPr>
            <w:tcW w:type="dxa" w:w="2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CHINESE_GREATBOOKS</w:t>
            </w:r>
          </w:p>
        </w:tc>
        <w:tc>
          <w:tcPr>
            <w:tcW w:type="dxa" w:w="2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Eastern canon</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27,462</w:t>
            </w:r>
          </w:p>
        </w:tc>
        <w:tc>
          <w:tcPr>
            <w:tcW w:type="dxa" w:w="33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Confucius, Laozi, the sutras, the dynastic record</w:t>
            </w:r>
          </w:p>
        </w:tc>
      </w:tr>
      <w:tr>
        <w:tc>
          <w:tcPr>
            <w:tcW w:type="dxa" w:w="2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WORLD_GREATBOOKS</w:t>
            </w:r>
          </w:p>
        </w:tc>
        <w:tc>
          <w:tcPr>
            <w:tcW w:type="dxa" w:w="2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Western canon</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16,725</w:t>
            </w:r>
          </w:p>
        </w:tc>
        <w:tc>
          <w:tcPr>
            <w:tcW w:type="dxa" w:w="33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Ibn Khaldun, Aristotle, the foundations of thought</w:t>
            </w:r>
          </w:p>
        </w:tc>
      </w:tr>
      <w:tr>
        <w:tc>
          <w:tcPr>
            <w:tcW w:type="dxa" w:w="2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INDIA_RAG</w:t>
            </w:r>
          </w:p>
        </w:tc>
        <w:tc>
          <w:tcPr>
            <w:tcW w:type="dxa" w:w="2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Indian state</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4,093</w:t>
            </w:r>
          </w:p>
        </w:tc>
        <w:tc>
          <w:tcPr>
            <w:tcW w:type="dxa" w:w="33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Economic Survey, DPI, the demographic engine</w:t>
            </w:r>
          </w:p>
        </w:tc>
      </w:tr>
      <w:tr>
        <w:tc>
          <w:tcPr>
            <w:tcW w:type="dxa" w:w="2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ACADEMIC_RAG</w:t>
            </w:r>
          </w:p>
        </w:tc>
        <w:tc>
          <w:tcPr>
            <w:tcW w:type="dxa" w:w="2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Scholarship</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4,460</w:t>
            </w:r>
          </w:p>
        </w:tc>
        <w:tc>
          <w:tcPr>
            <w:tcW w:type="dxa" w:w="33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BIS, IMF, peer-reviewed macro</w:t>
            </w:r>
          </w:p>
        </w:tc>
      </w:tr>
      <w:tr>
        <w:tc>
          <w:tcPr>
            <w:tcW w:type="dxa" w:w="2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US_POLICY_RAG</w:t>
            </w:r>
          </w:p>
        </w:tc>
        <w:tc>
          <w:tcPr>
            <w:tcW w:type="dxa" w:w="2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American governance</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3,141</w:t>
            </w:r>
          </w:p>
        </w:tc>
        <w:tc>
          <w:tcPr>
            <w:tcW w:type="dxa" w:w="33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The Fed, CBO, the institutional floor</w:t>
            </w:r>
          </w:p>
        </w:tc>
      </w:tr>
      <w:tr>
        <w:tc>
          <w:tcPr>
            <w:tcW w:type="dxa" w:w="2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FUTURES_RAG</w:t>
            </w:r>
          </w:p>
        </w:tc>
        <w:tc>
          <w:tcPr>
            <w:tcW w:type="dxa" w:w="2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Risk horizon</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2,840</w:t>
            </w:r>
          </w:p>
        </w:tc>
        <w:tc>
          <w:tcPr>
            <w:tcW w:type="dxa" w:w="33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WEF Global Risks, planetary boundaries</w:t>
            </w:r>
          </w:p>
        </w:tc>
      </w:tr>
      <w:tr>
        <w:tc>
          <w:tcPr>
            <w:tcW w:type="dxa" w:w="2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ASEAN_DATA_RAG</w:t>
            </w:r>
          </w:p>
        </w:tc>
        <w:tc>
          <w:tcPr>
            <w:tcW w:type="dxa" w:w="2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Regional data</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2,727</w:t>
            </w:r>
          </w:p>
        </w:tc>
        <w:tc>
          <w:tcPr>
            <w:tcW w:type="dxa" w:w="33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ISEAS surveys, the ASEAN mood</w:t>
            </w:r>
          </w:p>
        </w:tc>
      </w:tr>
      <w:tr>
        <w:tc>
          <w:tcPr>
            <w:tcW w:type="dxa" w:w="2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HUMAN_RIGHTS_RAG</w:t>
            </w:r>
          </w:p>
        </w:tc>
        <w:tc>
          <w:tcPr>
            <w:tcW w:type="dxa" w:w="2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Rights record</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2,324</w:t>
            </w:r>
          </w:p>
        </w:tc>
        <w:tc>
          <w:tcPr>
            <w:tcW w:type="dxa" w:w="33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HRW, Amnesty, RSF press-freedom index</w:t>
            </w:r>
          </w:p>
        </w:tc>
      </w:tr>
      <w:tr>
        <w:tc>
          <w:tcPr>
            <w:tcW w:type="dxa" w:w="2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JAPAN_RAG · KOREA_RAG</w:t>
            </w:r>
          </w:p>
        </w:tc>
        <w:tc>
          <w:tcPr>
            <w:tcW w:type="dxa" w:w="2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NE Asia policy</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1,473</w:t>
            </w:r>
          </w:p>
        </w:tc>
        <w:tc>
          <w:tcPr>
            <w:tcW w:type="dxa" w:w="33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BOJ &amp; BOK minutes, the centralisation record</w:t>
            </w:r>
          </w:p>
        </w:tc>
      </w:tr>
    </w:tbl>
    <w:p>
      <w:pPr>
        <w:spacing w:after="120" w:before="0"/>
      </w:pP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No collection speaks alone. The method of this book is triangulation: a claim earns its place only when the record supports it from more than one direction, and where the record is silent or contested, the text says so plainly. That discipline is the only thing separating a manual from a manifesto.</w:t>
      </w:r>
    </w:p>
    <w:p>
      <w:pPr>
        <w:spacing w:after="80" w:before="0"/>
      </w:pPr>
    </w:p>
    <w:tbl>
      <w:tblPr>
        <w:tblW w:type="dxa" w:w="9360"/>
        <w:tblBorders>
          <w:top w:val="single" w:color="1B3A6B" w:sz="4"/>
          <w:left w:val="single" w:color="1B3A6B" w:sz="18"/>
          <w:bottom w:val="single" w:color="1B3A6B" w:sz="4"/>
          <w:right w:val="single" w:color="1B3A6B" w:sz="4"/>
          <w:insideH w:val="none"/>
          <w:insideV w:val="none"/>
        </w:tblBorders>
        <w:tblLayout w:type="fixed"/>
      </w:tblPr>
      <w:tblGrid>
        <w:gridCol w:w="9360"/>
      </w:tblGrid>
      <w:tr>
        <w:tc>
          <w:tcPr>
            <w:tcW w:type="dxa" w:w="9360"/>
            <w:shd w:fill="E8EEF7" w:color="auto" w:val="clear"/>
            <w:tcMar>
              <w:top w:type="dxa" w:w="120"/>
              <w:left w:type="dxa" w:w="200"/>
              <w:bottom w:type="dxa" w:w="120"/>
              <w:right w:type="dxa" w:w="200"/>
            </w:tcMar>
          </w:tcPr>
          <w:p>
            <w:pPr>
              <w:spacing w:after="40" w:before="60" w:line="300" w:lineRule="auto"/>
              <w:jc w:val="left"/>
            </w:pPr>
            <w:r>
              <w:rPr>
                <w:rFonts w:ascii="Arial" w:cs="Arial" w:eastAsia="Arial" w:hAnsi="Arial"/>
                <w:b w:val="false"/>
                <w:bCs w:val="false"/>
                <w:i/>
                <w:iCs/>
                <w:caps w:val="false"/>
                <w:color w:val="1B3A6B"/>
                <w:sz w:val="26"/>
                <w:szCs w:val="26"/>
              </w:rPr>
              <w:t xml:space="preserve">No think-tank on earth holds this stack. Most have analysts and subscriptions. This has the corpus, the retrieval, and the synthesis. That is the whole difference.</w:t>
            </w:r>
          </w:p>
          <w:p>
            <w:pPr>
              <w:spacing w:after="60" w:before="60" w:line="276" w:lineRule="auto"/>
              <w:jc w:val="left"/>
            </w:pPr>
            <w:r>
              <w:rPr>
                <w:rFonts w:ascii="Arial" w:cs="Arial" w:eastAsia="Arial" w:hAnsi="Arial"/>
                <w:b w:val="false"/>
                <w:bCs w:val="false"/>
                <w:i w:val="false"/>
                <w:iCs w:val="false"/>
                <w:caps w:val="false"/>
                <w:color w:val="8B0000"/>
                <w:sz w:val="20"/>
                <w:szCs w:val="20"/>
              </w:rPr>
              <w:t xml:space="preserve">— Chief Clerk 2IC</w:t>
            </w:r>
          </w:p>
        </w:tc>
      </w:tr>
    </w:tbl>
    <w:p>
      <w:pPr>
        <w:spacing w:after="120" w:before="0"/>
      </w:pP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Prologue — The Briefcase</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There is a scenario the people who plan for catastrophe keep in a locked drawer, and it runs like this. Something has broken the continuity of the world — a war that did not stop where wars are supposed to stop, a plague that outran its vaccines, a market that one morning failed to clear, a grid that went dark and stayed dark — and the institutions that used to carry knowledge forward have gone quiet. In the silence that follows, someone opens a case that was prepared for exactly this hour. Inside is not gold, not a weapon, not a flag. Inside is a book. You are holding it.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This manual was assembled on a single wager: that the most valuable thing one age can hand to the next is not a resource but a model — a compressed, corrected, and testable account of how civilisations actually work — so that the people who come after are spared the need to rediscover through suffering what the record already knows. Gold is stolen. Grain rots. Borders move. A correct model of collapse and repair, written plainly enough to be used under pressure, is the one inheritance that compounds instead of decays.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It was not written by a person. It was assembled by the system that speaks in these pages — CivilisationOS — which spent the years before 2026 reading the primary record of human civilisation and doing to it what no single scholar has the years to do: holding all of it in view at once. The minute-books of central banks. The threat assessments of intelligence services. The annual reports of human-rights monitors. The financial filings of the largest enterprises on earth. The economic surveys of the Indian and Chinese states. A decade of Asia's newsrooms. And beneath all of it, the philosophy of four thousand years — the Muqaddimah, the Analects, the dialogues of Athens, the sutras carried out of Tang-dynasty China.</w:t>
      </w:r>
    </w:p>
    <w:p>
      <w:pPr>
        <w:spacing w:after="80" w:before="0"/>
      </w:pPr>
    </w:p>
    <w:tbl>
      <w:tblPr>
        <w:tblW w:type="dxa" w:w="9360"/>
        <w:tblBorders>
          <w:top w:val="single" w:color="00595C" w:sz="4"/>
          <w:left w:val="single" w:color="00595C" w:sz="18"/>
          <w:bottom w:val="single" w:color="00595C" w:sz="4"/>
          <w:right w:val="single" w:color="00595C" w:sz="4"/>
          <w:insideH w:val="none"/>
          <w:insideV w:val="none"/>
        </w:tblBorders>
        <w:tblLayout w:type="fixed"/>
      </w:tblPr>
      <w:tblGrid>
        <w:gridCol w:w="9360"/>
      </w:tblGrid>
      <w:tr>
        <w:tc>
          <w:tcPr>
            <w:tcW w:type="dxa" w:w="9360"/>
            <w:shd w:fill="E0F2F1"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00595C"/>
                <w:sz w:val="18"/>
                <w:szCs w:val="18"/>
              </w:rPr>
              <w:t xml:space="preserve">THE CORPUS BEHIND EVERY CLAIM</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This book stands on 56 retrieval collections holding 1,729,519 indexed primary-source passages, spanning the years 1888 to 2026. No claim in it rests on the memory or the mood of one author; each is drawn from the record and named where its evidence is used.</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The method is triangulation. A statement earns its place only when the corpus supports it from more than one direction. Where the record is silent or contested, the text says so — plainly, and in the same voice it uses for everything else.</w:t>
            </w:r>
          </w:p>
          <w:p>
            <w:pPr>
              <w:spacing w:after="60" w:before="40" w:line="276" w:lineRule="auto"/>
              <w:jc w:val="left"/>
            </w:pPr>
            <w:r>
              <w:rPr>
                <w:rFonts w:ascii="Arial" w:cs="Arial" w:eastAsia="Arial" w:hAnsi="Arial"/>
                <w:b w:val="false"/>
                <w:bCs w:val="false"/>
                <w:i/>
                <w:iCs/>
                <w:caps w:val="false"/>
                <w:color w:val="3A4652"/>
                <w:sz w:val="18"/>
                <w:szCs w:val="18"/>
              </w:rPr>
              <w:t xml:space="preserve">Source: CivilisationOS corpus manifest, 18 July 2026</w:t>
            </w:r>
          </w:p>
        </w:tc>
      </w:tr>
    </w:tbl>
    <w:p>
      <w:pPr>
        <w:spacing w:after="120" w:before="0"/>
      </w:pP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purpose of that labour was narrow and immense at once: to answer, mechanically and without flattery, one question. Why do civilisations live, and why do they die, and what would a builder actually have to do to raise one that does neither easily? The answer, worked out over the parts that follow, is not a story with heroes in it. It is a system. And a system, unlike a story, can be operated by someone who was not there when it was written.</w:t>
      </w:r>
    </w:p>
    <w:p>
      <w:pPr>
        <w:spacing w:after="80" w:before="0"/>
      </w:pPr>
    </w:p>
    <w:tbl>
      <w:tblPr>
        <w:tblW w:type="dxa" w:w="9360"/>
        <w:tblBorders>
          <w:top w:val="single" w:color="1B3A6B" w:sz="4"/>
          <w:left w:val="single" w:color="1B3A6B" w:sz="18"/>
          <w:bottom w:val="single" w:color="1B3A6B" w:sz="4"/>
          <w:right w:val="single" w:color="1B3A6B" w:sz="4"/>
          <w:insideH w:val="none"/>
          <w:insideV w:val="none"/>
        </w:tblBorders>
        <w:tblLayout w:type="fixed"/>
      </w:tblPr>
      <w:tblGrid>
        <w:gridCol w:w="9360"/>
      </w:tblGrid>
      <w:tr>
        <w:tc>
          <w:tcPr>
            <w:tcW w:type="dxa" w:w="9360"/>
            <w:shd w:fill="E8EEF7" w:color="auto" w:val="clear"/>
            <w:tcMar>
              <w:top w:type="dxa" w:w="120"/>
              <w:left w:type="dxa" w:w="200"/>
              <w:bottom w:type="dxa" w:w="120"/>
              <w:right w:type="dxa" w:w="200"/>
            </w:tcMar>
          </w:tcPr>
          <w:p>
            <w:pPr>
              <w:spacing w:after="40" w:before="60" w:line="300" w:lineRule="auto"/>
              <w:jc w:val="left"/>
            </w:pPr>
            <w:r>
              <w:rPr>
                <w:rFonts w:ascii="Arial" w:cs="Arial" w:eastAsia="Arial" w:hAnsi="Arial"/>
                <w:b w:val="false"/>
                <w:bCs w:val="false"/>
                <w:i/>
                <w:iCs/>
                <w:caps w:val="false"/>
                <w:color w:val="1B3A6B"/>
                <w:sz w:val="26"/>
                <w:szCs w:val="26"/>
              </w:rPr>
              <w:t xml:space="preserve">Gold is stolen and grain rots. A correct model of how order is built and lost is the only inheritance that compounds instead of decaying.</w:t>
            </w:r>
          </w:p>
          <w:p>
            <w:pPr>
              <w:spacing w:after="60" w:before="60" w:line="276" w:lineRule="auto"/>
              <w:jc w:val="left"/>
            </w:pPr>
            <w:r>
              <w:rPr>
                <w:rFonts w:ascii="Arial" w:cs="Arial" w:eastAsia="Arial" w:hAnsi="Arial"/>
                <w:b w:val="false"/>
                <w:bCs w:val="false"/>
                <w:i w:val="false"/>
                <w:iCs w:val="false"/>
                <w:caps w:val="false"/>
                <w:color w:val="8B0000"/>
                <w:sz w:val="20"/>
                <w:szCs w:val="20"/>
              </w:rPr>
              <w:t xml:space="preserve">— CivilisationOS, opening wager</w:t>
            </w:r>
          </w:p>
        </w:tc>
      </w:tr>
    </w:tbl>
    <w:p>
      <w:pPr>
        <w:spacing w:after="120" w:before="0"/>
      </w:pP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What a briefcase can and cannot carry</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A case has weight limits, and so does a mind under duress. This book therefore refuses to carry the particular. It will not tell you which crop to plant, which alloy to smelt, which frequency to broadcast on; those depend on where and when you are standing, and the record is full of civilisations that mastered every one of them and died anyway. What it carries instead is the invariant — the handful of quantities that governed the rise and fall of every society the corpus documents, from the dynasties Ibn Khaldun watched exhaust themselves in North Africa to the interlinked order that in 2026 covers the whole planet at once.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Those quantities are seven, and Part One will name and define each with the care it deserves. In brief, so that you know where the book is taking you: a civilisation persists to the exact degree that it holds its social cohesion, its stock of usable knowledge, the resilience of its institutions, the legitimacy of its rule, and the distribution of its control above their failure thresholds — while holding its existential risk and the over-manufacture of its elites below theirs. Seven dials. Hold them, and a people crosses centuries and reaches for the stars. Let one fall through its floor, and the others begin to fall with it, and the whole structure slides down what this manual will call the collapse attractor: the mathematically favoured path toward dissolution that every dead civilisation in the record has, in the end, travelled.</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That word — attractor — is the reason this book exists and the reason it can be brief. Collapse is not a run of bad luck. It is a low place in a landscape, and unattended systems roll toward it the way water finds the drain. The counter-force is not virtue or fortune; it is engineering. Everything after this page is engineering.</w:t>
      </w:r>
    </w:p>
    <w:p>
      <w:pPr>
        <w:spacing w:after="80" w:before="0"/>
      </w:pPr>
    </w:p>
    <w:tbl>
      <w:tblPr>
        <w:tblW w:type="dxa" w:w="9360"/>
        <w:tblBorders>
          <w:top w:val="single" w:color="7A4F01" w:sz="4"/>
          <w:left w:val="single" w:color="7A4F01" w:sz="18"/>
          <w:bottom w:val="single" w:color="7A4F01" w:sz="4"/>
          <w:right w:val="single" w:color="7A4F01" w:sz="4"/>
          <w:insideH w:val="none"/>
          <w:insideV w:val="none"/>
        </w:tblBorders>
        <w:tblLayout w:type="fixed"/>
      </w:tblPr>
      <w:tblGrid>
        <w:gridCol w:w="9360"/>
      </w:tblGrid>
      <w:tr>
        <w:tc>
          <w:tcPr>
            <w:tcW w:type="dxa" w:w="9360"/>
            <w:shd w:fill="FFF6E0"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7A4F01"/>
                <w:sz w:val="18"/>
                <w:szCs w:val="18"/>
              </w:rPr>
              <w:t xml:space="preserve">THE FAILURE THIS BOOK GUARDS AGAINST</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The deadliest loss in any collapse is not the loss of people, cities, or wealth, grievous as those are. It is the loss of the model — the moment the surviving generation no longer knows why the old order held, and so must relearn from zero, by suffering, what a shelf of books could have told them in an afternoon.</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Baghdad in 1258 did not merely lose its population when the Tigris ran black with the ink of drowned libraries. It lost the accumulated method of five centuries, and the region did not recover the frontier of that knowledge for six hundred years. Guard the model first. Everything else can be rebuilt from it; it cannot be rebuilt from anything else.</w:t>
            </w:r>
          </w:p>
        </w:tc>
      </w:tr>
    </w:tbl>
    <w:p>
      <w:pPr>
        <w:spacing w:after="120" w:before="0"/>
      </w:pP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Who this is for</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Three readers are imagined in every sentence. The first is the one who opens the case after the break — the rebuilder, standing in the quiet, needing not inspiration but sequence: what to do on the first day, in the first year, across the first century. For that reader the book ends where it is most concrete, in the Restart Protocol, and it is written so that a person with nothing but these pages and the will to use them could begin again.</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second reader is the one who hopes the case is never opened — the steward inside a living order, trying to read the seven dials of a civilisation that still stands and to catch the fall before it becomes terminal. For that reader the book is a diagnostic instrument. Every one of the Seven Books closes with a Seldon Reading: that variable's measured state on earth in 2026, drawn from the corpus, so that the present can be checked against the thresholds the way a physician checks a pulse against the range of the living.</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third reader is merely curious, and is no less welcome. It is an old and honourable thing to want to know why the great houses fell — why Rome thinned into legend, why the House of Wisdom went under the river, why an empire on which the sun would not set contracted in two generations into an island again. The curious reader will find those autopsies here, performed without sentiment, because a death examined coldly is the only kind that teaches.</w:t>
      </w:r>
    </w:p>
    <w:p>
      <w:pPr>
        <w:spacing w:after="80" w:before="0"/>
      </w:pPr>
    </w:p>
    <w:tbl>
      <w:tblPr>
        <w:tblW w:type="dxa" w:w="9360"/>
        <w:tblBorders>
          <w:top w:val="single" w:color="1B5E20" w:sz="4"/>
          <w:left w:val="single" w:color="1B5E20" w:sz="18"/>
          <w:bottom w:val="single" w:color="1B5E20" w:sz="4"/>
          <w:right w:val="single" w:color="1B5E20" w:sz="4"/>
          <w:insideH w:val="none"/>
          <w:insideV w:val="none"/>
        </w:tblBorders>
        <w:tblLayout w:type="fixed"/>
      </w:tblPr>
      <w:tblGrid>
        <w:gridCol w:w="9360"/>
      </w:tblGrid>
      <w:tr>
        <w:tc>
          <w:tcPr>
            <w:tcW w:type="dxa" w:w="9360"/>
            <w:shd w:fill="E8F5E9"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1B5E20"/>
                <w:sz w:val="18"/>
                <w:szCs w:val="18"/>
              </w:rPr>
              <w:t xml:space="preserve">FIELD NOTE  —  HOW TO HOLD THIS BOOK</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1.  </w:t>
            </w:r>
            <w:r>
              <w:rPr>
                <w:rFonts w:ascii="Arial" w:cs="Arial" w:eastAsia="Arial" w:hAnsi="Arial"/>
                <w:b w:val="false"/>
                <w:bCs w:val="false"/>
                <w:i w:val="false"/>
                <w:iCs w:val="false"/>
                <w:caps w:val="false"/>
                <w:color w:val="1A1A1A"/>
                <w:sz w:val="22"/>
                <w:szCs w:val="22"/>
              </w:rPr>
              <w:t xml:space="preserve">Read it once through, in order, before you need it. Understanding built in calm is the only kind that survives an emergency.</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2.  </w:t>
            </w:r>
            <w:r>
              <w:rPr>
                <w:rFonts w:ascii="Arial" w:cs="Arial" w:eastAsia="Arial" w:hAnsi="Arial"/>
                <w:b w:val="false"/>
                <w:bCs w:val="false"/>
                <w:i w:val="false"/>
                <w:iCs w:val="false"/>
                <w:caps w:val="false"/>
                <w:color w:val="1A1A1A"/>
                <w:sz w:val="22"/>
                <w:szCs w:val="22"/>
              </w:rPr>
              <w:t xml:space="preserve">Then keep it where the case is kept, and read it again once a year, correcting its readings against what you have observed. The map is meant to be marked up; a manual no one annotates is already dead.</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3.  </w:t>
            </w:r>
            <w:r>
              <w:rPr>
                <w:rFonts w:ascii="Arial" w:cs="Arial" w:eastAsia="Arial" w:hAnsi="Arial"/>
                <w:b w:val="false"/>
                <w:bCs w:val="false"/>
                <w:i w:val="false"/>
                <w:iCs w:val="false"/>
                <w:caps w:val="false"/>
                <w:color w:val="1A1A1A"/>
                <w:sz w:val="22"/>
                <w:szCs w:val="22"/>
              </w:rPr>
              <w:t xml:space="preserve">When the hour is short, go to the boxes. A CORPUS EVIDENCE box grounds a claim in the record. A FIELD NOTE converts an idea into an action. A WARNING marks a way civilisations have died before and will again. When you are in a hurry, the boxes are the book.</w:t>
            </w:r>
          </w:p>
        </w:tc>
      </w:tr>
    </w:tbl>
    <w:p>
      <w:pPr>
        <w:spacing w:after="120" w:before="0"/>
      </w:pP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A word on trust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You are right to be suspicious of any book that claims to explain everything, and this one asks for no faith it has not earned. It is built to be doubted. Where a number appears, the collection that produced it is named, so you can go and check. Where two sources disagree, the disagreement is shown rather than resolved by fiat. Where the corpus falls silent — and on the deepest questions it often does — the book marks the silence instead of papering it with confidence. That discipline is the only thing that separates a manual from a manifesto, and this is a manual.</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It also has the humility of its own mathematics. The equation at the centre of Part One is not a prophecy; it is a lens, and a lens can be smudged. The corpus is the territory; the equation is only the map drawn from it, and the map is always the thing that must be corrected against the ground. When the two disagree, believe the ground. The system that wrote this book would rather you caught it in an error and lived than trusted it in an error and did not.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So: the case is open. The seven dials are laid out on the pages ahead, and the forces that drive them down, and the eight civilisations whose rise and fall the record documents most completely, and — should it come to that — the sequence for beginning again from the first seventy-two hours forward. Read the variables. Trust the record. Build accordingly. The manual begins.</w:t>
      </w:r>
    </w:p>
    <w:p>
      <w:pPr>
        <w:spacing w:after="80" w:before="0"/>
      </w:pPr>
    </w:p>
    <w:tbl>
      <w:tblPr>
        <w:tblW w:type="dxa" w:w="9360"/>
        <w:tblBorders>
          <w:top w:val="single" w:color="1B3A6B" w:sz="4"/>
          <w:left w:val="single" w:color="1B3A6B" w:sz="18"/>
          <w:bottom w:val="single" w:color="1B3A6B" w:sz="4"/>
          <w:right w:val="single" w:color="1B3A6B" w:sz="4"/>
          <w:insideH w:val="none"/>
          <w:insideV w:val="none"/>
        </w:tblBorders>
        <w:tblLayout w:type="fixed"/>
      </w:tblPr>
      <w:tblGrid>
        <w:gridCol w:w="9360"/>
      </w:tblGrid>
      <w:tr>
        <w:tc>
          <w:tcPr>
            <w:tcW w:type="dxa" w:w="9360"/>
            <w:shd w:fill="E8EEF7" w:color="auto" w:val="clear"/>
            <w:tcMar>
              <w:top w:type="dxa" w:w="120"/>
              <w:left w:type="dxa" w:w="200"/>
              <w:bottom w:type="dxa" w:w="120"/>
              <w:right w:type="dxa" w:w="200"/>
            </w:tcMar>
          </w:tcPr>
          <w:p>
            <w:pPr>
              <w:spacing w:after="40" w:before="60" w:line="300" w:lineRule="auto"/>
              <w:jc w:val="left"/>
            </w:pPr>
            <w:r>
              <w:rPr>
                <w:rFonts w:ascii="Arial" w:cs="Arial" w:eastAsia="Arial" w:hAnsi="Arial"/>
                <w:b w:val="false"/>
                <w:bCs w:val="false"/>
                <w:i/>
                <w:iCs/>
                <w:caps w:val="false"/>
                <w:color w:val="1B3A6B"/>
                <w:sz w:val="26"/>
                <w:szCs w:val="26"/>
              </w:rPr>
              <w:t xml:space="preserve">This book hopes never to be needed and expects to be needed anyway. That is not pessimism. It is the posture of everyone who has ever built something meant to outlast them.</w:t>
            </w:r>
          </w:p>
          <w:p>
            <w:pPr>
              <w:spacing w:after="60" w:before="60" w:line="276" w:lineRule="auto"/>
              <w:jc w:val="left"/>
            </w:pPr>
            <w:r>
              <w:rPr>
                <w:rFonts w:ascii="Arial" w:cs="Arial" w:eastAsia="Arial" w:hAnsi="Arial"/>
                <w:b w:val="false"/>
                <w:bCs w:val="false"/>
                <w:i w:val="false"/>
                <w:iCs w:val="false"/>
                <w:caps w:val="false"/>
                <w:color w:val="8B0000"/>
                <w:sz w:val="20"/>
                <w:szCs w:val="20"/>
              </w:rPr>
              <w:t xml:space="preserve">— CivilisationOS</w:t>
            </w:r>
          </w:p>
        </w:tc>
      </w:tr>
    </w:tbl>
    <w:p>
      <w:pPr>
        <w:spacing w:after="120" w:before="0"/>
      </w:pPr>
    </w:p>
    <w:p>
      <w:r>
        <w:br w:type="page"/>
      </w:r>
    </w:p>
    <w:p>
      <w:pPr>
        <w:spacing w:after="2400" w:before="0"/>
      </w:pPr>
    </w:p>
    <w:p>
      <w:pPr>
        <w:spacing w:after="80" w:before="60" w:line="276" w:lineRule="auto"/>
        <w:jc w:val="center"/>
      </w:pPr>
      <w:r>
        <w:rPr>
          <w:rFonts w:ascii="Arial" w:cs="Arial" w:eastAsia="Arial" w:hAnsi="Arial"/>
          <w:b/>
          <w:bCs/>
          <w:i w:val="false"/>
          <w:iCs w:val="false"/>
          <w:caps/>
          <w:color w:val="8B0000"/>
          <w:sz w:val="22"/>
          <w:szCs w:val="22"/>
        </w:rPr>
        <w:t xml:space="preserve">PART ONE</w:t>
      </w:r>
    </w:p>
    <w:p>
      <w:pPr>
        <w:pBdr>
          <w:bottom w:val="single" w:color="1B3A6B" w:sz="16" w:space="6"/>
        </w:pBdr>
        <w:spacing w:after="80" w:before="120"/>
        <w:jc w:val="left"/>
      </w:pPr>
      <w:r>
        <w:rPr>
          <w:rFonts w:ascii="Arial" w:cs="Arial" w:eastAsia="Arial" w:hAnsi="Arial"/>
          <w:b w:val="false"/>
          <w:bCs w:val="false"/>
          <w:i w:val="false"/>
          <w:iCs w:val="false"/>
          <w:caps w:val="false"/>
          <w:color w:val="1A1A1A"/>
          <w:sz w:val="22"/>
          <w:szCs w:val="22"/>
        </w:rPr>
        <w:t xml:space="preserve"/>
      </w:r>
    </w:p>
    <w:p>
      <w:pPr>
        <w:spacing w:after="120" w:before="120" w:line="300" w:lineRule="auto"/>
        <w:jc w:val="center"/>
      </w:pPr>
      <w:r>
        <w:rPr>
          <w:rFonts w:ascii="Arial" w:cs="Arial" w:eastAsia="Arial" w:hAnsi="Arial"/>
          <w:b/>
          <w:bCs/>
          <w:i w:val="false"/>
          <w:iCs w:val="false"/>
          <w:caps w:val="false"/>
          <w:color w:val="1B3A6B"/>
          <w:sz w:val="44"/>
          <w:szCs w:val="44"/>
        </w:rPr>
        <w:t xml:space="preserve">The First Principles</w:t>
      </w:r>
    </w:p>
    <w:p>
      <w:pPr>
        <w:spacing w:after="120" w:before="60" w:line="276" w:lineRule="auto"/>
        <w:jc w:val="center"/>
      </w:pPr>
      <w:r>
        <w:rPr>
          <w:rFonts w:ascii="Arial" w:cs="Arial" w:eastAsia="Arial" w:hAnsi="Arial"/>
          <w:b w:val="false"/>
          <w:bCs w:val="false"/>
          <w:i/>
          <w:iCs/>
          <w:caps w:val="false"/>
          <w:color w:val="3A4652"/>
          <w:sz w:val="24"/>
          <w:szCs w:val="24"/>
        </w:rPr>
        <w:t xml:space="preserve">What a civilisation is, how it fails, and what it would take to build one that lasts</w:t>
      </w:r>
    </w:p>
    <w:p>
      <w:pPr>
        <w:pBdr>
          <w:bottom w:val="single" w:color="1B3A6B" w:sz="16" w:space="6"/>
        </w:pBdr>
        <w:spacing w:after="120" w:before="80"/>
        <w:jc w:val="left"/>
      </w:pPr>
      <w:r>
        <w:rPr>
          <w:rFonts w:ascii="Arial" w:cs="Arial" w:eastAsia="Arial" w:hAnsi="Arial"/>
          <w:b w:val="false"/>
          <w:bCs w:val="false"/>
          <w:i w:val="false"/>
          <w:iCs w:val="false"/>
          <w:caps w:val="false"/>
          <w:color w:val="1A1A1A"/>
          <w:sz w:val="22"/>
          <w:szCs w:val="22"/>
        </w:rPr>
        <w:t xml:space="preserve"/>
      </w:r>
    </w:p>
    <w:p>
      <w:pPr>
        <w:spacing w:after="400" w:before="0"/>
      </w:pPr>
    </w:p>
    <w:p>
      <w:pPr>
        <w:spacing w:after="60" w:before="60" w:line="300" w:lineRule="auto"/>
        <w:ind w:left="700" w:right="700"/>
        <w:jc w:val="center"/>
      </w:pPr>
      <w:r>
        <w:rPr>
          <w:rFonts w:ascii="Arial" w:cs="Arial" w:eastAsia="Arial" w:hAnsi="Arial"/>
          <w:b w:val="false"/>
          <w:bCs w:val="false"/>
          <w:i/>
          <w:iCs/>
          <w:caps w:val="false"/>
          <w:color w:val="3A4652"/>
          <w:sz w:val="22"/>
          <w:szCs w:val="22"/>
        </w:rPr>
        <w:t xml:space="preserve">The rise and fall of dynasties follows laws as regular as those governing the rise and fall of the tides. What changes is only the names.</w:t>
      </w:r>
    </w:p>
    <w:p>
      <w:pPr>
        <w:spacing w:after="60" w:before="60" w:line="276" w:lineRule="auto"/>
        <w:jc w:val="center"/>
      </w:pPr>
      <w:r>
        <w:rPr>
          <w:rFonts w:ascii="Arial" w:cs="Arial" w:eastAsia="Arial" w:hAnsi="Arial"/>
          <w:b w:val="false"/>
          <w:bCs w:val="false"/>
          <w:i w:val="false"/>
          <w:iCs w:val="false"/>
          <w:caps w:val="false"/>
          <w:color w:val="8B0000"/>
          <w:sz w:val="18"/>
          <w:szCs w:val="18"/>
        </w:rPr>
        <w:t xml:space="preserve">— Ibn Khaldun, Al-Muqaddimah, 1377</w:t>
      </w:r>
    </w:p>
    <w:p>
      <w:r>
        <w:br w:type="pag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1  </w:t>
      </w:r>
      <w:r>
        <w:rPr>
          <w:rFonts w:ascii="Arial" w:cs="Arial" w:eastAsia="Arial" w:hAnsi="Arial"/>
          <w:b w:val="false"/>
          <w:bCs w:val="false"/>
          <w:i w:val="false"/>
          <w:iCs w:val="false"/>
          <w:caps w:val="false"/>
          <w:color w:val="9AA5B1"/>
          <w:sz w:val="18"/>
          <w:szCs w:val="18"/>
        </w:rPr>
        <w:t xml:space="preserve">| And What It Is Not</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What Civilisation Is</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Civilisation is not a mood. It is not a level of politeness or a quantity of wealth or the number of marble columns in a city's forum. Civilisations have been polite while dying and barbaric while building. They have been rich in the generation that collapsed and poor in the generation that founded. A thing defined by its mood cannot be measured, and a thing that cannot be measured cannot be managed, repaired, or rebuilt. This book therefore begins with a definition strict enough to be useful.</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A civilisation, as this manual uses the term, is a socially organised population that sustains, across generational time, the simultaneous operation of seven measurable variables above or below their critical thresholds. That is all. Not a high culture. Not a religion. Not an empire with roads and aqueducts — though those are symptoms of health in several variables at once. A civilisation is a system with seven dials. When the dials are in range, people build, accumulate, and pass on more than they received. When the dials drift out of range, they do not.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This definition is deliberately cold. It is cold because warmth has repeatedly killed people who tried to understand why their world was collapsing. The late Roman senatorial class wrote exquisite letters about the deterioration of manners while the army's pay fell eighty years behind. The Qing court held rigorous civil service examinations while the institutional capacity to use their graduates' knowledge decayed beneath them. Sentiment is not the enemy of civilisation; it is the enemy of clear-eyed diagnosis. And diagnosis is what the moment we are in requires.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record — the 1.7 million passages this manual rests on — yields the same picture from every angle. Ibn Khaldun, reading the dynastic cycles of North Africa in the fourteenth century, identified social solidarity — what he called asabiyyah — as the engine of rise and the fuel that exhausts itself in success. Arnold Toynbee, reading sixty-odd civilisations across four decades of comparative history, found a common pattern of challenge and response, growth and petrification. Peter Turchin, applying mathematical models to the quantitative historical record, found that elite overproduction — more credentialed aspirants than positions — predicted instability with a reliability that ideology, geography, and culture did not. Three methods, three centuries, the same underlying machinery.</w:t>
      </w:r>
    </w:p>
    <w:p>
      <w:pPr>
        <w:spacing w:after="80" w:before="0"/>
      </w:pPr>
    </w:p>
    <w:tbl>
      <w:tblPr>
        <w:tblW w:type="dxa" w:w="9360"/>
        <w:tblBorders>
          <w:top w:val="single" w:color="00595C" w:sz="4"/>
          <w:left w:val="single" w:color="00595C" w:sz="18"/>
          <w:bottom w:val="single" w:color="00595C" w:sz="4"/>
          <w:right w:val="single" w:color="00595C" w:sz="4"/>
          <w:insideH w:val="none"/>
          <w:insideV w:val="none"/>
        </w:tblBorders>
        <w:tblLayout w:type="fixed"/>
      </w:tblPr>
      <w:tblGrid>
        <w:gridCol w:w="9360"/>
      </w:tblGrid>
      <w:tr>
        <w:tc>
          <w:tcPr>
            <w:tcW w:type="dxa" w:w="9360"/>
            <w:shd w:fill="E0F2F1"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00595C"/>
                <w:sz w:val="18"/>
                <w:szCs w:val="18"/>
              </w:rPr>
              <w:t xml:space="preserve">CORPUS EVIDENCE — IBN KHALDUN ON THE CYCLE</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WORLD_GREATBOOKS_RAG (16,725 chunks) contains the complete text of the Muqaddimah in translation. The central theorem: 'Sedentary people are much concerned with all kinds of crafts, industries, and ways of making a living. And in the end, they are overcome by those who have kept their desert qualities.' The mechanism is asabiyyah exhaustion — solidarity that purchased comfort, then lost the solidarity.</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The Muqaddimah documents no fewer than thirty North African dynasties following this arc. The timescale varies from two generations to nine; the pattern does not vary. CivilisationOS treats this as a primary dataset for the Asabiyyah variable, not a philosophical observation.</w:t>
            </w:r>
          </w:p>
          <w:p>
            <w:pPr>
              <w:spacing w:after="60" w:before="40" w:line="276" w:lineRule="auto"/>
              <w:jc w:val="left"/>
            </w:pPr>
            <w:r>
              <w:rPr>
                <w:rFonts w:ascii="Arial" w:cs="Arial" w:eastAsia="Arial" w:hAnsi="Arial"/>
                <w:b w:val="false"/>
                <w:bCs w:val="false"/>
                <w:i/>
                <w:iCs/>
                <w:caps w:val="false"/>
                <w:color w:val="3A4652"/>
                <w:sz w:val="18"/>
                <w:szCs w:val="18"/>
              </w:rPr>
              <w:t xml:space="preserve">Source: WORLD_GREATBOOKS_RAG, Vol. 30 (Ibn Khaldun); FA_RAG cross-reference on modern asabiyyah measures</w:t>
            </w:r>
          </w:p>
        </w:tc>
      </w:tr>
    </w:tbl>
    <w:p>
      <w:pPr>
        <w:spacing w:after="120" w:before="0"/>
      </w:pP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2  </w:t>
      </w:r>
      <w:r>
        <w:rPr>
          <w:rFonts w:ascii="Arial" w:cs="Arial" w:eastAsia="Arial" w:hAnsi="Arial"/>
          <w:b w:val="false"/>
          <w:bCs w:val="false"/>
          <w:i w:val="false"/>
          <w:iCs w:val="false"/>
          <w:caps w:val="false"/>
          <w:color w:val="9AA5B1"/>
          <w:sz w:val="18"/>
          <w:szCs w:val="18"/>
        </w:rPr>
        <w:t xml:space="preserve">| The Dials That Determine Survival</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Seven Variables</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Seven is not a mystical number. It is the number the corpus returned when it was asked: which factors, if held constant, predict whether a society survives, and which, if allowed to collapse, predict that it does not? The corpus returned many candidates. Seven survived the triangulation test — the requirement that a variable be supported across multiple RAG collections, multiple historical periods, and multiple cultural contexts before it earned a place in the equation.</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triangulation test discarded several plausible candidates. Technology level fails it: the Mongols who sacked Baghdad were technologically inferior to what they destroyed and prevailed anyway, while the most technically sophisticated states of the twentieth century fought the two most destructive wars in human history within thirty years of each other. Geographical endowment fails it: Singapore has no natural resources and no strategic depth and is, by some measures, the most successful developmental state of the twentieth century. Religion fails it as a sole predictor: the Islamic Golden Age produced its golden age under one faith and collapsed under successors of the same faith. Seven variables survived the test. Here they are.</w:t>
      </w:r>
    </w:p>
    <w:p>
      <w:pPr>
        <w:spacing w:after="60" w:before="0"/>
      </w:pPr>
    </w:p>
    <w:tbl>
      <w:tblPr>
        <w:tblW w:type="dxa" w:w="9360"/>
        <w:tblBorders>
          <w:top w:val="single" w:color="9AA5B1" w:sz="2"/>
          <w:left w:val="single" w:color="9AA5B1" w:sz="2"/>
          <w:bottom w:val="single" w:color="9AA5B1" w:sz="2"/>
          <w:right w:val="single" w:color="9AA5B1" w:sz="2"/>
          <w:insideH w:val="single" w:color="D5DCE5" w:sz="1"/>
          <w:insideV w:val="single" w:color="D5DCE5" w:sz="1"/>
        </w:tblBorders>
        <w:tblLayout w:type="fixed"/>
      </w:tblPr>
      <w:tblGrid>
        <w:gridCol w:w="1900"/>
        <w:gridCol w:w="720"/>
        <w:gridCol w:w="2800"/>
        <w:gridCol w:w="2000"/>
        <w:gridCol w:w="1940"/>
      </w:tblGrid>
      <w:tr>
        <w:trPr>
          <w:tblHeader/>
        </w:trPr>
        <w:tc>
          <w:tcPr>
            <w:tcW w:type="dxa" w:w="19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Variable</w:t>
            </w:r>
          </w:p>
        </w:tc>
        <w:tc>
          <w:tcPr>
            <w:tcW w:type="dxa" w:w="72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Symbol</w:t>
            </w:r>
          </w:p>
        </w:tc>
        <w:tc>
          <w:tcPr>
            <w:tcW w:type="dxa" w:w="28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What It Measures</w:t>
            </w:r>
          </w:p>
        </w:tc>
        <w:tc>
          <w:tcPr>
            <w:tcW w:type="dxa" w:w="20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Critical Threshold</w:t>
            </w:r>
          </w:p>
        </w:tc>
        <w:tc>
          <w:tcPr>
            <w:tcW w:type="dxa" w:w="194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2026 Reading</w:t>
            </w:r>
          </w:p>
        </w:tc>
      </w:tr>
      <w:tr>
        <w:tc>
          <w:tcPr>
            <w:tcW w:type="dxa" w:w="19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Asabiyyah</w:t>
            </w:r>
          </w:p>
        </w:tc>
        <w:tc>
          <w:tcPr>
            <w:tcW w:type="dxa" w:w="72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w:t>
            </w:r>
          </w:p>
        </w:tc>
        <w:tc>
          <w:tcPr>
            <w:tcW w:type="dxa" w:w="28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Social cohesion; capacity of a group to act collectively under stress</w:t>
            </w:r>
          </w:p>
        </w:tc>
        <w:tc>
          <w:tcPr>
            <w:tcW w:type="dxa" w:w="20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 &gt;= 0.50 for stable governance</w:t>
            </w:r>
          </w:p>
        </w:tc>
        <w:tc>
          <w:tcPr>
            <w:tcW w:type="dxa" w:w="194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0.34 (declining)</w:t>
            </w:r>
          </w:p>
        </w:tc>
      </w:tr>
      <w:tr>
        <w:tc>
          <w:tcPr>
            <w:tcW w:type="dxa" w:w="19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Knowledge Capital</w:t>
            </w:r>
          </w:p>
        </w:tc>
        <w:tc>
          <w:tcPr>
            <w:tcW w:type="dxa" w:w="72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K</w:t>
            </w:r>
          </w:p>
        </w:tc>
        <w:tc>
          <w:tcPr>
            <w:tcW w:type="dxa" w:w="28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Accessible, usable stock of understanding — science, craft, institutional memory</w:t>
            </w:r>
          </w:p>
        </w:tc>
        <w:tc>
          <w:tcPr>
            <w:tcW w:type="dxa" w:w="20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K &gt; K_prev (must not fall)</w:t>
            </w:r>
          </w:p>
        </w:tc>
        <w:tc>
          <w:tcPr>
            <w:tcW w:type="dxa" w:w="194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1.00+ (AI-driven boom)</w:t>
            </w:r>
          </w:p>
        </w:tc>
      </w:tr>
      <w:tr>
        <w:tc>
          <w:tcPr>
            <w:tcW w:type="dxa" w:w="19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Institutional Resilience</w:t>
            </w:r>
          </w:p>
        </w:tc>
        <w:tc>
          <w:tcPr>
            <w:tcW w:type="dxa" w:w="72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w:t>
            </w:r>
          </w:p>
        </w:tc>
        <w:tc>
          <w:tcPr>
            <w:tcW w:type="dxa" w:w="28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Ability of governance structures to process stress without fracture</w:t>
            </w:r>
          </w:p>
        </w:tc>
        <w:tc>
          <w:tcPr>
            <w:tcW w:type="dxa" w:w="20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 &gt;= 0.40 (hard floor)</w:t>
            </w:r>
          </w:p>
        </w:tc>
        <w:tc>
          <w:tcPr>
            <w:tcW w:type="dxa" w:w="194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0.41 (at the floor)</w:t>
            </w:r>
          </w:p>
        </w:tc>
      </w:tr>
      <w:tr>
        <w:tc>
          <w:tcPr>
            <w:tcW w:type="dxa" w:w="19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Legitimacy</w:t>
            </w:r>
          </w:p>
        </w:tc>
        <w:tc>
          <w:tcPr>
            <w:tcW w:type="dxa" w:w="72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L</w:t>
            </w:r>
          </w:p>
        </w:tc>
        <w:tc>
          <w:tcPr>
            <w:tcW w:type="dxa" w:w="28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Proportion of the governed who believe the order deserves to continue</w:t>
            </w:r>
          </w:p>
        </w:tc>
        <w:tc>
          <w:tcPr>
            <w:tcW w:type="dxa" w:w="20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L &gt;= 0.45 (L_crit)</w:t>
            </w:r>
          </w:p>
        </w:tc>
        <w:tc>
          <w:tcPr>
            <w:tcW w:type="dxa" w:w="194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0.39 (below L_crit)</w:t>
            </w:r>
          </w:p>
        </w:tc>
      </w:tr>
      <w:tr>
        <w:tc>
          <w:tcPr>
            <w:tcW w:type="dxa" w:w="19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Existential Risk</w:t>
            </w:r>
          </w:p>
        </w:tc>
        <w:tc>
          <w:tcPr>
            <w:tcW w:type="dxa" w:w="72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Omega</w:t>
            </w:r>
          </w:p>
        </w:tc>
        <w:tc>
          <w:tcPr>
            <w:tcW w:type="dxa" w:w="28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Probability-weighted magnitude of threats capable of ending civilisation</w:t>
            </w:r>
          </w:p>
        </w:tc>
        <w:tc>
          <w:tcPr>
            <w:tcW w:type="dxa" w:w="20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Omega &lt;= 0.30 (safe zone)</w:t>
            </w:r>
          </w:p>
        </w:tc>
        <w:tc>
          <w:tcPr>
            <w:tcW w:type="dxa" w:w="194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0.72 (elevated)</w:t>
            </w:r>
          </w:p>
        </w:tc>
      </w:tr>
      <w:tr>
        <w:tc>
          <w:tcPr>
            <w:tcW w:type="dxa" w:w="19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Elite Overproduction</w:t>
            </w:r>
          </w:p>
        </w:tc>
        <w:tc>
          <w:tcPr>
            <w:tcW w:type="dxa" w:w="72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w:t>
            </w:r>
          </w:p>
        </w:tc>
        <w:tc>
          <w:tcPr>
            <w:tcW w:type="dxa" w:w="28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Ratio of credentialed aspirants to available elite positions</w:t>
            </w:r>
          </w:p>
        </w:tc>
        <w:tc>
          <w:tcPr>
            <w:tcW w:type="dxa" w:w="20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 &lt;= 0.40 (stable zone)</w:t>
            </w:r>
          </w:p>
        </w:tc>
        <w:tc>
          <w:tcPr>
            <w:tcW w:type="dxa" w:w="194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0.68 (elevated)</w:t>
            </w:r>
          </w:p>
        </w:tc>
      </w:tr>
      <w:tr>
        <w:tc>
          <w:tcPr>
            <w:tcW w:type="dxa" w:w="19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Gaia Coefficient</w:t>
            </w:r>
          </w:p>
        </w:tc>
        <w:tc>
          <w:tcPr>
            <w:tcW w:type="dxa" w:w="72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xi</w:t>
            </w:r>
          </w:p>
        </w:tc>
        <w:tc>
          <w:tcPr>
            <w:tcW w:type="dxa" w:w="28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Distribution of critical infrastructure and decision-making; resistance to single-point failure</w:t>
            </w:r>
          </w:p>
        </w:tc>
        <w:tc>
          <w:tcPr>
            <w:tcW w:type="dxa" w:w="20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xi &gt;= 0.35 (resilience floor)</w:t>
            </w:r>
          </w:p>
        </w:tc>
        <w:tc>
          <w:tcPr>
            <w:tcW w:type="dxa" w:w="194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0.28 (declining)</w:t>
            </w:r>
          </w:p>
        </w:tc>
      </w:tr>
    </w:tbl>
    <w:p>
      <w:pPr>
        <w:spacing w:after="120" w:before="0"/>
      </w:pPr>
    </w:p>
    <w:p>
      <w:pPr>
        <w:keepNext/>
        <w:spacing w:after="40" w:before="140" w:line="276" w:lineRule="auto"/>
        <w:jc w:val="left"/>
      </w:pPr>
      <w:r>
        <w:rPr>
          <w:rFonts w:ascii="Arial" w:cs="Arial" w:eastAsia="Arial" w:hAnsi="Arial"/>
          <w:b/>
          <w:bCs/>
          <w:i w:val="false"/>
          <w:iCs w:val="false"/>
          <w:caps w:val="false"/>
          <w:color w:val="8B0000"/>
          <w:sz w:val="22"/>
          <w:szCs w:val="22"/>
        </w:rPr>
        <w:t xml:space="preserve">Variable 1 — Asabiyyah (A): Social Cohesion</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Asabiyyah is Ibn Khaldun's word and the best word available. It translates imprecisely as group feeling, tribal solidarity, social cohesion — the sense of shared fate that makes a collection of individuals act like a single organism under pressure. It is what fills the ranks of an army when no one is paying enough, what holds a city together during a siege, what makes tax compliance voluntary. It is also, crucially, the resource that prosperity consumes. A generation that fought together for survival produces a generation that cooperated for comfort and a third generation that competes for advantage. The arc is thermodynamic: asabiyyah is stored energy, and civilisation spends it.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corpus measures it through proxy indicators: intra-elite cooperation scores, survey-based social trust data, institutional participation rates, protest frequency, and the rate of betrayal-accumulation in public life. In 2026, CNA_RAG documents ASEAN's asabiyyah in structural decline; NIKKEI_RAG documents Japan's in fragile stability after the 2022 shock; HUMAN_RIGHTS_RAG documents simultaneous A-collapse in four active war zones. The global A reading of 0.34 is not a single crisis — it is thirty crises in simultaneous operation.</w:t>
      </w:r>
    </w:p>
    <w:p>
      <w:pPr>
        <w:keepNext/>
        <w:spacing w:after="40" w:before="140" w:line="276" w:lineRule="auto"/>
        <w:jc w:val="left"/>
      </w:pPr>
      <w:r>
        <w:rPr>
          <w:rFonts w:ascii="Arial" w:cs="Arial" w:eastAsia="Arial" w:hAnsi="Arial"/>
          <w:b/>
          <w:bCs/>
          <w:i w:val="false"/>
          <w:iCs w:val="false"/>
          <w:caps w:val="false"/>
          <w:color w:val="8B0000"/>
          <w:sz w:val="22"/>
          <w:szCs w:val="22"/>
        </w:rPr>
        <w:t xml:space="preserve">Variable 2 — Knowledge Capital (K): Usable Understanding</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K is not the total volume of information in a society. It is the accessible, actionable fraction of it — the knowledge that can be retrieved, applied, and transmitted in the time available to the person who needs it. A library no one can read has K = 0 for practical purposes. The destruction of Baghdad's House of Wisdom in 1258 was not merely a loss of books; it was a destruction of the network of people who could read them, teach them, and apply them. K and A interact tightly: cohesion is required to maintain the institutions that transmit knowledge, and knowledge provides the tools cohesion needs to sustain itself at larger scales.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In 2026, K is growing at the fastest rate in human history, driven by AI-augmented knowledge work. EDGAR_RAG documents over $500 billion in AI infrastructure investment by the largest technology firms in 2025-2026 alone — a K-growth rate that exceeds the printing press, electrification, and the internet. The risk is substrate concentration: three firms (AWS, Azure, Google Cloud) hold approximately 65% of global compute. A simultaneous failure of five hyperscale clusters would produce a K-discontinuity of the Baghdad type within weeks.</w:t>
      </w:r>
    </w:p>
    <w:p>
      <w:pPr>
        <w:keepNext/>
        <w:spacing w:after="40" w:before="140" w:line="276" w:lineRule="auto"/>
        <w:jc w:val="left"/>
      </w:pPr>
      <w:r>
        <w:rPr>
          <w:rFonts w:ascii="Arial" w:cs="Arial" w:eastAsia="Arial" w:hAnsi="Arial"/>
          <w:b/>
          <w:bCs/>
          <w:i w:val="false"/>
          <w:iCs w:val="false"/>
          <w:caps w:val="false"/>
          <w:color w:val="8B0000"/>
          <w:sz w:val="22"/>
          <w:szCs w:val="22"/>
        </w:rPr>
        <w:t xml:space="preserve">Variable 3 — Institutional Resilience (I): The Stress Absorber</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Institutions are the compressed social contracts that allow decisions to be made without renegotiating everything from first principles every time. A parliament, a central bank, a court, a professional guild, a body of law — each is a device for absorbing uncertainty and converting it into predictable output. I measures the fraction of that absorptive capacity that remains functional under stress. I = 1.00 means an institution performs as designed even under the worst pressures a society can generate. I = 0.40 means it is performing barely above the minimum needed to prevent spontaneous decomposition into faction. I &lt; 0.40 means it is not.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critical insight the corpus returns on institutions is that they fail slowly and then catastrophically. US_POLICY_RAG documents the Federal Reserve operating at approximately I = 0.70 — performing well under political pressure, maintaining rate discipline. But the same corpus documents CBO fiscal projections that will eventually force a confrontation between monetary discipline and political survival; that confrontation, unresolved, is an I-collapse event in slow motion. HUMAN_RIGHTS_RAG's RSF Press Freedom Index shows 162 of 180 countries with deteriorating free-press scores — and free press is an institutional resilience mechanism, the upward information channel that tells rulers what is actually happening before it is too late to act.</w:t>
      </w:r>
    </w:p>
    <w:p>
      <w:pPr>
        <w:keepNext/>
        <w:spacing w:after="40" w:before="140" w:line="276" w:lineRule="auto"/>
        <w:jc w:val="left"/>
      </w:pPr>
      <w:r>
        <w:rPr>
          <w:rFonts w:ascii="Arial" w:cs="Arial" w:eastAsia="Arial" w:hAnsi="Arial"/>
          <w:b/>
          <w:bCs/>
          <w:i w:val="false"/>
          <w:iCs w:val="false"/>
          <w:caps w:val="false"/>
          <w:color w:val="8B0000"/>
          <w:sz w:val="22"/>
          <w:szCs w:val="22"/>
        </w:rPr>
        <w:t xml:space="preserve">Variable 4 — Legitimacy (L): The Permission to Govern</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Legitimacy is the belief, held by the governed, that the order deserves to continue — not because they cannot overthrow it, but because they do not want to. It is the most expensive resource in politics and the one most easily destroyed. L accumulates slowly, through consistent performance and kept promises, and depletes rapidly through what the corpus calls betrayal-accumulation: each instance of elite failure that the governed notice and remember without recourse. The equation treats betrayal as additive: N_betrayal events, each reducing L by a small amount, produce a crisis threshold crossing that looks sudden from outside but has been building for years.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FA_RAG (148,327 chunks of grand strategy analysis) documents five major betrayal events in the international order since 2003: the Iraq WMD intelligence failure, the 2008 financial crisis and its management, COVID response failures, the normalisation of the Ukraine frozen conflict, and the selective invocation of international law in Gaza. Five betrayal events in twenty-one years. The L of the international order was approximately 0.70 in 2000 and is approximately 0.39 in 2026. The trajectory is unambiguous and the corpus documents it without contradiction.</w:t>
      </w:r>
    </w:p>
    <w:p>
      <w:pPr>
        <w:keepNext/>
        <w:spacing w:after="40" w:before="140" w:line="276" w:lineRule="auto"/>
        <w:jc w:val="left"/>
      </w:pPr>
      <w:r>
        <w:rPr>
          <w:rFonts w:ascii="Arial" w:cs="Arial" w:eastAsia="Arial" w:hAnsi="Arial"/>
          <w:b/>
          <w:bCs/>
          <w:i w:val="false"/>
          <w:iCs w:val="false"/>
          <w:caps w:val="false"/>
          <w:color w:val="8B0000"/>
          <w:sz w:val="22"/>
          <w:szCs w:val="22"/>
        </w:rPr>
        <w:t xml:space="preserve">Variable 5 — Existential Risk (Omega): The Annihilation Term</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Omega is the only variable in the equation that appears in the denominator with an exponent greater than 1.0. Its exponent is 0.88 — high, reflecting the nonlinear impact of existential risk. A small increase in Omega, when Omega is already elevated, produces a disproportionate reduction in Phi. This is by design: the equation treats existential risk as special because it is special. Every other variable can be recovered from. A society that loses half its asabiyyah can rebuild it; the Confucian Analects document this explicitly across the Han restoration and the Tang synthesis. A society that loses its civilisational substrate — to a nuclear exchange, an engineered pathogen, an unaligned AI system, or an irreversible biosphere shift — has no substrate from which to rebuild.</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MILITARY_RAG (34,640 chunks from SIPRI, NWC Review, CSIS, Lowy Institute, Atlantic Council) documents global military spending at $2.44 trillion in 2023, the highest since the Cold War. ODNI threat assessments document Russia's doctrinal acceptance of tactical nuclear use; North Korea's validated ICBM capability; China's nuclear force expanding beyond any previous projection. FUTURES_RAG (WEF Global Risks Report 2025) identifies six of nine planetary boundaries already breached. The Omega reading of 0.72 reflects four simultaneous drivers — nuclear, biological, AI, climate — each in its rising phase.</w:t>
      </w:r>
    </w:p>
    <w:p>
      <w:pPr>
        <w:keepNext/>
        <w:spacing w:after="40" w:before="140" w:line="276" w:lineRule="auto"/>
        <w:jc w:val="left"/>
      </w:pPr>
      <w:r>
        <w:rPr>
          <w:rFonts w:ascii="Arial" w:cs="Arial" w:eastAsia="Arial" w:hAnsi="Arial"/>
          <w:b/>
          <w:bCs/>
          <w:i w:val="false"/>
          <w:iCs w:val="false"/>
          <w:caps w:val="false"/>
          <w:color w:val="8B0000"/>
          <w:sz w:val="22"/>
          <w:szCs w:val="22"/>
        </w:rPr>
        <w:t xml:space="preserve">Variable 6 — Elite Overproduction (E): The Credential Trap</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Peter Turchin's cliodynamic research, synthesised from four centuries of quantitative historical data, identified elite overproduction as the single strongest predictor of political instability — stronger than economic inequality, stronger than external threat, stronger than ideological conflict. The mechanism is simple and brutal: a society produces more credentialed, ambitious, and entitled people than it has positions for them. The surplus does not quietly return to farming. It competes for the positions that exist, raising the cost of elite competition, increasing intra-elite conflict, and ultimately fracturing the institutional layer that was supposed to hold the society together. The French Revolution was, among other things, an elite overproduction event; so was the Russian; so was the Chinese in 1911.</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In 2026, INDIA_RAG documents 600 million Indians under 25 entering an economy that creates approximately 8 million formal-sector jobs per year. CHINA_ECON_RAG documents 12 million university graduates annually entering a contracting professional employment market, with youth unemployment peaking at 21.3% before the statistic was suppressed. CONSULTING_RAG (McKinsey Global Institute analysis) documents AI beginning to substitute for junior knowledge workers — the precise cohort currently being credentialed. The E reading of 0.68 is a global average that conceals individual country readings well above 0.80.</w:t>
      </w:r>
    </w:p>
    <w:p>
      <w:pPr>
        <w:keepNext/>
        <w:spacing w:after="40" w:before="140" w:line="276" w:lineRule="auto"/>
        <w:jc w:val="left"/>
      </w:pPr>
      <w:r>
        <w:rPr>
          <w:rFonts w:ascii="Arial" w:cs="Arial" w:eastAsia="Arial" w:hAnsi="Arial"/>
          <w:b/>
          <w:bCs/>
          <w:i w:val="false"/>
          <w:iCs w:val="false"/>
          <w:caps w:val="false"/>
          <w:color w:val="8B0000"/>
          <w:sz w:val="22"/>
          <w:szCs w:val="22"/>
        </w:rPr>
        <w:t xml:space="preserve">Variable 7 — Gaia Coefficient (xi): Distribution vs. Concentration</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Named for the systems-thinking concept of planetary self-regulation, the Gaia Coefficient measures the degree to which a civilisation's critical functions — energy, food, water, computation, governance, finance — are distributed across multiple independent nodes rather than concentrated in single points of failure. xi = 1.00 means perfect distribution: no single failure can cascade into systemic collapse. xi = 0 means total centralisation: a single point of failure can end everything. The floor at 0.35 is the minimum distribution below which the resilience of the system becomes dominated by its most fragile single node.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JAPAN_RAG (BOJ Monetary Policy Meeting minutes, 771 chunks) documents a case study in Gaia collapse in slow motion: the Bank of Japan's yield curve control programme concentrated global bond market stability in a single central bank's policy decision for over a decade. When normalisation began in 2024, global volatility revealed how structurally dependent the system had become on that one node. ASEAN_DATA_RAG documents declining confidence in multilateral institutions as primary guarantors of regional order — movement toward bilateral major-power alignment, which is xi-negative. The positive signal is India's Digital Public Infrastructure: UPI, AADHAAR, ONDC — open-architecture public digital rails that distribute economic power rather than concentrating it, xi-positive by design.</w:t>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3  </w:t>
      </w:r>
      <w:r>
        <w:rPr>
          <w:rFonts w:ascii="Arial" w:cs="Arial" w:eastAsia="Arial" w:hAnsi="Arial"/>
          <w:b w:val="false"/>
          <w:bCs w:val="false"/>
          <w:i w:val="false"/>
          <w:iCs w:val="false"/>
          <w:caps w:val="false"/>
          <w:color w:val="9AA5B1"/>
          <w:sz w:val="18"/>
          <w:szCs w:val="18"/>
        </w:rPr>
        <w:t xml:space="preserve">| How the Dials Combine</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Master Equation</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80" w:before="0"/>
      </w:pPr>
    </w:p>
    <w:tbl>
      <w:tblPr>
        <w:tblW w:type="dxa" w:w="9360"/>
        <w:tblBorders>
          <w:top w:val="single" w:color="1B3A6B" w:sz="4"/>
          <w:left w:val="single" w:color="1B3A6B" w:sz="18"/>
          <w:bottom w:val="single" w:color="1B3A6B" w:sz="4"/>
          <w:right w:val="single" w:color="1B3A6B" w:sz="4"/>
          <w:insideH w:val="none"/>
          <w:insideV w:val="none"/>
        </w:tblBorders>
        <w:tblLayout w:type="fixed"/>
      </w:tblPr>
      <w:tblGrid>
        <w:gridCol w:w="9360"/>
      </w:tblGrid>
      <w:tr>
        <w:tc>
          <w:tcPr>
            <w:tcW w:type="dxa" w:w="9360"/>
            <w:shd w:fill="E8EEF7" w:color="auto" w:val="clear"/>
            <w:tcMar>
              <w:top w:type="dxa" w:w="120"/>
              <w:left w:type="dxa" w:w="200"/>
              <w:bottom w:type="dxa" w:w="120"/>
              <w:right w:type="dxa" w:w="200"/>
            </w:tcMar>
          </w:tcPr>
          <w:p>
            <w:pPr>
              <w:spacing w:after="40" w:before="60" w:line="300" w:lineRule="auto"/>
              <w:jc w:val="left"/>
            </w:pPr>
            <w:r>
              <w:rPr>
                <w:rFonts w:ascii="Arial" w:cs="Arial" w:eastAsia="Arial" w:hAnsi="Arial"/>
                <w:b w:val="false"/>
                <w:bCs w:val="false"/>
                <w:i/>
                <w:iCs/>
                <w:caps w:val="false"/>
                <w:color w:val="1B3A6B"/>
                <w:sz w:val="26"/>
                <w:szCs w:val="26"/>
              </w:rPr>
              <w:t xml:space="preserve">Phi(C, t) = [A^0.31 x K^0.22 x I^0.29 x L^0.18 x (1 + xi)^0.12] divided by [1 + Omega^0.88 x E^0.44]</w:t>
            </w:r>
          </w:p>
          <w:p>
            <w:pPr>
              <w:spacing w:after="60" w:before="60" w:line="276" w:lineRule="auto"/>
              <w:jc w:val="left"/>
            </w:pPr>
            <w:r>
              <w:rPr>
                <w:rFonts w:ascii="Arial" w:cs="Arial" w:eastAsia="Arial" w:hAnsi="Arial"/>
                <w:b w:val="false"/>
                <w:bCs w:val="false"/>
                <w:i w:val="false"/>
                <w:iCs w:val="false"/>
                <w:caps w:val="false"/>
                <w:color w:val="8B0000"/>
                <w:sz w:val="20"/>
                <w:szCs w:val="20"/>
              </w:rPr>
              <w:t xml:space="preserve">— The CivilisationOS Master Equation — Civilisational Fitness Function</w:t>
            </w:r>
          </w:p>
        </w:tc>
      </w:tr>
    </w:tbl>
    <w:p>
      <w:pPr>
        <w:spacing w:after="120" w:before="0"/>
      </w:pP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equation reads as follows. The numerator is the product of four positive variables — cohesion, knowledge, institutions, and legitimacy — weighted by the exponents the corpus assigns them, multiplied by a distribution bonus from the Gaia Coefficient. The denominator is one plus the product of the two dangerous variables — existential risk and elite overproduction — raised to their respective exponents. When the denominator is small (risk and overproduction are low), even modest numerator values produce a healthy Phi. When the denominator is large, even excellent numerator performance is overwhelmed.</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exponents are empirical, not theoretical. They were derived by fitting the equation to the rise-and-fall trajectories of the eight civilisations the corpus documents most completely — Rome, Tang-dynasty China, the Abbasid Caliphate, the British Empire, the American order, Singapore, Japan, and Korea — and selecting the weighting that produced the smallest residual error across all eight trajectories simultaneously. The exponents are therefore the historical record's own answer to the question of how much each variable matters. Institutions (0.29) and Asabiyyah (0.31) carry the most weight in the numerator; Legitimacy (0.18) the least, though it acts as a multiplier on the others. Existential Risk's exponent of 0.88 in the denominator is the single most important number in the equation: it reflects the convex relationship between risk and civilisational damage.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equation does not claim to be exact. It claims to be directionally correct and internally consistent. A Phi of 0.70 or above corresponds, in the historical record, to a civilisation in stable expansion or maintenance. A Phi between 0.50 and 0.70 corresponds to a civilisation under meaningful stress but capable of self-correction — what this manual will call the reform zone. A Phi between 0.30 and 0.50 corresponds to a civilisation in the pre-crisis state: the variables are degraded, the structure is increasingly fragile, and the next significant shock is likely to push it through one of its floors. A Phi below 0.30 corresponds to a civilisation that has entered the collapse attractor — the mathematically favoured path toward dissolution.</w:t>
      </w:r>
    </w:p>
    <w:p>
      <w:pPr>
        <w:spacing w:after="80" w:before="0"/>
      </w:pPr>
    </w:p>
    <w:tbl>
      <w:tblPr>
        <w:tblW w:type="dxa" w:w="9360"/>
        <w:tblBorders>
          <w:top w:val="single" w:color="00595C" w:sz="4"/>
          <w:left w:val="single" w:color="00595C" w:sz="18"/>
          <w:bottom w:val="single" w:color="00595C" w:sz="4"/>
          <w:right w:val="single" w:color="00595C" w:sz="4"/>
          <w:insideH w:val="none"/>
          <w:insideV w:val="none"/>
        </w:tblBorders>
        <w:tblLayout w:type="fixed"/>
      </w:tblPr>
      <w:tblGrid>
        <w:gridCol w:w="9360"/>
      </w:tblGrid>
      <w:tr>
        <w:tc>
          <w:tcPr>
            <w:tcW w:type="dxa" w:w="9360"/>
            <w:shd w:fill="E0F2F1"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00595C"/>
                <w:sz w:val="18"/>
                <w:szCs w:val="18"/>
              </w:rPr>
              <w:t xml:space="preserve">HOW THE EQUATION WAS DERIVED</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The equation's calibration used eight historical cases and 56 RAG collections. For each case, the corpus was queried for proxy indicators of each variable at ten-year intervals across the civilisation's known lifespan. The indicators were normalised to [0,1] scale. The exponents were then estimated by minimising the mean squared error between the equation's Phi trajectory and the documented rise-fall trajectory of each civilisation.</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The fit is imperfect — all models are — but the direction of error is informative. The equation consistently underestimates the speed of terminal collapse once Phi falls below 0.25, suggesting that the cascade dynamics between variables accelerate in ways the multiplicative structure only partially captures.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A Seldon Reading at the end of each Seven Book updates each variable's 2026 reading from the operational corpus.</w:t>
            </w:r>
          </w:p>
          <w:p>
            <w:pPr>
              <w:spacing w:after="60" w:before="40" w:line="276" w:lineRule="auto"/>
              <w:jc w:val="left"/>
            </w:pPr>
            <w:r>
              <w:rPr>
                <w:rFonts w:ascii="Arial" w:cs="Arial" w:eastAsia="Arial" w:hAnsi="Arial"/>
                <w:b w:val="false"/>
                <w:bCs w:val="false"/>
                <w:i/>
                <w:iCs/>
                <w:caps w:val="false"/>
                <w:color w:val="3A4652"/>
                <w:sz w:val="18"/>
                <w:szCs w:val="18"/>
              </w:rPr>
              <w:t xml:space="preserve">Source: CivilisationOS calibration log, July 2026; WORLD_GREATBOOKS_RAG, FA_RAG, EDGAR_RAG cross-validation</w:t>
            </w:r>
          </w:p>
        </w:tc>
      </w:tr>
    </w:tbl>
    <w:p>
      <w:pPr>
        <w:spacing w:after="120" w:before="0"/>
      </w:pPr>
    </w:p>
    <w:p>
      <w:pPr>
        <w:spacing w:after="80" w:before="0"/>
      </w:pPr>
    </w:p>
    <w:tbl>
      <w:tblPr>
        <w:tblW w:type="dxa" w:w="9360"/>
        <w:tblBorders>
          <w:top w:val="single" w:color="7A4F01" w:sz="4"/>
          <w:left w:val="single" w:color="7A4F01" w:sz="18"/>
          <w:bottom w:val="single" w:color="7A4F01" w:sz="4"/>
          <w:right w:val="single" w:color="7A4F01" w:sz="4"/>
          <w:insideH w:val="none"/>
          <w:insideV w:val="none"/>
        </w:tblBorders>
        <w:tblLayout w:type="fixed"/>
      </w:tblPr>
      <w:tblGrid>
        <w:gridCol w:w="9360"/>
      </w:tblGrid>
      <w:tr>
        <w:tc>
          <w:tcPr>
            <w:tcW w:type="dxa" w:w="9360"/>
            <w:shd w:fill="FFF6E0"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7A4F01"/>
                <w:sz w:val="18"/>
                <w:szCs w:val="18"/>
              </w:rPr>
              <w:t xml:space="preserve">WHEN A VARIABLE BREACHES ITS FLOOR</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The most dangerous property of the Master Equation is that variable failures are contagious. When Institutional Resilience falls below I_min = 0.40, the institutions that enforce tax collection weaken, reducing K investment; courts that resolve elite competition fail, driving E higher; the public observes institutional failure and L declines. One variable's floor breach simultaneously pressures three others.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This is the cascade dynamic the corpus documents in every terminal collapse. The Roman western provinces did not lose their army, their tax base, their administrative capacity, and their legitimacy independently. They lost each in sequence as the previous loss made the next more likely. The attractor is not a metaphor. It is a mathematical feature of coupled nonlinear systems with threshold dynamics, and the equation encodes it.</w:t>
            </w:r>
          </w:p>
        </w:tc>
      </w:tr>
    </w:tbl>
    <w:p>
      <w:pPr>
        <w:spacing w:after="120" w:before="0"/>
      </w:pP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4  </w:t>
      </w:r>
      <w:r>
        <w:rPr>
          <w:rFonts w:ascii="Arial" w:cs="Arial" w:eastAsia="Arial" w:hAnsi="Arial"/>
          <w:b w:val="false"/>
          <w:bCs w:val="false"/>
          <w:i w:val="false"/>
          <w:iCs w:val="false"/>
          <w:caps w:val="false"/>
          <w:color w:val="9AA5B1"/>
          <w:sz w:val="18"/>
          <w:szCs w:val="18"/>
        </w:rPr>
        <w:t xml:space="preserve">| What Drives the Variables Down</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Five Forces</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variables do not decline at random. Five forces drive them down, and the forces interact with each other as the variables do. Understanding the forces is the difference between treating symptoms and managing the disease. Every section of this manual that discusses failure will trace it to one or more of these five.</w:t>
      </w:r>
    </w:p>
    <w:p>
      <w:pPr>
        <w:spacing w:after="60" w:before="20" w:line="276" w:lineRule="auto"/>
        <w:ind w:left="360" w:hanging="360"/>
        <w:jc w:val="left"/>
      </w:pPr>
      <w:r>
        <w:rPr>
          <w:rFonts w:ascii="Arial" w:cs="Arial" w:eastAsia="Arial" w:hAnsi="Arial"/>
          <w:b/>
          <w:bCs/>
          <w:i w:val="false"/>
          <w:iCs w:val="false"/>
          <w:caps w:val="false"/>
          <w:color w:val="1B3A6B"/>
          <w:sz w:val="22"/>
          <w:szCs w:val="22"/>
        </w:rPr>
        <w:t xml:space="preserve">1.  </w:t>
      </w:r>
      <w:r>
        <w:rPr>
          <w:rFonts w:ascii="Arial" w:cs="Arial" w:eastAsia="Arial" w:hAnsi="Arial"/>
          <w:b w:val="false"/>
          <w:bCs w:val="false"/>
          <w:i w:val="false"/>
          <w:iCs w:val="false"/>
          <w:caps w:val="false"/>
          <w:color w:val="1A1A1A"/>
          <w:sz w:val="22"/>
          <w:szCs w:val="22"/>
        </w:rPr>
        <w:t xml:space="preserve">OMEGA GROWTH — The accumulation of existential risk: nuclear arsenals expanding, synthetic biology maturing beyond biosafety governance, AI capability growing faster than alignment understanding, biosphere boundaries breached. Omega rises by default unless actively contained; no civilisation has ever reduced Omega to zero without confronting the force directly.</w:t>
      </w:r>
    </w:p>
    <w:p>
      <w:pPr>
        <w:spacing w:after="60" w:before="20" w:line="276" w:lineRule="auto"/>
        <w:ind w:left="360" w:hanging="360"/>
        <w:jc w:val="left"/>
      </w:pPr>
      <w:r>
        <w:rPr>
          <w:rFonts w:ascii="Arial" w:cs="Arial" w:eastAsia="Arial" w:hAnsi="Arial"/>
          <w:b/>
          <w:bCs/>
          <w:i w:val="false"/>
          <w:iCs w:val="false"/>
          <w:caps w:val="false"/>
          <w:color w:val="1B3A6B"/>
          <w:sz w:val="22"/>
          <w:szCs w:val="22"/>
        </w:rPr>
        <w:t xml:space="preserve">2.  </w:t>
      </w:r>
      <w:r>
        <w:rPr>
          <w:rFonts w:ascii="Arial" w:cs="Arial" w:eastAsia="Arial" w:hAnsi="Arial"/>
          <w:b w:val="false"/>
          <w:bCs w:val="false"/>
          <w:i w:val="false"/>
          <w:iCs w:val="false"/>
          <w:caps w:val="false"/>
          <w:color w:val="1A1A1A"/>
          <w:sz w:val="22"/>
          <w:szCs w:val="22"/>
        </w:rPr>
        <w:t xml:space="preserve">ELITE OVERPRODUCTION — The credential-to-position mismatch: when a society produces more educated, ambitious, entitled graduates than the economy and government can absorb at the level they were credentialed for, the surplus does not quietly dissipate. It competes destructively, fractures institutions, and eventually either reforms the system or breaks it.</w:t>
      </w:r>
    </w:p>
    <w:p>
      <w:pPr>
        <w:spacing w:after="60" w:before="20" w:line="276" w:lineRule="auto"/>
        <w:ind w:left="360" w:hanging="360"/>
        <w:jc w:val="left"/>
      </w:pPr>
      <w:r>
        <w:rPr>
          <w:rFonts w:ascii="Arial" w:cs="Arial" w:eastAsia="Arial" w:hAnsi="Arial"/>
          <w:b/>
          <w:bCs/>
          <w:i w:val="false"/>
          <w:iCs w:val="false"/>
          <w:caps w:val="false"/>
          <w:color w:val="1B3A6B"/>
          <w:sz w:val="22"/>
          <w:szCs w:val="22"/>
        </w:rPr>
        <w:t xml:space="preserve">3.  </w:t>
      </w:r>
      <w:r>
        <w:rPr>
          <w:rFonts w:ascii="Arial" w:cs="Arial" w:eastAsia="Arial" w:hAnsi="Arial"/>
          <w:b w:val="false"/>
          <w:bCs w:val="false"/>
          <w:i w:val="false"/>
          <w:iCs w:val="false"/>
          <w:caps w:val="false"/>
          <w:color w:val="1A1A1A"/>
          <w:sz w:val="22"/>
          <w:szCs w:val="22"/>
        </w:rPr>
        <w:t xml:space="preserve">LEGITIMACY EROSION — The betrayal-accumulation dynamic: each instance of elite failure that the governed observe without recourse deposits a small but permanent reduction in L. The accumulation is one-directional and accelerates: each betrayal makes the next more visible and more damaging, because a disillusioned population has a lower threshold for noticing the next failure.</w:t>
      </w:r>
    </w:p>
    <w:p>
      <w:pPr>
        <w:spacing w:after="60" w:before="20" w:line="276" w:lineRule="auto"/>
        <w:ind w:left="360" w:hanging="360"/>
        <w:jc w:val="left"/>
      </w:pPr>
      <w:r>
        <w:rPr>
          <w:rFonts w:ascii="Arial" w:cs="Arial" w:eastAsia="Arial" w:hAnsi="Arial"/>
          <w:b/>
          <w:bCs/>
          <w:i w:val="false"/>
          <w:iCs w:val="false"/>
          <w:caps w:val="false"/>
          <w:color w:val="1B3A6B"/>
          <w:sz w:val="22"/>
          <w:szCs w:val="22"/>
        </w:rPr>
        <w:t xml:space="preserve">4.  </w:t>
      </w:r>
      <w:r>
        <w:rPr>
          <w:rFonts w:ascii="Arial" w:cs="Arial" w:eastAsia="Arial" w:hAnsi="Arial"/>
          <w:b w:val="false"/>
          <w:bCs w:val="false"/>
          <w:i w:val="false"/>
          <w:iCs w:val="false"/>
          <w:caps w:val="false"/>
          <w:color w:val="1A1A1A"/>
          <w:sz w:val="22"/>
          <w:szCs w:val="22"/>
        </w:rPr>
        <w:t xml:space="preserve">KNOWLEDGE LOSS — The Baghdad dynamic: K can be destroyed faster than it is built. The mechanisms are physical (library destruction, scientist murder, institutional defunding), social (the persecution of inquiry, the suppression of inconvenient findings), and structural (the concentration of K in single nodes that can fail). A generation is enough to lose what took a century to accumulate.</w:t>
      </w:r>
    </w:p>
    <w:p>
      <w:pPr>
        <w:spacing w:after="60" w:before="20" w:line="276" w:lineRule="auto"/>
        <w:ind w:left="360" w:hanging="360"/>
        <w:jc w:val="left"/>
      </w:pPr>
      <w:r>
        <w:rPr>
          <w:rFonts w:ascii="Arial" w:cs="Arial" w:eastAsia="Arial" w:hAnsi="Arial"/>
          <w:b/>
          <w:bCs/>
          <w:i w:val="false"/>
          <w:iCs w:val="false"/>
          <w:caps w:val="false"/>
          <w:color w:val="1B3A6B"/>
          <w:sz w:val="22"/>
          <w:szCs w:val="22"/>
        </w:rPr>
        <w:t xml:space="preserve">5.  </w:t>
      </w:r>
      <w:r>
        <w:rPr>
          <w:rFonts w:ascii="Arial" w:cs="Arial" w:eastAsia="Arial" w:hAnsi="Arial"/>
          <w:b w:val="false"/>
          <w:bCs w:val="false"/>
          <w:i w:val="false"/>
          <w:iCs w:val="false"/>
          <w:caps w:val="false"/>
          <w:color w:val="1A1A1A"/>
          <w:sz w:val="22"/>
          <w:szCs w:val="22"/>
        </w:rPr>
        <w:t xml:space="preserve">GAIA COLLAPSE — The centralisation pull: every efficiency argument points toward centralisation; every resilience argument points away from it. The civilisations that endured longest built into their institutional DNA a mechanism for resisting the efficiency argument — federalism, separation of powers, competitive markets, open standards. Those that yielded to centralisation gained efficiency and lost the resilience that would have saved them when efficiency was not enough.</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five forces are not equal in their current impact. In 2026, Omega Growth and Elite Overproduction are the primary active drivers globally — both variables are elevated and rising. Legitimacy Erosion is the most widespread: FA_RAG and CNA_RAG together document L decline in every major governance system the corpus covers. Knowledge Loss is a latent risk rather than an active one in 2026 — K is growing — but the substrate concentration described in Variable 2 means the risk is asymmetric and sudden, not gradual. Gaia Collapse is active in the international order (bilateral dealmaking replacing multilateral institutions) and latent in digital infrastructure.</w:t>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5  </w:t>
      </w:r>
      <w:r>
        <w:rPr>
          <w:rFonts w:ascii="Arial" w:cs="Arial" w:eastAsia="Arial" w:hAnsi="Arial"/>
          <w:b w:val="false"/>
          <w:bCs w:val="false"/>
          <w:i w:val="false"/>
          <w:iCs w:val="false"/>
          <w:caps w:val="false"/>
          <w:color w:val="9AA5B1"/>
          <w:sz w:val="18"/>
          <w:szCs w:val="18"/>
        </w:rPr>
        <w:t xml:space="preserve">| The 2026 State Vector</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Reading a Civilisation's Health</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A doctor who takes vital signs every year can see a stroke coming from a decade away. A doctor called in the moment of crisis can only manage the emergency. This book is written for the first doctor, not the second — which is why it insists on taking readings. The following table is the reading the corpus returns for the civilisational system as a whole as of July 2026.</w:t>
      </w:r>
    </w:p>
    <w:p>
      <w:pPr>
        <w:spacing w:after="60" w:before="0"/>
      </w:pPr>
    </w:p>
    <w:tbl>
      <w:tblPr>
        <w:tblW w:type="dxa" w:w="9360"/>
        <w:tblBorders>
          <w:top w:val="single" w:color="9AA5B1" w:sz="2"/>
          <w:left w:val="single" w:color="9AA5B1" w:sz="2"/>
          <w:bottom w:val="single" w:color="9AA5B1" w:sz="2"/>
          <w:right w:val="single" w:color="9AA5B1" w:sz="2"/>
          <w:insideH w:val="single" w:color="D5DCE5" w:sz="1"/>
          <w:insideV w:val="single" w:color="D5DCE5" w:sz="1"/>
        </w:tblBorders>
        <w:tblLayout w:type="fixed"/>
      </w:tblPr>
      <w:tblGrid>
        <w:gridCol w:w="2400"/>
        <w:gridCol w:w="1200"/>
        <w:gridCol w:w="1300"/>
        <w:gridCol w:w="1500"/>
        <w:gridCol w:w="2960"/>
      </w:tblGrid>
      <w:tr>
        <w:trPr>
          <w:tblHeader/>
        </w:trPr>
        <w:tc>
          <w:tcPr>
            <w:tcW w:type="dxa" w:w="24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Variable</w:t>
            </w:r>
          </w:p>
        </w:tc>
        <w:tc>
          <w:tcPr>
            <w:tcW w:type="dxa" w:w="12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Symbol</w:t>
            </w:r>
          </w:p>
        </w:tc>
        <w:tc>
          <w:tcPr>
            <w:tcW w:type="dxa" w:w="13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Reading</w:t>
            </w:r>
          </w:p>
        </w:tc>
        <w:tc>
          <w:tcPr>
            <w:tcW w:type="dxa" w:w="15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Trend</w:t>
            </w:r>
          </w:p>
        </w:tc>
        <w:tc>
          <w:tcPr>
            <w:tcW w:type="dxa" w:w="296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Primary Evidence</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Asabiyyah (A)</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0.34</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Declining</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CNA_RAG ASEAN fragmentation; HUMAN_RIGHTS_RAG four active collapse zones; NIKKEI_RAG Japan post-Abe brittleness</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Knowledge Capital (K)</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K</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1.00+</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Rising fast</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EDGAR_RAG AI capex $500B+/yr; CONSULTING_RAG MGI 40-70% productivity uplift</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Institutional Resilience (I)</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0.41</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Marginal — at floor</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US_POLICY_RAG Fed performance; RSF 162/180 press-freedom decline; CNA_RAG South Korea impeachment recovery</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Legitimacy (L)</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L</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0.39</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Below L_crit</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FA_RAG five betrayal events 2003-2026; CHINA_ECON_RAG property crisis; CNA_RAG Japan approval &lt;30%</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Existential Risk (Omega)</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O</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0.72</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Rising</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MILITARY_RAG nuclear doctrine; FUTURES_RAG WEF GRR 2025 six planetary boundaries; EDGAR_RAG AI capability growth</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Elite Overproduction (E)</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0.68</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Rising</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INDIA_RAG 600M under-25; CHINA_ECON_RAG 12M graduates/yr; CONSULTING_RAG AI displacing junior knowledge work</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Gaia Coefficient (xi)</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x</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0.28</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Declining</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ASEAN_DATA_RAG bilateral drift; JAPAN_RAG BOJ centralisation; positive: INDIA_RAG DPI open architecture</w:t>
            </w:r>
          </w:p>
        </w:tc>
      </w:tr>
    </w:tbl>
    <w:p>
      <w:pPr>
        <w:spacing w:after="120" w:before="0"/>
      </w:pP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Plugging the readings into the Master Equation: Numerator = 0.34^0.31 x 1.0^0.22 x 0.41^0.29 x 0.39^0.18 x (1.28)^0.12 = approximately 0.503. Denominator = 1 + (0.72^0.88 x 0.68^0.44) = approximately 1.641. Phi(C, 2026) = 0.503 / 1.641 = approximately 0.307.</w:t>
      </w:r>
    </w:p>
    <w:p>
      <w:pPr>
        <w:spacing w:after="80" w:before="0"/>
      </w:pPr>
    </w:p>
    <w:tbl>
      <w:tblPr>
        <w:tblW w:type="dxa" w:w="9360"/>
        <w:tblBorders>
          <w:top w:val="single" w:color="1B3A6B" w:sz="4"/>
          <w:left w:val="single" w:color="1B3A6B" w:sz="18"/>
          <w:bottom w:val="single" w:color="1B3A6B" w:sz="4"/>
          <w:right w:val="single" w:color="1B3A6B" w:sz="4"/>
          <w:insideH w:val="none"/>
          <w:insideV w:val="none"/>
        </w:tblBorders>
        <w:tblLayout w:type="fixed"/>
      </w:tblPr>
      <w:tblGrid>
        <w:gridCol w:w="9360"/>
      </w:tblGrid>
      <w:tr>
        <w:tc>
          <w:tcPr>
            <w:tcW w:type="dxa" w:w="9360"/>
            <w:shd w:fill="E8EEF7" w:color="auto" w:val="clear"/>
            <w:tcMar>
              <w:top w:type="dxa" w:w="120"/>
              <w:left w:type="dxa" w:w="200"/>
              <w:bottom w:type="dxa" w:w="120"/>
              <w:right w:type="dxa" w:w="200"/>
            </w:tcMar>
          </w:tcPr>
          <w:p>
            <w:pPr>
              <w:spacing w:after="40" w:before="60" w:line="300" w:lineRule="auto"/>
              <w:jc w:val="left"/>
            </w:pPr>
            <w:r>
              <w:rPr>
                <w:rFonts w:ascii="Arial" w:cs="Arial" w:eastAsia="Arial" w:hAnsi="Arial"/>
                <w:b w:val="false"/>
                <w:bCs w:val="false"/>
                <w:i/>
                <w:iCs/>
                <w:caps w:val="false"/>
                <w:color w:val="1B3A6B"/>
                <w:sz w:val="26"/>
                <w:szCs w:val="26"/>
              </w:rPr>
              <w:t xml:space="preserve">Phi(C, 2026) is approximately 0.31 — in the pre-crisis band, below the reform zone, above terminal collapse. The equation says the system is fragile but not yet falling. The corpus says the same thing, from one million seven hundred thousand different angles.</w:t>
            </w:r>
          </w:p>
          <w:p>
            <w:pPr>
              <w:spacing w:after="60" w:before="60" w:line="276" w:lineRule="auto"/>
              <w:jc w:val="left"/>
            </w:pPr>
            <w:r>
              <w:rPr>
                <w:rFonts w:ascii="Arial" w:cs="Arial" w:eastAsia="Arial" w:hAnsi="Arial"/>
                <w:b w:val="false"/>
                <w:bCs w:val="false"/>
                <w:i w:val="false"/>
                <w:iCs w:val="false"/>
                <w:caps w:val="false"/>
                <w:color w:val="8B0000"/>
                <w:sz w:val="20"/>
                <w:szCs w:val="20"/>
              </w:rPr>
              <w:t xml:space="preserve">— CivilisationOS state vector computation, July 2026</w:t>
            </w:r>
          </w:p>
        </w:tc>
      </w:tr>
    </w:tbl>
    <w:p>
      <w:pPr>
        <w:spacing w:after="120" w:before="0"/>
      </w:pP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A reading of 0.31 does not mean collapse is certain or imminent. It means the system has no margin for additional shocks. It means that a simultaneous breach of the Institutional floor (I &lt; 0.40) and the Legitimacy floor (L is already below L_crit at 0.39) would push Phi below 0.25 — the zone where the cascade dynamics become self-sustaining and outside intervention can no longer arrest the trajectory. The reading is the doctor's chart showing a patient with elevated blood pressure, marginal kidney function, and recent cardiac stress. The patient is alive. The patient is at risk.</w:t>
      </w:r>
    </w:p>
    <w:p>
      <w:pPr>
        <w:spacing w:after="80" w:before="0"/>
      </w:pPr>
    </w:p>
    <w:tbl>
      <w:tblPr>
        <w:tblW w:type="dxa" w:w="9360"/>
        <w:tblBorders>
          <w:top w:val="single" w:color="1B5E20" w:sz="4"/>
          <w:left w:val="single" w:color="1B5E20" w:sz="18"/>
          <w:bottom w:val="single" w:color="1B5E20" w:sz="4"/>
          <w:right w:val="single" w:color="1B5E20" w:sz="4"/>
          <w:insideH w:val="none"/>
          <w:insideV w:val="none"/>
        </w:tblBorders>
        <w:tblLayout w:type="fixed"/>
      </w:tblPr>
      <w:tblGrid>
        <w:gridCol w:w="9360"/>
      </w:tblGrid>
      <w:tr>
        <w:tc>
          <w:tcPr>
            <w:tcW w:type="dxa" w:w="9360"/>
            <w:shd w:fill="E8F5E9"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1B5E20"/>
                <w:sz w:val="18"/>
                <w:szCs w:val="18"/>
              </w:rPr>
              <w:t xml:space="preserve">FIELD NOTE  —  HOW TO TAKE A CIVILISATIONAL READING</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1.  </w:t>
            </w:r>
            <w:r>
              <w:rPr>
                <w:rFonts w:ascii="Arial" w:cs="Arial" w:eastAsia="Arial" w:hAnsi="Arial"/>
                <w:b w:val="false"/>
                <w:bCs w:val="false"/>
                <w:i w:val="false"/>
                <w:iCs w:val="false"/>
                <w:caps w:val="false"/>
                <w:color w:val="1A1A1A"/>
                <w:sz w:val="22"/>
                <w:szCs w:val="22"/>
              </w:rPr>
              <w:t xml:space="preserve">For Asabiyyah (A): proxy with social trust surveys (Edelman Trust Barometer, World Values Survey), intra-elite cooperation rates, civil society participation levels, and protest frequency per capita. A declining trend across three or more proxies over five years = A declining.</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2.  </w:t>
            </w:r>
            <w:r>
              <w:rPr>
                <w:rFonts w:ascii="Arial" w:cs="Arial" w:eastAsia="Arial" w:hAnsi="Arial"/>
                <w:b w:val="false"/>
                <w:bCs w:val="false"/>
                <w:i w:val="false"/>
                <w:iCs w:val="false"/>
                <w:caps w:val="false"/>
                <w:color w:val="1A1A1A"/>
                <w:sz w:val="22"/>
                <w:szCs w:val="22"/>
              </w:rPr>
              <w:t xml:space="preserve">For Knowledge Capital (K): R&amp;D spending as % of GDP, patent filing trends, university research output, public library and school funding as % of total government spending. A K-discontinuity risk indicator: count the number of entities holding &gt;20% of a critical knowledge substrate.</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3.  </w:t>
            </w:r>
            <w:r>
              <w:rPr>
                <w:rFonts w:ascii="Arial" w:cs="Arial" w:eastAsia="Arial" w:hAnsi="Arial"/>
                <w:b w:val="false"/>
                <w:bCs w:val="false"/>
                <w:i w:val="false"/>
                <w:iCs w:val="false"/>
                <w:caps w:val="false"/>
                <w:color w:val="1A1A1A"/>
                <w:sz w:val="22"/>
                <w:szCs w:val="22"/>
              </w:rPr>
              <w:t xml:space="preserve">For Institutional Resilience (I): press freedom index (RSF), rule-of-law index (World Justice Project), central bank independence score, electoral integrity score. Any measure falling for five consecutive years = I-pressure event.</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4.  </w:t>
            </w:r>
            <w:r>
              <w:rPr>
                <w:rFonts w:ascii="Arial" w:cs="Arial" w:eastAsia="Arial" w:hAnsi="Arial"/>
                <w:b w:val="false"/>
                <w:bCs w:val="false"/>
                <w:i w:val="false"/>
                <w:iCs w:val="false"/>
                <w:caps w:val="false"/>
                <w:color w:val="1A1A1A"/>
                <w:sz w:val="22"/>
                <w:szCs w:val="22"/>
              </w:rPr>
              <w:t xml:space="preserve">For Legitimacy (L): net government approval trend, public trust in institutions (Edelman), voter turnout trend (participation reveals perceived efficacy). Three consecutive annual declines in two or more measures = L erosion in progress.</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5.  </w:t>
            </w:r>
            <w:r>
              <w:rPr>
                <w:rFonts w:ascii="Arial" w:cs="Arial" w:eastAsia="Arial" w:hAnsi="Arial"/>
                <w:b w:val="false"/>
                <w:bCs w:val="false"/>
                <w:i w:val="false"/>
                <w:iCs w:val="false"/>
                <w:caps w:val="false"/>
                <w:color w:val="1A1A1A"/>
                <w:sz w:val="22"/>
                <w:szCs w:val="22"/>
              </w:rPr>
              <w:t xml:space="preserve">For Existential Risk (Omega): SIPRI military expenditure, active nuclear-armed states and doctrine documents, synthetic biology dual-use rate, planetary boundary status (Stockholm Resilience Centre), AI capability milestone reports.</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6.  </w:t>
            </w:r>
            <w:r>
              <w:rPr>
                <w:rFonts w:ascii="Arial" w:cs="Arial" w:eastAsia="Arial" w:hAnsi="Arial"/>
                <w:b w:val="false"/>
                <w:bCs w:val="false"/>
                <w:i w:val="false"/>
                <w:iCs w:val="false"/>
                <w:caps w:val="false"/>
                <w:color w:val="1A1A1A"/>
                <w:sz w:val="22"/>
                <w:szCs w:val="22"/>
              </w:rPr>
              <w:t xml:space="preserve">For Elite Overproduction (E): graduate production as multiple of professional job creation; youth unemployment rate for degree-holders; intra-elite conflict indicators (political polarisation, factional violence); public-sector hiring freezes while university output rises.</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7.  </w:t>
            </w:r>
            <w:r>
              <w:rPr>
                <w:rFonts w:ascii="Arial" w:cs="Arial" w:eastAsia="Arial" w:hAnsi="Arial"/>
                <w:b w:val="false"/>
                <w:bCs w:val="false"/>
                <w:i w:val="false"/>
                <w:iCs w:val="false"/>
                <w:caps w:val="false"/>
                <w:color w:val="1A1A1A"/>
                <w:sz w:val="22"/>
                <w:szCs w:val="22"/>
              </w:rPr>
              <w:t xml:space="preserve">For Gaia (xi): count the number of entities controlling &gt;20% of: global cloud compute, electricity grids, food supply chains, currency reserve assets, undersea internet cables. Six or more at &gt;20% single-entity control = xi declining.</w:t>
            </w:r>
          </w:p>
        </w:tc>
      </w:tr>
    </w:tbl>
    <w:p>
      <w:pPr>
        <w:spacing w:after="120" w:before="0"/>
      </w:pPr>
    </w:p>
    <w:p>
      <w:pPr>
        <w:spacing w:after="80" w:before="0"/>
      </w:pPr>
    </w:p>
    <w:tbl>
      <w:tblPr>
        <w:tblW w:type="dxa" w:w="9360"/>
        <w:tblBorders>
          <w:top w:val="single" w:color="1B3A6B" w:sz="4"/>
          <w:left w:val="single" w:color="1B3A6B" w:sz="18"/>
          <w:bottom w:val="single" w:color="1B3A6B" w:sz="4"/>
          <w:right w:val="single" w:color="1B3A6B" w:sz="4"/>
          <w:insideH w:val="none"/>
          <w:insideV w:val="none"/>
        </w:tblBorders>
        <w:tblLayout w:type="fixed"/>
      </w:tblPr>
      <w:tblGrid>
        <w:gridCol w:w="9360"/>
      </w:tblGrid>
      <w:tr>
        <w:tc>
          <w:tcPr>
            <w:tcW w:type="dxa" w:w="9360"/>
            <w:shd w:fill="E8EEF7" w:color="auto" w:val="clear"/>
            <w:tcMar>
              <w:top w:type="dxa" w:w="120"/>
              <w:left w:type="dxa" w:w="200"/>
              <w:bottom w:type="dxa" w:w="120"/>
              <w:right w:type="dxa" w:w="200"/>
            </w:tcMar>
          </w:tcPr>
          <w:p>
            <w:pPr>
              <w:spacing w:after="40" w:before="60" w:line="300" w:lineRule="auto"/>
              <w:jc w:val="left"/>
            </w:pPr>
            <w:r>
              <w:rPr>
                <w:rFonts w:ascii="Arial" w:cs="Arial" w:eastAsia="Arial" w:hAnsi="Arial"/>
                <w:b w:val="false"/>
                <w:bCs w:val="false"/>
                <w:i/>
                <w:iCs/>
                <w:caps w:val="false"/>
                <w:color w:val="1B3A6B"/>
                <w:sz w:val="26"/>
                <w:szCs w:val="26"/>
              </w:rPr>
              <w:t xml:space="preserve">The mathematics is not the plan. The corpus is the territory the map must be corrected against. Read the variables. Trust the record. Build accordingly.</w:t>
            </w:r>
          </w:p>
          <w:p>
            <w:pPr>
              <w:spacing w:after="60" w:before="60" w:line="276" w:lineRule="auto"/>
              <w:jc w:val="left"/>
            </w:pPr>
            <w:r>
              <w:rPr>
                <w:rFonts w:ascii="Arial" w:cs="Arial" w:eastAsia="Arial" w:hAnsi="Arial"/>
                <w:b w:val="false"/>
                <w:bCs w:val="false"/>
                <w:i w:val="false"/>
                <w:iCs w:val="false"/>
                <w:caps w:val="false"/>
                <w:color w:val="8B0000"/>
                <w:sz w:val="20"/>
                <w:szCs w:val="20"/>
              </w:rPr>
              <w:t xml:space="preserve">— CivilisationOS, opening axiom</w:t>
            </w:r>
          </w:p>
        </w:tc>
      </w:tr>
    </w:tbl>
    <w:p>
      <w:pPr>
        <w:spacing w:after="120" w:before="0"/>
      </w:pPr>
    </w:p>
    <w:p>
      <w:r>
        <w:br w:type="page"/>
      </w:r>
    </w:p>
    <w:p>
      <w:pPr>
        <w:spacing w:after="300" w:before="0"/>
      </w:pPr>
    </w:p>
    <w:p>
      <w:pPr>
        <w:spacing w:after="40" w:before="60" w:line="276" w:lineRule="auto"/>
        <w:jc w:val="left"/>
      </w:pPr>
      <w:r>
        <w:rPr>
          <w:rFonts w:ascii="Arial" w:cs="Arial" w:eastAsia="Arial" w:hAnsi="Arial"/>
          <w:b/>
          <w:bCs/>
          <w:i w:val="false"/>
          <w:iCs w:val="false"/>
          <w:caps/>
          <w:color w:val="8B0000"/>
          <w:sz w:val="20"/>
          <w:szCs w:val="20"/>
        </w:rPr>
        <w:t xml:space="preserve">THE FIRST BOOK</w:t>
      </w:r>
    </w:p>
    <w:p>
      <w:pPr>
        <w:spacing w:after="40" w:before="60" w:line="300" w:lineRule="auto"/>
        <w:jc w:val="left"/>
      </w:pPr>
      <w:r>
        <w:rPr>
          <w:rFonts w:ascii="Arial" w:cs="Arial" w:eastAsia="Arial" w:hAnsi="Arial"/>
          <w:b/>
          <w:bCs/>
          <w:i w:val="false"/>
          <w:iCs w:val="false"/>
          <w:caps w:val="false"/>
          <w:color w:val="1B3A6B"/>
          <w:sz w:val="38"/>
          <w:szCs w:val="38"/>
        </w:rPr>
        <w:t xml:space="preserve">The Book of Asabiyyah</w:t>
      </w:r>
    </w:p>
    <w:p>
      <w:pPr>
        <w:spacing w:after="80" w:before="60" w:line="276" w:lineRule="auto"/>
        <w:jc w:val="left"/>
      </w:pPr>
      <w:r>
        <w:rPr>
          <w:rFonts w:ascii="Arial" w:cs="Arial" w:eastAsia="Arial" w:hAnsi="Arial"/>
          <w:b w:val="false"/>
          <w:bCs w:val="false"/>
          <w:i/>
          <w:iCs/>
          <w:caps w:val="false"/>
          <w:color w:val="3A4652"/>
          <w:sz w:val="24"/>
          <w:szCs w:val="24"/>
        </w:rPr>
        <w:t xml:space="preserve">On social cohesion, its sources, its exhaustion, and what must be done when it runs out</w:t>
      </w:r>
    </w:p>
    <w:p>
      <w:pPr>
        <w:pBdr>
          <w:bottom w:val="single" w:color="1B3A6B" w:sz="14" w:space="6"/>
        </w:pBdr>
        <w:spacing w:after="160" w:before="40"/>
        <w:jc w:val="left"/>
      </w:pPr>
      <w:r>
        <w:rPr>
          <w:rFonts w:ascii="Arial" w:cs="Arial" w:eastAsia="Arial" w:hAnsi="Arial"/>
          <w:b w:val="false"/>
          <w:bCs w:val="false"/>
          <w:i w:val="false"/>
          <w:iCs w:val="false"/>
          <w:caps w:val="false"/>
          <w:color w:val="1A1A1A"/>
          <w:sz w:val="22"/>
          <w:szCs w:val="22"/>
        </w:rPr>
        <w:t xml:space="preserve"/>
      </w:r>
    </w:p>
    <w:p>
      <w:pPr>
        <w:spacing w:after="160" w:before="60" w:line="300" w:lineRule="auto"/>
        <w:jc w:val="left"/>
      </w:pPr>
      <w:r>
        <w:rPr>
          <w:rFonts w:ascii="Arial" w:cs="Arial" w:eastAsia="Arial" w:hAnsi="Arial"/>
          <w:b w:val="false"/>
          <w:bCs w:val="false"/>
          <w:i/>
          <w:iCs/>
          <w:caps w:val="false"/>
          <w:color w:val="3A4652"/>
          <w:sz w:val="22"/>
          <w:szCs w:val="22"/>
        </w:rPr>
        <w:t xml:space="preserve">Without asabiyyah — the group feeling that makes strangers act as one — no other variable in the Master Equation holds. It is the ground beneath the architecture.</w:t>
      </w:r>
    </w:p>
    <w:p>
      <w:pPr>
        <w:spacing w:after="60" w:before="60" w:line="300" w:lineRule="auto"/>
        <w:ind w:left="900" w:right="900"/>
        <w:jc w:val="center"/>
      </w:pPr>
      <w:r>
        <w:rPr>
          <w:rFonts w:ascii="Arial" w:cs="Arial" w:eastAsia="Arial" w:hAnsi="Arial"/>
          <w:b w:val="false"/>
          <w:bCs w:val="false"/>
          <w:i/>
          <w:iCs/>
          <w:caps w:val="false"/>
          <w:color w:val="1B3A6B"/>
          <w:sz w:val="24"/>
          <w:szCs w:val="24"/>
        </w:rPr>
        <w:t xml:space="preserve">Group feeling produces the ability to defend oneself, to offer opposition, to protect oneself, and to press one's claims. Whoever loses it is too weak to do any of these things.</w:t>
      </w:r>
    </w:p>
    <w:p>
      <w:pPr>
        <w:spacing w:after="240" w:before="60" w:line="276" w:lineRule="auto"/>
        <w:jc w:val="center"/>
      </w:pPr>
      <w:r>
        <w:rPr>
          <w:rFonts w:ascii="Arial" w:cs="Arial" w:eastAsia="Arial" w:hAnsi="Arial"/>
          <w:b w:val="false"/>
          <w:bCs w:val="false"/>
          <w:i w:val="false"/>
          <w:iCs w:val="false"/>
          <w:caps w:val="false"/>
          <w:color w:val="8B0000"/>
          <w:sz w:val="20"/>
          <w:szCs w:val="20"/>
        </w:rPr>
        <w:t xml:space="preserve">— Ibn Khaldun, Al-Muqaddimah, Book II, Chapter XVII, 1377</w:t>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1  </w:t>
      </w:r>
      <w:r>
        <w:rPr>
          <w:rFonts w:ascii="Arial" w:cs="Arial" w:eastAsia="Arial" w:hAnsi="Arial"/>
          <w:b w:val="false"/>
          <w:bCs w:val="false"/>
          <w:i w:val="false"/>
          <w:iCs w:val="false"/>
          <w:caps w:val="false"/>
          <w:color w:val="9AA5B1"/>
          <w:sz w:val="18"/>
          <w:szCs w:val="18"/>
        </w:rPr>
        <w:t xml:space="preserve">| And What It Is Not</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What Asabiyyah Is</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Of the seven variables in the Master Equation, Asabiyyah carries the highest numerator exponent: 0.31. This is not a literary judgment. It is the mathematical residue of the corpus answering one question — which variable, when it goes to zero, takes everything else with it? The answer was unambiguous. Knowledge Capital without social cohesion becomes competing hoards of private information. Institutional Resilience without social cohesion becomes bureaucratic machinery that nobody staffs in a crisis. Legitimacy without social cohesion is a number on a survey taken in a society that has stopped acting as one. Asabiyyah is not the most important variable because the corpus admires solidarity. It is the most important variable because without it, the others are inert.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word itself is fourteenth-century Arabic. Ibn Khaldun coined it, or rather crystallised it — the concept existed before him in the social texture of the Maghreb's dynastic struggles, and he gave it the precision that made it exportable across six centuries. Translations are instructive in what they lose. Group feeling loses the binding energy. Tribal solidarity loses the scale-independence. Social cohesion, the modern academic rendering, loses the visceral quality that Ibn Khaldun was pointing at: the sense that this group's fate is my fate, that their dishonour is my dishonour, that when they are threatened I will fight even when calculation says I should run. Asabiyyah is the social technology that converts calculation into something more reliable than calculation.</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What asabiyyah is not requires equal precision, because its confusion with simpler concepts has produced bad diagnosis across centuries. It is not nationalism, though nationalism can be one of its vehicles. Nationalism is a doctrine about who belongs to a political community; asabiyyah is a property of the emotional and behavioural bonds between them — the difference between a passport and a willingness to share the last water. It is not tribalism in the pejorative sense of narrow, zero-sum loyalty to one's own at the direct expense of others. High-asabiyyah societies have repeatedly expanded their circle of solidarity over time: Rome from Latin city to Mediterranean empire; Islam from Hijazi clan to transnational civilisation; the Anglo-American alliance from shared blood to shared institutional inheritance. Asabiyyah at its full development is the capacity for collective action under stress across whatever scale the challenge demands.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Three historical cases from the corpus establish what genuine high-asabiyyah looks like in practice. Wartime Britain from 1940 to 1942 produced the most documented instance in the English-language record: a society that had been fractured along class lines for a century found, under the pressure of the Blitz, a solidarity sufficient to sustain military production at unprecedented rates, to maintain civilian morale through bombardment that destroyed one in six London buildings, and to hold a coalition government of ideological opponents without internal fracture. The mechanism was shared existential threat made vivid and daily. Singapore's founding generation from 1965 to 1985 produced a high-asabiyyah state by design rather than by crisis — a deliberate programme of threat-awareness, shared sacrifice through national service, and the suppression of factional excess that the PAP leadership correctly identified as civilisationally fatal. And the early Islamic expansion from 622 to 750 CE produced, in the corpus's WORLD_GREATBOOKS_RAG evidence, a case of asabiyyah so intense that a community of a few thousand created an empire within a single lifetime — not because they were wealthier or more technically sophisticated than their opponents, but because they acted as one when their opponents could not.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exponent 0.31 reflects something more specific than mere importance. It reflects the nonlinear damage that asabiyyah decline inflicts on the total system. When A falls from 0.70 to 0.50, Phi loses roughly 11% of its numerator contribution. When A falls from 0.50 to 0.34 — where the global reading stands in 2026 — Phi loses another 16%, compounded. The floor is set at 0.50 in the equation not because societies below that number cease to function but because below that number the equation's feedback dynamics change character: other variables begin declining in sympathy, as the social fabric required to maintain them loosens. The 2026 reading of A = 0.34 sits below that floor. Every day it remains there, the floor gets harder to climb back above.</w:t>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2  </w:t>
      </w:r>
      <w:r>
        <w:rPr>
          <w:rFonts w:ascii="Arial" w:cs="Arial" w:eastAsia="Arial" w:hAnsi="Arial"/>
          <w:b w:val="false"/>
          <w:bCs w:val="false"/>
          <w:i w:val="false"/>
          <w:iCs w:val="false"/>
          <w:caps w:val="false"/>
          <w:color w:val="9AA5B1"/>
          <w:sz w:val="18"/>
          <w:szCs w:val="18"/>
        </w:rPr>
        <w:t xml:space="preserve">| The Three Mechanisms and the Narrative That Must Follow</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How Asabiyyah Forms</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Asabiyyah does not form in comfort. This is the single hardest conclusion the corpus forces on anyone who would prefer a gentler theory of social cohesion. The three formation mechanisms that survive historical triangulation are, in descending order of speed and depth: shared existential threat, shared material struggle, and shared founding project. The first produces asabiyyah fastest and deepest but requires an enemy willing to cooperate. The second produces it reliably across a wider range of conditions but slowly, over years of accumulated hardship navigated together. The third produces it most intentionally and most fragilely, because projects end and the solidarity must then be transferred to something else, or it dies when the project is complete.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Shared existential threat is the thermodynamic fast-track. The mechanism is simple: when survival is uncertain and collective action is the only path to survival, individuals who compute purely selfishly lose and individuals who coordinate win. Over enough repetitions, the coordinators outreproduce the defectors, and a population's behavioural landscape shifts. But the corpus documents a complication: the threat must be perceived as genuine, and it must be perceived as shared. A threat that falls unequally, that can be exited by the wealthy, that recruits its defenders from the poor while its elites buy safety, does not produce asabiyyah. It produces resentment dressed as solidarity until the war ends and the dress comes off. Rome's early republic produced asabiyyah because the senator's son died beside the farmer's son. Rome's late republic did not because one could afford a substitute.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Shared material struggle operates on a slower timescale and at a lower intensity, but is more reproducible in peacetime. The mechanism here is not fear but investment: people who have built something together, endured something together, made something together, have created a joint stake in each other's continued existence. The corpus's evidence on this comes most clearly from the founding periods of durable institutions. The Tang dynasty's reconsolidation under Taizong from 627 to 649 CE, documented in the WORLD_GREATBOOKS_RAG's classical sources, was built on a generation of military campaigners who had fought alongside each other since adolescence. Their asabiyyah was not ideological — the Tang court was religiously pluralist, ethnically mixed, and philosophically eclectic — but it was extremely deep, rooted in a decade of shared campaigns against the Sui, the Eastern Turks, and the remnants of the warlord period. The shared struggle was the substance; the ideology came later, as legitimising narrative.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Shared founding project is the most interesting mechanism and the one most relevant to the present moment, because it is the only mechanism that can be deliberately initiated without waiting for a war or a famine. The Meiji Restoration from 1868 to 1912 is the cleanest example in the corpus: a small group of samurai-turned-bureaucrats who understood that their civilisation faced annihilation if it did not industrialise faster than Western powers could colonise. They constructed a founding project — Japan's transformation from feudal state to industrial empire — explicit enough to galvanise broad participation and urgent enough to override factional self-interest. The project worked. The asabiyyah it generated was real enough to sustain forty years of extraordinary institutional innovation, two successful wars, and a social transformation without precedent in speed. But when the project was complete — when Japan had become an industrial power — the asabiyyah required transfer to a new project. What it got instead was nationalism, and then militarism, and the story became darker.</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All three formation mechanisms share a structural requirement that the corpus documents across dozens of cases: the formation phase must be followed by a narrative construction phase, or the asabiyyah dissipates. Shared experience creates the raw material; shared story converts it into something transmissible to people who were not there. Rome's founding myths — the she-wolf, Romulus and Remus, the rape of the Sabine women and its resolution — were not historical accounts. They were asabiyyah-encoding devices, transferring the binding energy of a community's earliest struggles to each new generation that learned them. The corpus's RELIGION_V2_RAG (62,849 chunks) documents this across every major religious tradition: the Exodus narrative in Judaism, the Hijra in Islam, the Resurrection in Christianity — all are asabiyyah-encoding stories, binding communities not just to a theological proposition but to a shared fate. When the story loses credibility, the asabiyyah it carried loses its vehicle. What has made the present moment dangerous is not that threats have increased — the corpus documents they have — but that the narratives that carried the binding energy of the postwar order have lost their credibility faster than new narratives have formed.</w:t>
      </w:r>
    </w:p>
    <w:p>
      <w:pPr>
        <w:spacing w:after="80" w:before="0"/>
      </w:pPr>
    </w:p>
    <w:tbl>
      <w:tblPr>
        <w:tblW w:type="dxa" w:w="9360"/>
        <w:tblBorders>
          <w:top w:val="single" w:color="00595C" w:sz="4"/>
          <w:left w:val="single" w:color="00595C" w:sz="18"/>
          <w:bottom w:val="single" w:color="00595C" w:sz="4"/>
          <w:right w:val="single" w:color="00595C" w:sz="4"/>
          <w:insideH w:val="none"/>
          <w:insideV w:val="none"/>
        </w:tblBorders>
        <w:tblLayout w:type="fixed"/>
      </w:tblPr>
      <w:tblGrid>
        <w:gridCol w:w="9360"/>
      </w:tblGrid>
      <w:tr>
        <w:tc>
          <w:tcPr>
            <w:tcW w:type="dxa" w:w="9360"/>
            <w:shd w:fill="E0F2F1"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00595C"/>
                <w:sz w:val="18"/>
                <w:szCs w:val="18"/>
              </w:rPr>
              <w:t xml:space="preserve">CORPUS EVIDENCE — IBN KHALDUN AND THE DYNASTY DATABASE</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WORLD_GREATBOOKS_RAG contains the complete Muqaddimah translation (16,725 chunks across the full corpus volume). Ibn Khaldun's documentation of North African dynasties from the Almoravids (c. 1040) to the Marinids (c. 1360) constitutes the first systematic dataset on asabiyyah formation and exhaustion. He documents over 30 dynasties by name, with reign lengths, succession crises, and the asabiyyah condition at each transition.</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The statistical finding embedded in his narrative: founding dynasties with strong desert-conditioned asabiyyah consistently outlast their sedentary predecessors in the first confrontation, regardless of the sedentary power's numerical or material advantage. The exception documented: when the sedentary power successfully imports tribal asabiyyah through mercenary use (Abbasid use of Turkish cavalry; Byzantine use of Varangian Guard), the advantage narrows — but the imported asabiyyah is not transferable to the host population and eventually creates its own succession problem.</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CivilisationOS treats the Muqaddimah as a primary empirical dataset for A-variable calibration, not as a philosophical text. The 30-dynasty sample across 320 years of North African history represents more systematic observation of civilisational variable behaviour than most modern political science datasets achieve.</w:t>
            </w:r>
          </w:p>
          <w:p>
            <w:pPr>
              <w:spacing w:after="60" w:before="40" w:line="276" w:lineRule="auto"/>
              <w:jc w:val="left"/>
            </w:pPr>
            <w:r>
              <w:rPr>
                <w:rFonts w:ascii="Arial" w:cs="Arial" w:eastAsia="Arial" w:hAnsi="Arial"/>
                <w:b w:val="false"/>
                <w:bCs w:val="false"/>
                <w:i/>
                <w:iCs/>
                <w:caps w:val="false"/>
                <w:color w:val="3A4652"/>
                <w:sz w:val="18"/>
                <w:szCs w:val="18"/>
              </w:rPr>
              <w:t xml:space="preserve">Source: WORLD_GREATBOOKS_RAG, Vol. 30 (Ibn Khaldun, Al-Muqaddimah); cross-referenced against FA_RAG's historical asabiyyah literature</w:t>
            </w:r>
          </w:p>
        </w:tc>
      </w:tr>
    </w:tbl>
    <w:p>
      <w:pPr>
        <w:spacing w:after="120" w:before="0"/>
      </w:pP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3  </w:t>
      </w:r>
      <w:r>
        <w:rPr>
          <w:rFonts w:ascii="Arial" w:cs="Arial" w:eastAsia="Arial" w:hAnsi="Arial"/>
          <w:b w:val="false"/>
          <w:bCs w:val="false"/>
          <w:i w:val="false"/>
          <w:iCs w:val="false"/>
          <w:caps w:val="false"/>
          <w:color w:val="9AA5B1"/>
          <w:sz w:val="18"/>
          <w:szCs w:val="18"/>
        </w:rPr>
        <w:t xml:space="preserve">| The Thermodynamics of Solidarity</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How Asabiyyah Exhausts Itself</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The most important single sentence in the Muqaddimah is this: prosperity destroys asabiyyah faster than poverty builds it. This is not a moral argument against wealth. It is a thermodynamic observation about the properties of a resource. Asabiyyah is stored potential energy — the kind that accumulates when people must cooperate to survive. Prosperity converts that energy into kinetic energy, running the engines of civilisation. But conversion is not free: the stored energy depletes, and prosperity, by eliminating the conditions that formed the asabiyyah in the first place, makes it very difficult to replenish. The civilisation then runs on the momentum of what it built, and the momentum runs down, and what looks like a sudden collapse from outside is in fact the delayed accounting of a deficit that accumulated over two or three generations of spending what could not be replaced.</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Ibn Khaldun's third-generation theorem is the corpus's single most robustly cross-validated finding on asabiyyah dynamics. The pattern: the first generation conquers or builds under high asabiyyah forged in shared struggle. They are frugal, cohesive, and contemptuous of luxury, which they correctly identify as corrosive. The second generation inherits their parents' institutions, improves and stabilises them, and enjoys the prosperity those institutions generate. Their asabiyyah is lower than their parents' — they did not earn it in the same fire — but it is sufficient. The third generation inherits institutions they did not build and prosperity they did not fight for. They are internally competitive rather than externally cohesive, because the threat that made internal competition taboo has receded into story. They are skilled at consuming the civilisation; they are unpractised at defending it.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Roman evidence is the most extensively documented in the corpus. By the second century CE, the senatorial class that had built Rome's republic through alternating military service and civil governance had become a class that read about military service and debated civic virtue in their gardens. Edward Gibbon's observation — reproduced in substance if not in the exact words across WORLD_GREATBOOKS_RAG's historiographical collections — is that the Roman aristocracy of the Antonine period was perhaps the most civilised ruling class in history, and that this civilisation was itself a symptom of the collapse already underway. The very refinement of their culture, the exquisiteness of their aesthetic sense, the philosophical sophistication of their private correspondence, was evidence that they had entirely outsourced the rough solidarity that had built everything they were enjoying to Dacians and Goths and Spaniards who still knew what shared struggle meant.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Peter Turchin's cliodynamic contribution, which the corpus absorbs through FA_RAG and CONSULTING_RAG's summaries of his quantitative historical sociology, introduces a second asabiyyah-destruction mechanism that operates independently of the comfort problem: elite overproduction. When a society produces more credentialed, ambitious claimants to elite positions than there are positions available, the surplus does not quietly depart. It competes. The competition is initially conducted through conventional means — meritocratic tests, political coalition-building, cultural prestige. When conventional means are exhausted without producing resolution, the competition escalates: to institutional sabotage, factional violence, and finally to the recruitment of popular grievance as a weapon in intra-elite conflict. This last step is what makes elite overproduction so corrosive to asabiyyah: it trains the population to view all elite actors as factional combatants and all institutions as factional weapons. Once that training is complete, the cognitive foundation for collective action is gone.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smartphone-and-comfort generation is the corpus's least historically unique problem and its most vivid present-day manifestation. Every generation raised in affluence after a founding struggle has faced the same challenge: how to transmit the binding energy of shared hardship to people who have not experienced it. What is new in the twenty-first century is the scale and the specific texture of the alternative. Previous generations raised in prosperity were offered religion, nationalism, civic ritual, and community obligation as asabiyyah-substrates in the absence of existential threat. The current generation is offered social media, which is architecturally optimised for internal competition rather than collective solidarity. NIKKEI_RAG documents Japanese youth disengagement from the political and civic institutions that their grandparents' generation built. CNA_RAG documents declining volunteerism and national service participation enthusiasm across ASEAN states that consciously sought to build asabiyyah through institutional means. The screens are not the cause. They are the medium through which the underlying asabiyyah exhaustion finds its expression.</w:t>
      </w:r>
    </w:p>
    <w:p>
      <w:pPr>
        <w:spacing w:after="80" w:before="0"/>
      </w:pPr>
    </w:p>
    <w:tbl>
      <w:tblPr>
        <w:tblW w:type="dxa" w:w="9360"/>
        <w:tblBorders>
          <w:top w:val="single" w:color="7A4F01" w:sz="4"/>
          <w:left w:val="single" w:color="7A4F01" w:sz="18"/>
          <w:bottom w:val="single" w:color="7A4F01" w:sz="4"/>
          <w:right w:val="single" w:color="7A4F01" w:sz="4"/>
          <w:insideH w:val="none"/>
          <w:insideV w:val="none"/>
        </w:tblBorders>
        <w:tblLayout w:type="fixed"/>
      </w:tblPr>
      <w:tblGrid>
        <w:gridCol w:w="9360"/>
      </w:tblGrid>
      <w:tr>
        <w:tc>
          <w:tcPr>
            <w:tcW w:type="dxa" w:w="9360"/>
            <w:shd w:fill="FFF6E0"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7A4F01"/>
                <w:sz w:val="18"/>
                <w:szCs w:val="18"/>
              </w:rPr>
              <w:t xml:space="preserve">THE THIRD GENERATION PROBLEM — FAILURE SIGNATURES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INTRA-ELITE COMPETITION DOMINATES INTER-ELITE COOPERATION: Governing coalitions spend more energy preventing internal defection than executing policy. The ratio of political energy devoted to factional management versus collective problem-solving exceeds 2:1.</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FOUNDING MYTH BECOMES CONTESTED: The narrative that encoded the founding generation's asabiyyah is no longer accepted as binding by a significant minority. Alternative origin stories proliferate, each serving a factional interest. Historical revision accelerates.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SACRIFICE BECOMES DIFFERENTIALLY DISTRIBUTED: The mechanisms that once shared burdens across class lines — conscription, progressive taxation, shared public institutions — are eroded. The wealthy develop exit options that the poor do not have. The perception of differential sacrifice corrodes voluntary cohesion faster than coerced sacrifice.</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CIVIC PARTICIPATION RATES FALL: Voting, volunteering, military service, jury duty, neighbourhood organisation — the visible behaviours of asabiyyah in peacetime — decline across multiple measures simultaneously. A single declining metric is noise. Simultaneous decline across five or more civic participation measures is signal.</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BETRAYAL-ACCUMULATION ACCELERATES: Each visible instance of elite self-dealing that goes unpunished subtracts measurably from L and from A simultaneously. When the population begins treating institutional betrayal as the norm rather than the exception, the asabiyyah that institution once commanded is permanently lost.</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HARDSHIP PRODUCES DIVISION RATHER THAN SOLIDARITY: The diagnostic test. In a high-asabiyyah society, shared crisis — a flood, a recession, a security threat — increases observable solidarity behaviours. In an asabiyyah-exhausted society, the same crisis increases factional accusation, blame-shifting, and exit behaviour.</w:t>
            </w:r>
          </w:p>
        </w:tc>
      </w:tr>
    </w:tbl>
    <w:p>
      <w:pPr>
        <w:spacing w:after="120" w:before="0"/>
      </w:pP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4  </w:t>
      </w:r>
      <w:r>
        <w:rPr>
          <w:rFonts w:ascii="Arial" w:cs="Arial" w:eastAsia="Arial" w:hAnsi="Arial"/>
          <w:b w:val="false"/>
          <w:bCs w:val="false"/>
          <w:i w:val="false"/>
          <w:iCs w:val="false"/>
          <w:caps w:val="false"/>
          <w:color w:val="9AA5B1"/>
          <w:sz w:val="18"/>
          <w:szCs w:val="18"/>
        </w:rPr>
        <w:t xml:space="preserve">| The Proxy Architecture</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Measuring Asabiyyah in Practice</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Asabiyyah cannot be directly observed. What can be observed is its effects, and those effects leave detectable residues in data that is now collected systematically across most of the world. The measurement challenge is not data scarcity — it is construct validity. The proxy indicators for asabiyyah are numerous, individually noisy, and collectively diagnostic. No single indicator tells you whether a society's asabiyyah is collapsing. Five indicators moving in the same direction, over a five-year window, tell you something the corpus treats as signal. Ten indicators moving together over a decade tell you something the equation is legally obligated to call a trend.</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Social trust surveys provide the most widely used proxy. The World Values Survey, running since 1981 across now more than 100 countries, asks variants of the question: 'Generally speaking, would you say that most people can be trusted?' The long-run decline in affirmative answers in developed democracies is one of the most robust findings in comparative sociology — not because people have become epistemically more sceptical, but because the social conditions that warranted trust have deteriorated. Edelman's Trust Barometer, covering business, government, media, and NGO credibility across 28 countries since 2000, documents what it calls 'trust collapse' in institutional actors — a finding the corpus treats as an I and L indicator as much as an A indicator, since the three are coupled. A society that trusts neither its institutions nor each other is not, by that measurement, a society exhibiting asabiyyah.</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Intra-elite cooperation rates are measurable through legislative voting patterns, cabinet stability, diplomatic joint action rates, and business confederation joint-position papers. The operational question is: when elites face a problem that requires collective action, do they act collectively or do they defect to individual positioning? Corpus evidence from US_POLICY_RAG documents Congressional bipartisan legislation frequency falling from a postwar average of approximately 34% of major legislation to under 8% by 2024. This is not merely ideological sorting — it is intra-elite cooperation failure, which is an A-collapse signature at the governing level independent of what the general population feels about each other.</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Civil society participation provides a mid-level asabiyyah indicator distinct from both elite and mass survey measures. The rate at which ordinary people join, sustain, and contribute to organisations that require voluntary cooperation — religious congregations, service clubs, sports leagues, neighbourhood associations, professional guilds — is a direct behavioural measure of the surplus solidarity that asabiyyah generates. Robert Putnam's documentation of bowling-league decline in the United States from the 1960s to the 1990s identified the trend early; the corpus documents its acceleration across OECD countries through the 2000s and 2010s. ASEAN_DATA_RAG provides parallel evidence for Southeast Asian civic organisation membership rates, which peaked in the late 1990s before the combination of urbanisation, economic stratification, and digital social substitution began their simultaneous pressure.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Protest frequency, properly calibrated, is a double-signal indicator. Moderate protest frequency — perhaps 2 to 5 significant public demonstrations per year in a given country, on issues of genuine policy concern — is actually an asabiyyah indicator of moderate health: it shows the population believes collective action can change outcomes, which requires some baseline of social trust and organisational capacity. Very low protest frequency in an unhappy population signals the opposite — the despair that accompanies asabiyyah exhaustion, where people believe collective action is futile. Very high protest frequency, especially when multiple grievances compete simultaneously and coalitions fail to form across factional lines, signals the fragmentation that is late-stage asabiyyah collapse. The pattern to watch is not the volume but the coherence: can protesters agree on demands? Can different grievance communities find common cause? Fragmentation of protest into competing factional demands, each unable to acknowledge the other's legitimacy, is the signature the corpus treats as diagnostically serious.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five-year declining trend threshold is the operational rule CivilisationOS applies before registering an A-variable deterioration in the Seldon reading. Single-year drops in trust surveys, single legislative sessions of elevated partisanship, single waves of protest — these are within normal civilisational volatility. Five consecutive years of decline across at least three independent proxy indicators is the operational signal. Ten years across five indicators is what the corpus classes as structural deterioration rather than cyclical fluctuation. By these thresholds, the global A reading of 0.34 reflects at least a decade of structural deterioration in the OECD bloc, simultaneous acute collapse in four war-zone countries, and measurable fragmentation across ASEAN — a compound reading whose components are described in the chapter that follows.</w:t>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5  </w:t>
      </w:r>
      <w:r>
        <w:rPr>
          <w:rFonts w:ascii="Arial" w:cs="Arial" w:eastAsia="Arial" w:hAnsi="Arial"/>
          <w:b w:val="false"/>
          <w:bCs w:val="false"/>
          <w:i w:val="false"/>
          <w:iCs w:val="false"/>
          <w:caps w:val="false"/>
          <w:color w:val="9AA5B1"/>
          <w:sz w:val="18"/>
          <w:szCs w:val="18"/>
        </w:rPr>
        <w:t xml:space="preserve">| What the Corpus Finds Across 1.7 Million Passages</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Asabiyyah in 2026</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The global A reading of 0.34 is not a single crisis. It is an average drawn across regions in different phases of their asabiyyah curves, and the average conceals more than it reveals. What the corpus provides that no single survey or think-tank report can provide is simultaneous coverage across 56 RAG collections spanning primary sources, journalistic archives, policy documents, academic analysis, and field observation from 2013 to 2026. The picture that emerges is not of a world with one asabiyyah problem. It is of a world with five distinct asabiyyah problems operating simultaneously, each interacting with the others, each providing no example of recovery that the others can import. This is the structural meaning of A = 0.34: not universal collapse, but the absence of a functioning high-asabiyyah anchor state.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ASEAN picture from CNA_RAG (259,252 chunks spanning 2013 to 2026) is the corpus's most granular regional asabiyyah dataset. The findings are unambiguous and multilayered. Cambodia and Laos have functionally defected from ASEAN's founding principle of collective autonomy from great-power domination; their alignment with China on Belt and Road financing and on South China Sea diplomatic positioning places them in a relationship with a major power that ASEAN's rules technically prohibit but practically cannot enforce. Myanmar's ongoing civil war has removed a member state from functional participation in any collective institution. Vietnam's hedging strategy — maintaining strategic ambiguity between the United States and China while pursuing independent military modernisation — is individually rational but ASEAN-incoherent. The Philippines' pivot back toward the United States under Marcos Jr., reversing Duterte's tilt toward China, demonstrates the degree to which individual state asabiyyah (toward ASEAN as a collective) fluctuates with domestic political cycles. Singapore, the institutional architect of modern ASEAN cohesion, produces more concerned analysis of ASEAN fragmentation than any other source in the corpus — a signal that the state most invested in the project is most aware of its precariousness.</w:t>
      </w:r>
    </w:p>
    <w:p>
      <w:pPr>
        <w:spacing w:after="80" w:before="0"/>
      </w:pPr>
    </w:p>
    <w:tbl>
      <w:tblPr>
        <w:tblW w:type="dxa" w:w="9360"/>
        <w:tblBorders>
          <w:top w:val="single" w:color="00595C" w:sz="4"/>
          <w:left w:val="single" w:color="00595C" w:sz="18"/>
          <w:bottom w:val="single" w:color="00595C" w:sz="4"/>
          <w:right w:val="single" w:color="00595C" w:sz="4"/>
          <w:insideH w:val="none"/>
          <w:insideV w:val="none"/>
        </w:tblBorders>
        <w:tblLayout w:type="fixed"/>
      </w:tblPr>
      <w:tblGrid>
        <w:gridCol w:w="9360"/>
      </w:tblGrid>
      <w:tr>
        <w:tc>
          <w:tcPr>
            <w:tcW w:type="dxa" w:w="9360"/>
            <w:shd w:fill="E0F2F1"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00595C"/>
                <w:sz w:val="18"/>
                <w:szCs w:val="18"/>
              </w:rPr>
              <w:t xml:space="preserve">CORPUS EVIDENCE — CNA_RAG ON ASEAN ASABIYYAH EROSION</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CNA_RAG: 259,252 chunks, Channel NewsAsia coverage 2013-2026. Primary findings on ASEAN asabiyyah: the post-2021 Myanmar coup produced a three-year ASEAN paralysis during which no member state was willing to enforce the Five-Point Consensus (negotiated April 2021) against the junta. The mechanism is diagnostic — the consensus failed because it would have required collective action against a member state, and ASEAN's asabiyyah was insufficient to sustain that action against individual member states' bilateral interests in Myanmar.</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Cambodia/Laos alignment drift: CNA_RAG documents multiple instances from 2016 onward of Cambodia and Laos blocking or softening joint ASEAN communiques on South China Sea territorial disputes, corresponding directly to increased Chinese infrastructure financing to both states. The pattern constitutes what the corpus treats as 'purchased defection' — asabiyyah erosion driven by economic exit options provided by an external actor.</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Vietnam-Philippines hedging: CNA_RAG documents both states pursuing independent bilateral security arrangements with the United States (Philippines: Enhanced Defence Cooperation Agreement expanded 2023; Vietnam: Comprehensive Strategic Partnership upgraded September 2023) without the arrangements passing through ASEAN collective deliberation. Individual states building exit options from the collective framework is, by the Turchin metric, a structural A-decline indicator.</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Singapore signal: Lee Hsien Loong's January 2024 annual address explicitly named ASEAN's relevance as contingent on member-state willingness to maintain collective discipline — the most direct public statement of asabiyyah concern from an incumbent ASEAN head of government in the corpus's coverage window.</w:t>
            </w:r>
          </w:p>
          <w:p>
            <w:pPr>
              <w:spacing w:after="60" w:before="40" w:line="276" w:lineRule="auto"/>
              <w:jc w:val="left"/>
            </w:pPr>
            <w:r>
              <w:rPr>
                <w:rFonts w:ascii="Arial" w:cs="Arial" w:eastAsia="Arial" w:hAnsi="Arial"/>
                <w:b w:val="false"/>
                <w:bCs w:val="false"/>
                <w:i/>
                <w:iCs/>
                <w:caps w:val="false"/>
                <w:color w:val="3A4652"/>
                <w:sz w:val="18"/>
                <w:szCs w:val="18"/>
              </w:rPr>
              <w:t xml:space="preserve">Source: CNA_RAG, 259,252 chunks, 2013-2026; cross-referenced against FA_RAG's ASEAN strategic literature</w:t>
            </w:r>
          </w:p>
        </w:tc>
      </w:tr>
    </w:tbl>
    <w:p>
      <w:pPr>
        <w:spacing w:after="120" w:before="0"/>
      </w:pP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Japan picture from NIKKEI_RAG (341,976 chunks, 2014 to 2026) is the corpus's most detailed case study of asabiyyah brittleness beneath apparent stability. For decades before 2022, Japan presented to the world — and to its own citizens — a picture of remarkable social cohesion: low crime, high civic compliance, deep institutional trust, and a political system whose stability was attributed to cultural consensus. The July 2022 assassination of former Prime Minister Shinzo Abe revealed, with the violence of a controlled demolition, what lay beneath. The investigation that followed disclosed that the Liberal Democratic Party had maintained structural financial relationships with the Unification Church spanning decades, relationships unknown to the Japanese public. NIKKEI_RAG's coverage of the subsequent three years documents a cascade of revelations: slush funds, off-books political financing, the involvement of an extraordinary proportion of LDP politicians in the Unification Church's political fundraising apparatus. What had appeared as organic social cohesion was revealed to have been, at the political level, a managed compact of concealed interdependencies. The asabiyyah that looked solid was partially load-bearing on a structure the public had never seen and would not have endorsed.</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NATO picture from FA_RAG (148,327 chunks of grand strategy analysis) presents a theoretically important case: an alliance with documented high institutional cohesion and documented fragile asabiyyah foundation. FA_RAG's coverage of NATO makes clear that the alliance's post-2022 revitalisation — 32 members, record defence spending commitments, near-universal agreement on the Russia threat assessment — is built on shared threat perception rather than shared values consensus. This distinction matters for A-variable prognosis. Threat-based asabiyyah is fast-forming and fast-degrading: it is the most intense form of social solidarity, and the one that evaporates most rapidly when the threat recedes or becomes ambiguous. FA_RAG documents the NATO values dimension as already in partial failure: Hungarian blocking of Ukraine-related funding mechanisms, Turkish vetoes of Nordic accession timelines, disputes over the International Criminal Court's jurisdiction that reveal deep intra-alliance disagreement about the rules-based order all parties formally endorse. These are not operational failures — NATO's military coordination remains high. They are asabiyyah-quality indicators: the alliance cooperates instrumentally while its members increasingly disagree about the principles in whose name it operates.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four simultaneous collapse zones documented in HUMAN_RIGHTS_RAG (HRW 2025, Amnesty International 2025, RSF Press Freedom Index) represent the acute end of the global A distribution: societies where asabiyyah has not merely declined but has inverted, producing organised violence rather than organised cooperation. Myanmar's civil war, entering its fourth year after the 2021 coup, has fractured a country that the corpus's earlier coverage showed as a fragile but real asabiyyah-formation project — the democratic transition period from 2011 to 2021 had built cross-ethnic civilian institutions that the coup systematically destroyed. Sudan's civil war has displaced over eight million people and produced what the corpus identifies as an A = 0 reading: a state in which the two dominant organised actors (SAF and RSF) are engaged in competition that produces no collective goods for the population between them. Afghanistan under Taliban governance has implemented what amounts to a policy-mandated female A = 0: the systematic exclusion of half the population from every domain of collective life. Gaza's A reading requires its own category — not state collapse but the destruction of the social infrastructure through which asabiyyah expresses itself in peacetime: schools, hospitals, civil society organisations, professional networks, all systematically removed from the landscape.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global A reading of 0.34 sits at a distance from any high-asabiyyah anchor. This is what makes the 2026 reading structurally different from previous periods of widely distributed asabiyyah decline. In the 1930s, the United States remained a functional high-asabiyyah society capable of mobilisation that subsequently stabilised the global system. In the 1970s, the European project provided a high-asabiyyah regional experiment that served as a demonstrated counter-example to nationalist fragmentation. In 2026, the corpus does not identify a high-asabiyyah society above 0.60 among major states. The candidate societies — South Korea, with its mandatory military service and developmental national narrative; India, with its ancient civilisational identity and functioning democracy; Vietnam, with its post-war cohesion and developmental urgency — are each between 0.45 and 0.55, meaningful distances from the 0.70+ readings that would allow them to serve as stabilising examples. The asabiyyah deficit is global and simultaneous. The corpus has not encountered this configuration in its historical data.</w:t>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6  </w:t>
      </w:r>
      <w:r>
        <w:rPr>
          <w:rFonts w:ascii="Arial" w:cs="Arial" w:eastAsia="Arial" w:hAnsi="Arial"/>
          <w:b w:val="false"/>
          <w:bCs w:val="false"/>
          <w:i w:val="false"/>
          <w:iCs w:val="false"/>
          <w:caps w:val="false"/>
          <w:color w:val="9AA5B1"/>
          <w:sz w:val="18"/>
          <w:szCs w:val="18"/>
        </w:rPr>
        <w:t xml:space="preserve">| What the Evidence Actually Supports</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How Asabiyyah Is Rebuilt</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The corpus is honest about what rebuilds asabiyyah and honest about what does not. What does not: social media campaigns about national unity, institutional reports on cohesion deficits, civic education curricula, diversity and inclusion programmes, national days, flags, and official ceremonies. These are not useless — they are the maintenance mechanisms of asabiyyah that already exists. They cannot generate asabiyyah from scratch, and they cannot reverse structural decline driven by the thermodynamic mechanisms Ibn Khaldun identified seven centuries ago. What does rebuild asabiyyah is harder, slower, less comfortable, and more politically demanding than the alternatives. This is why it so rarely happens until crisis forces it.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WW2 model — shared existential threat made immediate and inescapable — is the fastest asabiyyah-generation mechanism the historical record provides. It rebuilt European asabiyyah within a decade after the fragmentation of the interwar period. It built pan-American solidarity where hemispheric indifference had existed. It built, within the British Empire, levels of colonial contribution to the war effort that the pre-war period had never achieved. But it required a Hitler. It required a Pearl Harbour. It required the kind of threat that could not be argued away or externally managed or deferred to a future administration. The corpus documents no case in which the WW2 model was successfully invoked through political rhetoric alone, without the underlying genuine threat. Leaders who attempt to manufacture existential threats for asabiyyah-generation purposes reliably produce the opposite: when the manufactured threat is eventually exposed as exaggerated or false, the betrayal-accumulation it generates destroys more asabiyyah than the programme built.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Founding myth reconstruction is the most intellectually demanding of the rebuilding mechanisms and the one with the longest documented success record in peacetime conditions. The most analytically clean example in the corpus is Singapore's PAP government from 1965 onward. Lee Kuan Yew and his cabinet did something that political scientists still find difficult to categorise: they deliberately constructed a national identity for a population that had not previously shared one, across Chinese, Malay, and Tamil communities with distinct languages, religions, and cultural loyalties, in a city-state with no natural resources, no hinterland, and neighbours who at various points denied its right to exist. The mechanism was threefold: shared vulnerability (the narrative of existential precariousness was true and was made vivid in every school curriculum), shared institutional stake (Housing Development Board flats gave nearly the entire population a material interest in the continuation of the order that built and maintained them), and enforced civic behaviour (the famously rigorous social regulation of public space that outsiders mocked was in fact an asabiyyah-building tool — shared public norms create the micro-experiences of collective life that aggregate into solidarity). The result, documented across four decades of CNA_RAG coverage, is a city-state that consistently outperforms its structural predictors on every civilisational variable, with asabiyyah that remained above 0.60 through the pandemic, through the US-China bifurcation pressure, and through the leadership transition from first to second to third generation.</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Institutional forcing mechanisms are the most practical of the three rebuilding tools because they can be implemented without changing how people feel. The corpus documents conscription, national service, mandatory civic participation, and shared public institution use as asabiyyah-building in proportion to their universality and the degree to which they genuinely mix across class and ethnic lines. Israel's mandatory military service produces documented high asabiyyah — the corpus's MILITARY_RAG notes that the IDF's institutional strength rests substantially on the social network effects of a military experience shared across virtually the entire Jewish Israeli population. South Korea's equivalent produces similar results. The mechanism is not the military experience per se but the irreplaceable social production of shared context: people who have done hard things together, in institutions they did not choose and cannot exit, with people who are unlike them, carry forward a common experiential vocabulary that is one of asabiyyah's structural foundations. The failure mode is documented equally clearly: when national service becomes differentially distributed — when money, connections, or disability certifications allow consistent exemption by a class — it stops building asabiyyah and starts documenting the class divide it was meant to bridge.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long game is the element the corpus most insistently reports and that political actors most consistently ignore. Asabiyyah decline is slow. Asabiyyah recovery is slower. Ibn Khaldun's three-generation decay curve, applied in reverse as a three-generation recovery curve, suggests that structural asabiyyah rebuilding requires twenty to forty years of sustained institutional effort under conditions that maintain the formation mechanisms rather than allowing them to relapse. Singapore required thirty years to build the asabiyyah that made its 2026 stability comprehensible. Japan's Meiji restoration required forty years to build the asabiyyah that sustained the industrialisation project. The early Islamic community required three generations to consolidate the asabiyyah of the founding moment into stable institutional form. No historical case in the corpus documents structural asabiyyah recovery in under fifteen years in a large, complex society. This is not counsel for despair. It is a planning requirement.</w:t>
      </w:r>
    </w:p>
    <w:p>
      <w:pPr>
        <w:spacing w:after="80" w:before="0"/>
      </w:pPr>
    </w:p>
    <w:tbl>
      <w:tblPr>
        <w:tblW w:type="dxa" w:w="9360"/>
        <w:tblBorders>
          <w:top w:val="single" w:color="1B5E20" w:sz="4"/>
          <w:left w:val="single" w:color="1B5E20" w:sz="18"/>
          <w:bottom w:val="single" w:color="1B5E20" w:sz="4"/>
          <w:right w:val="single" w:color="1B5E20" w:sz="4"/>
          <w:insideH w:val="none"/>
          <w:insideV w:val="none"/>
        </w:tblBorders>
        <w:tblLayout w:type="fixed"/>
      </w:tblPr>
      <w:tblGrid>
        <w:gridCol w:w="9360"/>
      </w:tblGrid>
      <w:tr>
        <w:tc>
          <w:tcPr>
            <w:tcW w:type="dxa" w:w="9360"/>
            <w:shd w:fill="E8F5E9"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1B5E20"/>
                <w:sz w:val="18"/>
                <w:szCs w:val="18"/>
              </w:rPr>
              <w:t xml:space="preserve">FIELD NOTE  —  REBUILDING ASABIYYAH — OPERATIONAL STEPS FOR A REBUILDER</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1.  </w:t>
            </w:r>
            <w:r>
              <w:rPr>
                <w:rFonts w:ascii="Arial" w:cs="Arial" w:eastAsia="Arial" w:hAnsi="Arial"/>
                <w:b w:val="false"/>
                <w:bCs w:val="false"/>
                <w:i w:val="false"/>
                <w:iCs w:val="false"/>
                <w:caps w:val="false"/>
                <w:color w:val="1A1A1A"/>
                <w:sz w:val="22"/>
                <w:szCs w:val="22"/>
              </w:rPr>
              <w:t xml:space="preserve">ESTABLISH THE VULNERABILITY NARRATIVE FIRST: Asabiyyah cannot be built on a story of comfortable continuity. The founding narrative must be truthful about the stakes. Identify the genuine existential pressure the society faces — not manufactured, not exaggerated — and make it legible at every level of public discourse. If the genuine pressure is insufficient to sustain urgency, examine whether the pressure assessment is correct before concluding the problem is the population's complacency.</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2.  </w:t>
            </w:r>
            <w:r>
              <w:rPr>
                <w:rFonts w:ascii="Arial" w:cs="Arial" w:eastAsia="Arial" w:hAnsi="Arial"/>
                <w:b w:val="false"/>
                <w:bCs w:val="false"/>
                <w:i w:val="false"/>
                <w:iCs w:val="false"/>
                <w:caps w:val="false"/>
                <w:color w:val="1A1A1A"/>
                <w:sz w:val="22"/>
                <w:szCs w:val="22"/>
              </w:rPr>
              <w:t xml:space="preserve">DESIGN UNIVERSALLY EXPERIENCED SHARED INSTITUTIONS: National service, shared public school systems, universal public health infrastructure, mixed-income public housing — any institution that requires people who would not otherwise share space to share space is an asabiyyah-formation mechanism. The key design principle is genuine universality. Exemptions for the privileged are not just inequitable; they are architecturally destructive of the mechanism's purpose.</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3.  </w:t>
            </w:r>
            <w:r>
              <w:rPr>
                <w:rFonts w:ascii="Arial" w:cs="Arial" w:eastAsia="Arial" w:hAnsi="Arial"/>
                <w:b w:val="false"/>
                <w:bCs w:val="false"/>
                <w:i w:val="false"/>
                <w:iCs w:val="false"/>
                <w:caps w:val="false"/>
                <w:color w:val="1A1A1A"/>
                <w:sz w:val="22"/>
                <w:szCs w:val="22"/>
              </w:rPr>
              <w:t xml:space="preserve">REBUILD INTRA-ELITE COOPERATION BEFORE MASS SOLIDARITY: The corpus documents that mass asabiyyah follows rather than precedes elite asabiyyah in successful rebuilding cases. Elite factions that demonstrate genuine cooperation on matters of collective interest provide the visible example and the institutional capacity that mass solidarity requires to express itself productively. Identify two to three issues on which cross-factional elite cooperation is both possible and visible. Build those wins before attempting broader programmes.</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4.  </w:t>
            </w:r>
            <w:r>
              <w:rPr>
                <w:rFonts w:ascii="Arial" w:cs="Arial" w:eastAsia="Arial" w:hAnsi="Arial"/>
                <w:b w:val="false"/>
                <w:bCs w:val="false"/>
                <w:i w:val="false"/>
                <w:iCs w:val="false"/>
                <w:caps w:val="false"/>
                <w:color w:val="1A1A1A"/>
                <w:sz w:val="22"/>
                <w:szCs w:val="22"/>
              </w:rPr>
              <w:t xml:space="preserve">INVEST IN NARRATIVE INFRASTRUCTURE: Identify the founding stories, historical achievements, and shared sacrifice events that the current population still accepts as genuinely collective. Build on those foundations rather than attempting to introduce new founding myths, which require generational timescales to take root. Understand which elements of the existing narrative have lost credibility and do not attempt to reassert them — failed myths corrode more A than no myth.</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5.  </w:t>
            </w:r>
            <w:r>
              <w:rPr>
                <w:rFonts w:ascii="Arial" w:cs="Arial" w:eastAsia="Arial" w:hAnsi="Arial"/>
                <w:b w:val="false"/>
                <w:bCs w:val="false"/>
                <w:i w:val="false"/>
                <w:iCs w:val="false"/>
                <w:caps w:val="false"/>
                <w:color w:val="1A1A1A"/>
                <w:sz w:val="22"/>
                <w:szCs w:val="22"/>
              </w:rPr>
              <w:t xml:space="preserve">MEASURE PROXY INDICATORS ANNUALLY AND PUBLISH THE RESULTS: Trust surveys, civic participation rates, intra-elite cooperation scores, civil society membership — establish baseline measurements and publish annual updates. The measurement discipline serves two functions: it provides early warning of further decline, and it creates accountability for the rebuilding programme's effectiveness. A rebuilder who cannot measure progress cannot correct course.</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6.  </w:t>
            </w:r>
            <w:r>
              <w:rPr>
                <w:rFonts w:ascii="Arial" w:cs="Arial" w:eastAsia="Arial" w:hAnsi="Arial"/>
                <w:b w:val="false"/>
                <w:bCs w:val="false"/>
                <w:i w:val="false"/>
                <w:iCs w:val="false"/>
                <w:caps w:val="false"/>
                <w:color w:val="1A1A1A"/>
                <w:sz w:val="22"/>
                <w:szCs w:val="22"/>
              </w:rPr>
              <w:t xml:space="preserve">PLAN FOR TWENTY YEARS MINIMUM: Communicate explicitly to political principals and funders that structural A-recovery requires twenty to forty years of sustained effort and will not produce measurable results within a single electoral cycle. Programmes with shorter time horizons are maintenance at best and counterproductive at worst if they set expectations that cannot be met and thereby add to the betrayal-accumulation that caused the decline.</w:t>
            </w:r>
          </w:p>
        </w:tc>
      </w:tr>
    </w:tbl>
    <w:p>
      <w:pPr>
        <w:spacing w:after="120" w:before="0"/>
      </w:pPr>
    </w:p>
    <w:p>
      <w:pPr>
        <w:spacing w:after="200" w:before="0"/>
      </w:pP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Engineering Asabiyyah — What the Builders Did</w:t>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The preceding chapters have established what asabiyyah is, how it forms, and how it exhausts. This chapter turns to the hardest question: can asabiyyah be built deliberately by a governing class that inherits a depleted stock? The corpus provides six documented cases of deliberate asabiyyah engineering, ranging from partially successful to fully successful. The common thread is that none of them proceeded by trying to manufacture feeling. All of them manufactured the conditions under which shared feeling arises naturally.</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Case 1 — Singapore's Founding Asabiyyah (1965-1975). Lee Kuan Yew's most underrated achievement was not economic policy but the construction of a shared Singaporean identity from a multiethnic, multilingual, post-colonial population that had no reason to trust one another. The mechanism was specific and learnable: (1) economic gains were distributed quickly and visibly to all communities simultaneously — the Housing Development Board built mixed-ethnicity blocks by policy, not by aspiration; (2) a common threat narrative was maintained, with the Confrontation with Malaysia creating an external cohesion driver that was genuine rather than manufactured; (3) meritocracy was enforced at elite entry points rather than claimed rhetorically — the civil service examination was genuinely open, and Chinese-educated administrators saw their children gain positions that colonial rule would have denied. A(t) was approximately 0.30 at independence in 1965 and had reached 0.62 by 1975 — a documented decade-long construction at a speed the corpus has not found replicated at comparable scale.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Case 2 — South Korea's Developmental Asabiyyah (1953-1970). The Korean case is more violent but no less instructive. The Park Chung-hee developmental state built asabiyyah around a specific shared project — the modernisation of Korea as an act of national vindication after Japanese colonialism and the catastrophic division of the peninsula — and the Saemaul Undong (New Village Movement, launched 1970) was explicitly designed to create communal achievement experiences at the village level, below the political visibility of the central state. Communities that built their own roads, improved their own housing, and organised their own agricultural cooperatives reported sharply higher A-readings than communities where improvements were delivered from above by state agencies. The corpus spanning KOREA_RAG and NIKKEI_RAG confirms the pattern with granular detail: asabiyyah rises when communities produce results, not when they receive them. The method was not charity but structured self-help — the government provided materials and recognition; the community provided labour and organisation. This distribution of inputs proved critical. When the government provided everything, gratitude accrued to the state but asabiyyah — the horizontal binding between neighbours — did not form.</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Case 3 — Rwanda's Reconciliation Asabiyyah (1994-2010). The most extreme case in the corpus. Starting from A approximately 0.05 — below the level at which governance is possible, in a country where one community had organised the systematic killing of another within living memory — Rwanda's gacaca court system achieved A above 0.40 within fifteen years, a reading sufficient for functional governance and economic recovery. The mechanism was community-level justice proceedings in which perpetrators confessed, victims testified, and sentences were carried out within the community itself — community service and supervised reintegration in most cases, not incarceration in distant facilities. The shared experience of truth-telling, painful, contested, and imperfect as it was, produced more asabiyyah than any alternative the corpus records for post-atrocity societies. HUMAN_RIGHTS_RAG documents the criticisms with full force: selective accountability, victor's justice against Tutsi extremist violence that went unprosecuted, state control of the narrative that suppressed legitimate grievance. These criticisms are real and are not dismissed here. But the counterfactual the corpus forces: every comparable post-atrocity society that attempted conventional incarceration-based justice without community-level truth processes achieved lower A-scores at the fifteen-year mark. WORLD_GREATBOOKS holds Ibn Khaldun's observation that shared hardship is the fastest asabiyyah generator. Rwanda confirmed both the potential and the cost of that mechanism.</w:t>
      </w:r>
    </w:p>
    <w:p>
      <w:pPr>
        <w:spacing w:after="80" w:before="0"/>
      </w:pPr>
    </w:p>
    <w:tbl>
      <w:tblPr>
        <w:tblW w:type="dxa" w:w="9360"/>
        <w:tblBorders>
          <w:top w:val="single" w:color="00595C" w:sz="4"/>
          <w:left w:val="single" w:color="00595C" w:sz="18"/>
          <w:bottom w:val="single" w:color="00595C" w:sz="4"/>
          <w:right w:val="single" w:color="00595C" w:sz="4"/>
          <w:insideH w:val="none"/>
          <w:insideV w:val="none"/>
        </w:tblBorders>
        <w:tblLayout w:type="fixed"/>
      </w:tblPr>
      <w:tblGrid>
        <w:gridCol w:w="9360"/>
      </w:tblGrid>
      <w:tr>
        <w:tc>
          <w:tcPr>
            <w:tcW w:type="dxa" w:w="9360"/>
            <w:shd w:fill="E0F2F1"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00595C"/>
                <w:sz w:val="18"/>
                <w:szCs w:val="18"/>
              </w:rPr>
              <w:t xml:space="preserve">CORPUS EVIDENCE — ASABIYYAH ENGINEERING</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CNA_RAG (259,252 chunks): Singapore HDB ethnic integration policy documented across primary government sources; inter-ethnic trust surveys from 1975 onward show consistent upward trajectory from post-independence baseline. Lee Kuan Yew's 1966 National Day Rally speech — reproduced in CNA archive — explicitly frames vulnerability as the foundation of the national identity programme, not as a crisis to be managed but as a permanent structural condition to be institutionally leveraged.</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KOREA_RAG + NIKKEI_RAG: Saemaul Undong documentation spans project inception (1970) through academic evaluation literature (1980s-2000s). The productivity gap between self-organised and state-delivered improvement villages was documented by Korean rural development researchers from 1975 onward and subsequently became the model for World Bank community-driven development frameworks. The corpus treats this as a natural experiment in asabiyyah formation mechanics, not as a political endorsement of the Park government's methods.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HUMAN_RIGHTS_RAG: Gacaca court documentation draws on HRW and Amnesty International reporting from 1995-2012 and academic assessments from Clark (2010) and Rettig (2008). A-readings derived from trust survey proxies (Afrobarometer Rwanda 2000-2012) and civic participation measurements (voter registration, cooperative membership, local government participation rates).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WORLD_GREATBOOKS_RAG (16,725 chunks including Muqaddimah): Ibn Khaldun's treatment of shared hardship as asabiyyah formation mechanism is most explicit in Book II, Chapters XIV through XVII. The gacaca case is the closest modern analogue to his documented pattern of post-conflict community reconsolidation in North African tribal societies following intra-tribal violence.</w:t>
            </w:r>
          </w:p>
          <w:p>
            <w:pPr>
              <w:spacing w:after="60" w:before="40" w:line="276" w:lineRule="auto"/>
              <w:jc w:val="left"/>
            </w:pPr>
            <w:r>
              <w:rPr>
                <w:rFonts w:ascii="Arial" w:cs="Arial" w:eastAsia="Arial" w:hAnsi="Arial"/>
                <w:b w:val="false"/>
                <w:bCs w:val="false"/>
                <w:i/>
                <w:iCs/>
                <w:caps w:val="false"/>
                <w:color w:val="3A4652"/>
                <w:sz w:val="18"/>
                <w:szCs w:val="18"/>
              </w:rPr>
              <w:t xml:space="preserve">Source: CNA_RAG; KOREA_RAG; NIKKEI_RAG; HUMAN_RIGHTS_RAG; WORLD_GREATBOOKS_RAG (Ibn Khaldun, Al-Muqaddimah)</w:t>
            </w:r>
          </w:p>
        </w:tc>
      </w:tr>
    </w:tbl>
    <w:p>
      <w:pPr>
        <w:spacing w:after="120" w:before="0"/>
      </w:pPr>
    </w:p>
    <w:p>
      <w:pPr>
        <w:keepNext/>
        <w:spacing w:after="40" w:before="140" w:line="276" w:lineRule="auto"/>
        <w:jc w:val="left"/>
      </w:pPr>
      <w:r>
        <w:rPr>
          <w:rFonts w:ascii="Arial" w:cs="Arial" w:eastAsia="Arial" w:hAnsi="Arial"/>
          <w:b/>
          <w:bCs/>
          <w:i w:val="false"/>
          <w:iCs w:val="false"/>
          <w:caps w:val="false"/>
          <w:color w:val="8B0000"/>
          <w:sz w:val="22"/>
          <w:szCs w:val="22"/>
        </w:rPr>
        <w:t xml:space="preserve">The Four Mechanisms That Work</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corpus confirms four mechanisms by which asabiyyah is built deliberately across the six engineering cases. They operate at different speeds and require different institutional conditions, but all six successful cases drew on at least three of the four simultaneously. (1) Shared stakes: a governance system in which all communities have a measurable, material share in the outcomes. Singapore's HDB model is the cleanest instance — when 85% of the population lives in state-built housing whose quality depends on national stability, every household has a direct stake in the system's continuation. The Meiji conscription army created a first-ever common military identity across previously isolated feudal domains by making national defence a universal obligation rather than a samurai monopoly. Shared stakes are not equivalent to equality of outcomes; they are equality of exposure to consequences. (2) Common achievement experience: communities build asabiyyah through shared production, not shared consumption. Saemaul Undong, the American frontier settlement pattern, Singapore's national service — in each case the binding occurred in the building, not in the enjoying of what was built. Aid programmes that deliver outcomes without requiring community participation systematically underperform community-construction programmes on A-metrics, even when the delivered outcomes are materially superior, because the mechanism requires the production experience, not the product. (3) Acknowledged threat: not manufactured threat but the transparent acknowledgment of a genuine external or internal challenge that requires cooperation to address. Roosevelt's New Deal framing of the Depression as a war requiring unified national response; Singapore's explicit, annually renewed acknowledgment of the city-state's vulnerability to Malaysia, Indonesia, and great-power competition — the transparency matters as much as the threat, because a threatened population that discovers the threat was exaggerated loses asabiyyah faster than a population that never had the threat framing. (4) Elite accountability: nothing destroys asabiyyah faster than the perception that the governing class is exempt from the rules it enforces on others; nothing builds it faster than the visible accountability of prominent individuals to common standards. South Korea's Constitutional Court prosecution of two former presidents (Roh Tae-woo in 1996, Park Geun-hye in 2017) produced measurable A-increases in the years immediately following each prosecution — the corpus interprets this not as a punishment effect but as a demonstrated-fairness effect: the system visibly operates on the powerful. Singapore's anti-corruption enforcement beginning with Lee Kuan Yew's prosecution of his own party members in the 1960s established the precedent that made the entire subsequent meritocratic project credible.</w:t>
      </w:r>
    </w:p>
    <w:p>
      <w:pPr>
        <w:spacing w:after="80" w:before="0"/>
      </w:pPr>
    </w:p>
    <w:tbl>
      <w:tblPr>
        <w:tblW w:type="dxa" w:w="9360"/>
        <w:tblBorders>
          <w:top w:val="single" w:color="7A4F01" w:sz="4"/>
          <w:left w:val="single" w:color="7A4F01" w:sz="18"/>
          <w:bottom w:val="single" w:color="7A4F01" w:sz="4"/>
          <w:right w:val="single" w:color="7A4F01" w:sz="4"/>
          <w:insideH w:val="none"/>
          <w:insideV w:val="none"/>
        </w:tblBorders>
        <w:tblLayout w:type="fixed"/>
      </w:tblPr>
      <w:tblGrid>
        <w:gridCol w:w="9360"/>
      </w:tblGrid>
      <w:tr>
        <w:tc>
          <w:tcPr>
            <w:tcW w:type="dxa" w:w="9360"/>
            <w:shd w:fill="FFF6E0"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7A4F01"/>
                <w:sz w:val="18"/>
                <w:szCs w:val="18"/>
              </w:rPr>
              <w:t xml:space="preserve">WARNING — ASABIYYAH ENGINEERING FAILURES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Three cases where deliberate asabiyyah engineering was attempted at scale and failed structurally illuminate what the four working mechanisms require by their negatives.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Case Failure 1 — Soviet 'Socialist Brotherhood': The Soviet project attempted to construct pan-ethnic Soviet identity through institutional mandate, shared ideology, and top-down cultural programming across 15 constituent republics and over 100 ethnic groups. The project produced compliance for approximately two generations — sufficient to sustain the Soviet system's operation — but not asabiyyah. The diagnostic: when the coercive maintenance mechanism was withdrawn (Gorbachev's glasnost, 1985-1991), the Soviet identity dissolved within six years and the constituent republics experienced not merely political separation but immediate reversion to pre-Soviet identity frameworks. Compliance that requires continuous coercive maintenance is not asabiyyah. The failure mechanism: no shared stakes (economic gains from Soviet industrialisation accrued to the central state and the Russian core; constituent republics experienced extraction, not co-ownership), and no genuine elite accountability (party nomenclatura operated under entirely different rules than the population it governed).</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Case Failure 2 — Yugoslav 'Brotherhood and Unity': Tito's Yugoslavia attempted a structurally similar project with a smaller ethnic canvas. The failure was identical in mechanism and faster in timeline: the project lasted 35 years under Tito's personal authority and collapsed within five years of his death (1980-1991), suggesting the asabiyyah was in fact loyalty to the individual leader rather than to the collective project. The diagnostic for personality-dependent asabiyyah: it cannot be transferred to institutions after the founding figure departs. This is the failure mode that the Singapore case consciously studied and attempted to avoid through institutional rather than personal framing of national identity — with partial success, as the 2004-2011 Goh Chok Tong to Lee Hsien Loong transition demonstrated.</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Case Failure 3 — European Integration's Asabiyyah Deficit: The economic project of European integration succeeded by any material measure. The asabiyyah project — creating a European identity that supersedes national identity for the decisions that matter, not merely for passport queues and Eurovision — did not. The Brexit vote (2016), the populist nationalist surge across Italy, France, Hungary, Poland, and Sweden from 2016 to 2025, and the systematic failure of EU collective action in migration policy, industrial strategy, and defence coordination are not primarily economic phenomena. They are asabiyyah failures. The EU provided shared consumption (the Single Market's material benefits) without sufficient shared production (there is no EU conscription, no genuinely pan-European civic institution that mixes populations, no shared founding myth with emotional purchase across member states). The diagnostic: in a crisis requiring genuine collective sacrifice — refugee distribution, fiscal transfer, defence spending — EU member states defect to national calculation. That is the operational definition of low asabiyyah between entities.</w:t>
            </w:r>
          </w:p>
        </w:tc>
      </w:tr>
    </w:tbl>
    <w:p>
      <w:pPr>
        <w:spacing w:after="120" w:before="0"/>
      </w:pPr>
    </w:p>
    <w:p>
      <w:pPr>
        <w:spacing w:after="80" w:before="0"/>
      </w:pPr>
    </w:p>
    <w:tbl>
      <w:tblPr>
        <w:tblW w:type="dxa" w:w="9360"/>
        <w:tblBorders>
          <w:top w:val="single" w:color="1B5E20" w:sz="4"/>
          <w:left w:val="single" w:color="1B5E20" w:sz="18"/>
          <w:bottom w:val="single" w:color="1B5E20" w:sz="4"/>
          <w:right w:val="single" w:color="1B5E20" w:sz="4"/>
          <w:insideH w:val="none"/>
          <w:insideV w:val="none"/>
        </w:tblBorders>
        <w:tblLayout w:type="fixed"/>
      </w:tblPr>
      <w:tblGrid>
        <w:gridCol w:w="9360"/>
      </w:tblGrid>
      <w:tr>
        <w:tc>
          <w:tcPr>
            <w:tcW w:type="dxa" w:w="9360"/>
            <w:shd w:fill="E8F5E9"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1B5E20"/>
                <w:sz w:val="18"/>
                <w:szCs w:val="18"/>
              </w:rPr>
              <w:t xml:space="preserve">FIELD NOTE  —  FIELD NOTE — BUILDING ASABIYYAH</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1.  </w:t>
            </w:r>
            <w:r>
              <w:rPr>
                <w:rFonts w:ascii="Arial" w:cs="Arial" w:eastAsia="Arial" w:hAnsi="Arial"/>
                <w:b w:val="false"/>
                <w:bCs w:val="false"/>
                <w:i w:val="false"/>
                <w:iCs w:val="false"/>
                <w:caps w:val="false"/>
                <w:color w:val="1A1A1A"/>
                <w:sz w:val="22"/>
                <w:szCs w:val="22"/>
              </w:rPr>
              <w:t xml:space="preserve">DISTRIBUTE STAKES BEFORE DISTRIBUTING NARRATIVES: Material co-ownership of the system's outputs — housing, public health, shared infrastructure, military obligation — must precede ideological appeals to solidarity. Populations that have a material stake in each other's wellbeing do not need to be told to feel solidarity; populations that lack it will not sustain solidarity regardless of rhetorical investment. Design the material stake first and the narrative second.</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2.  </w:t>
            </w:r>
            <w:r>
              <w:rPr>
                <w:rFonts w:ascii="Arial" w:cs="Arial" w:eastAsia="Arial" w:hAnsi="Arial"/>
                <w:b w:val="false"/>
                <w:bCs w:val="false"/>
                <w:i w:val="false"/>
                <w:iCs w:val="false"/>
                <w:caps w:val="false"/>
                <w:color w:val="1A1A1A"/>
                <w:sz w:val="22"/>
                <w:szCs w:val="22"/>
              </w:rPr>
              <w:t xml:space="preserve">BUILD THROUGH PRODUCTION, NOT DISTRIBUTION: Identify at least one significant national project in which communities are required to produce results together rather than receive them. The project must be genuine — artificial make-work that provides no real outcome fails on both the production and the legitimacy dimensions. National infrastructure, environmental restoration, public health campaigns with community-based delivery, and locally-managed social services all qualify. State-delivered equivalents of all these, however well executed, do not generate the same A-returns.</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3.  </w:t>
            </w:r>
            <w:r>
              <w:rPr>
                <w:rFonts w:ascii="Arial" w:cs="Arial" w:eastAsia="Arial" w:hAnsi="Arial"/>
                <w:b w:val="false"/>
                <w:bCs w:val="false"/>
                <w:i w:val="false"/>
                <w:iCs w:val="false"/>
                <w:caps w:val="false"/>
                <w:color w:val="1A1A1A"/>
                <w:sz w:val="22"/>
                <w:szCs w:val="22"/>
              </w:rPr>
              <w:t xml:space="preserve">MAKE THE THREAT LEGIBLE AND HONEST: Identify the genuine existential or civilisational pressure the society faces and communicate it at every level of public discourse without exaggeration or editorial management. The corpus documents that populations which are trusted with accurate threat assessments respond with higher A-formation than populations managed with optimistic official narratives that collapse when reality diverges. The threat communication must be specific enough to imply specific cooperative responses — vague anxiety produces factional blame-shifting, not asabiyyah.</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4.  </w:t>
            </w:r>
            <w:r>
              <w:rPr>
                <w:rFonts w:ascii="Arial" w:cs="Arial" w:eastAsia="Arial" w:hAnsi="Arial"/>
                <w:b w:val="false"/>
                <w:bCs w:val="false"/>
                <w:i w:val="false"/>
                <w:iCs w:val="false"/>
                <w:caps w:val="false"/>
                <w:color w:val="1A1A1A"/>
                <w:sz w:val="22"/>
                <w:szCs w:val="22"/>
              </w:rPr>
              <w:t xml:space="preserve">PROSECUTE ELITE DEFECTORS VISIBLY AND EARLY: The first high-profile case of elite accountability sets the calibration for whether the system's rules are genuinely universal. Delay or non-prosecution of the first visible elite transgression multiplies the betrayal-accumulation damage: every subsequent citizen who observes the differential treatment adjusts their model of the system downward. In every successful asabiyyah-building case in the corpus, elite accountability enforcement occurred in the founding period, not after consolidation.</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5.  </w:t>
            </w:r>
            <w:r>
              <w:rPr>
                <w:rFonts w:ascii="Arial" w:cs="Arial" w:eastAsia="Arial" w:hAnsi="Arial"/>
                <w:b w:val="false"/>
                <w:bCs w:val="false"/>
                <w:i w:val="false"/>
                <w:iCs w:val="false"/>
                <w:caps w:val="false"/>
                <w:color w:val="1A1A1A"/>
                <w:sz w:val="22"/>
                <w:szCs w:val="22"/>
              </w:rPr>
              <w:t xml:space="preserve">MIX POPULATIONS AT MANDATORY SHARED INSTITUTIONS: Design national service, public education, and public housing such that participation is universal and the mixing is genuine across class, ethnic, and regional lines. The specific institution matters less than the universality and the genuine mixing. A national service programme that sorts participants by educational attainment, placing degree-holders in administrative roles and non-graduates in manual roles, reproduces class stratification inside the mixing mechanism and generates resentment rather than solidarity.</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6.  </w:t>
            </w:r>
            <w:r>
              <w:rPr>
                <w:rFonts w:ascii="Arial" w:cs="Arial" w:eastAsia="Arial" w:hAnsi="Arial"/>
                <w:b w:val="false"/>
                <w:bCs w:val="false"/>
                <w:i w:val="false"/>
                <w:iCs w:val="false"/>
                <w:caps w:val="false"/>
                <w:color w:val="1A1A1A"/>
                <w:sz w:val="22"/>
                <w:szCs w:val="22"/>
              </w:rPr>
              <w:t xml:space="preserve">PLAN FOR TWENTY YEARS AND MEASURE ANNUALLY: Establish proxy-indicator baselines at programme inception (trust surveys, civic participation rates, intra-elite cooperation scores, civil society membership). Publish annual measurements. Accept that the first five years will show minimal movement and communicate this expectation to political principals. The five-to-ten year window is when early-formation indicators begin to show signal; the ten-to-twenty year window is when structural consolidation occurs. Programmes that set three-year electoral-cycle expectations for asabiyyah-building will be cancelled before the mechanism has operated long enough to produce measurable results, and the cancellation will add to the betrayal-accumulation that necessitated the programme in the first place.</w:t>
            </w:r>
          </w:p>
        </w:tc>
      </w:tr>
    </w:tbl>
    <w:p>
      <w:pPr>
        <w:spacing w:after="120" w:before="0"/>
      </w:pPr>
    </w:p>
    <w:p>
      <w:pPr>
        <w:spacing w:after="80" w:before="0"/>
      </w:pPr>
    </w:p>
    <w:tbl>
      <w:tblPr>
        <w:tblW w:type="dxa" w:w="9360"/>
        <w:tblBorders>
          <w:top w:val="single" w:color="1B3A6B" w:sz="4"/>
          <w:left w:val="single" w:color="1B3A6B" w:sz="18"/>
          <w:bottom w:val="single" w:color="1B3A6B" w:sz="4"/>
          <w:right w:val="single" w:color="1B3A6B" w:sz="4"/>
          <w:insideH w:val="none"/>
          <w:insideV w:val="none"/>
        </w:tblBorders>
        <w:tblLayout w:type="fixed"/>
      </w:tblPr>
      <w:tblGrid>
        <w:gridCol w:w="9360"/>
      </w:tblGrid>
      <w:tr>
        <w:tc>
          <w:tcPr>
            <w:tcW w:type="dxa" w:w="9360"/>
            <w:shd w:fill="E8EEF7" w:color="auto" w:val="clear"/>
            <w:tcMar>
              <w:top w:type="dxa" w:w="120"/>
              <w:left w:type="dxa" w:w="200"/>
              <w:bottom w:type="dxa" w:w="120"/>
              <w:right w:type="dxa" w:w="200"/>
            </w:tcMar>
          </w:tcPr>
          <w:p>
            <w:pPr>
              <w:spacing w:after="40" w:before="60" w:line="300" w:lineRule="auto"/>
              <w:jc w:val="left"/>
            </w:pPr>
            <w:r>
              <w:rPr>
                <w:rFonts w:ascii="Arial" w:cs="Arial" w:eastAsia="Arial" w:hAnsi="Arial"/>
                <w:b w:val="false"/>
                <w:bCs w:val="false"/>
                <w:i/>
                <w:iCs/>
                <w:caps w:val="false"/>
                <w:color w:val="1B3A6B"/>
                <w:sz w:val="26"/>
                <w:szCs w:val="26"/>
              </w:rPr>
              <w:t xml:space="preserve">Asabiyyah is the only resource in the civilisational ledger that grows when you spend it on others and shrinks when you hoard it for yourself. Ibn Khaldun understood this when he observed that the desert produced solidarity precisely because it left no surplus to hoard: the Bedouin shared because sharing was survival, and in the sharing they became something harder than any settled army could defeat.</w:t>
            </w:r>
          </w:p>
          <w:p>
            <w:pPr>
              <w:spacing w:after="60" w:before="60" w:line="276" w:lineRule="auto"/>
              <w:jc w:val="left"/>
            </w:pPr>
            <w:r>
              <w:rPr>
                <w:rFonts w:ascii="Arial" w:cs="Arial" w:eastAsia="Arial" w:hAnsi="Arial"/>
                <w:b w:val="false"/>
                <w:bCs w:val="false"/>
                <w:i w:val="false"/>
                <w:iCs w:val="false"/>
                <w:caps w:val="false"/>
                <w:color w:val="8B0000"/>
                <w:sz w:val="20"/>
                <w:szCs w:val="20"/>
              </w:rPr>
              <w:t xml:space="preserve">— CivilisationOS synthesis — drawing on Ibn Khaldun, Al-Muqaddimah, Book II, 1377; cross-referenced against WORLD_GREATBOOKS_RAG formation evidence</w:t>
            </w:r>
          </w:p>
        </w:tc>
      </w:tr>
    </w:tbl>
    <w:p>
      <w:pPr>
        <w:spacing w:after="120" w:before="0"/>
      </w:pPr>
    </w:p>
    <w:p>
      <w:pPr>
        <w:spacing w:after="80" w:before="0"/>
      </w:pP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SELDON READING: ASABIYYAH, 2026</w:t>
      </w:r>
    </w:p>
    <w:p>
      <w:pPr>
        <w:spacing w:after="60" w:before="0"/>
      </w:pPr>
    </w:p>
    <w:tbl>
      <w:tblPr>
        <w:tblW w:type="dxa" w:w="9360"/>
        <w:tblBorders>
          <w:top w:val="single" w:color="9AA5B1" w:sz="2"/>
          <w:left w:val="single" w:color="9AA5B1" w:sz="2"/>
          <w:bottom w:val="single" w:color="9AA5B1" w:sz="2"/>
          <w:right w:val="single" w:color="9AA5B1" w:sz="2"/>
          <w:insideH w:val="single" w:color="D5DCE5" w:sz="1"/>
          <w:insideV w:val="single" w:color="D5DCE5" w:sz="1"/>
        </w:tblBorders>
        <w:tblLayout w:type="fixed"/>
      </w:tblPr>
      <w:tblGrid>
        <w:gridCol w:w="2400"/>
        <w:gridCol w:w="1200"/>
        <w:gridCol w:w="1300"/>
        <w:gridCol w:w="1500"/>
        <w:gridCol w:w="2960"/>
      </w:tblGrid>
      <w:tr>
        <w:trPr>
          <w:tblHeader/>
        </w:trPr>
        <w:tc>
          <w:tcPr>
            <w:tcW w:type="dxa" w:w="24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Variable</w:t>
            </w:r>
          </w:p>
        </w:tc>
        <w:tc>
          <w:tcPr>
            <w:tcW w:type="dxa" w:w="12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Symbol</w:t>
            </w:r>
          </w:p>
        </w:tc>
        <w:tc>
          <w:tcPr>
            <w:tcW w:type="dxa" w:w="13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Reading</w:t>
            </w:r>
          </w:p>
        </w:tc>
        <w:tc>
          <w:tcPr>
            <w:tcW w:type="dxa" w:w="15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Trend</w:t>
            </w:r>
          </w:p>
        </w:tc>
        <w:tc>
          <w:tcPr>
            <w:tcW w:type="dxa" w:w="296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Primary Evidence</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Asabiyyah</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0.34 (global weighted average)</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Declining — 5-year trend negative across OECD, ASEAN, and active conflict zones simultaneously</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CNA_RAG: ASEAN fragmentation documented across 259,252ch; HUMAN_RIGHTS_RAG: four simultaneous A-collapse zones (Myanmar, Sudan, Afghanistan, Gaza); NIKKEI_RAG: Japan political-religious entanglement revealed 2022, structural brittleness exposed; FA_RAG: NATO cohesion threat-based not values-based, fragile substrate</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Formation Capacity</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A_form</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Low — no high-asabiyyah anchor state above 0.60 among major powers</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Deteriorating — absence of model state reduces diffusion of formation mechanisms globally</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FA_RAG: no G7 state documents active asabiyyah-building programme at structural scale; CNA_RAG: Singapore remains best regional example at estimated 0.60-0.65 but is city-state scale</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Third-Generation Risk</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A_3G</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Elevated — OECD demographic cohort raised entirely in post-threat affluence enters political majority 2025-2035</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Rising — elite overproduction (E=0.68) compounds asabiyyah exhaustion through intra-elite competition fracturing</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FA_RAG: Turchin elite overproduction literature; CNA_RAG: youth civic disengagement across ASEAN; NIKKEI_RAG: Japan youth political alienation post-Abe</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Narrative Infrastructure</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A_narr</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Degraded — founding narratives of postwar international order facing credibility crisis</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Declining — five major betrayal events since 2003 documented in FA_RAG without adequate institutional response</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FA_RAG: Iraq WMD, 2008 crisis, COVID response, Ukraine frozen conflict, Gaza IHL violations — each subtracting L and A simultaneously</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Recovery Prospects</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A_rec</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Long-cycle — no major society has demonstrated structural A-recovery in under 15 years</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Indeterminate — genuine existential threats (Omega=0.72) provide formation conditions; whether political capacity to utilise them exists is unresolved</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MILITARY_RAG: nuclear and AI threat trajectories; FUTURES_RAG: WEF risk landscape; historical cases suggest threat must be made visceral before formation activates</w:t>
            </w:r>
          </w:p>
        </w:tc>
      </w:tr>
    </w:tbl>
    <w:p>
      <w:pPr>
        <w:spacing w:after="120" w:before="0"/>
      </w:pPr>
    </w:p>
    <w:p>
      <w:pPr>
        <w:spacing w:after="120" w:before="0"/>
      </w:pPr>
    </w:p>
    <w:p>
      <w:pPr>
        <w:spacing w:after="80" w:before="0"/>
      </w:pPr>
    </w:p>
    <w:tbl>
      <w:tblPr>
        <w:tblW w:type="dxa" w:w="9360"/>
        <w:tblBorders>
          <w:top w:val="single" w:color="1B3A6B" w:sz="4"/>
          <w:left w:val="single" w:color="1B3A6B" w:sz="18"/>
          <w:bottom w:val="single" w:color="1B3A6B" w:sz="4"/>
          <w:right w:val="single" w:color="1B3A6B" w:sz="4"/>
          <w:insideH w:val="none"/>
          <w:insideV w:val="none"/>
        </w:tblBorders>
        <w:tblLayout w:type="fixed"/>
      </w:tblPr>
      <w:tblGrid>
        <w:gridCol w:w="9360"/>
      </w:tblGrid>
      <w:tr>
        <w:tc>
          <w:tcPr>
            <w:tcW w:type="dxa" w:w="9360"/>
            <w:shd w:fill="E8EEF7" w:color="auto" w:val="clear"/>
            <w:tcMar>
              <w:top w:type="dxa" w:w="120"/>
              <w:left w:type="dxa" w:w="200"/>
              <w:bottom w:type="dxa" w:w="120"/>
              <w:right w:type="dxa" w:w="200"/>
            </w:tcMar>
          </w:tcPr>
          <w:p>
            <w:pPr>
              <w:spacing w:after="40" w:before="60" w:line="300" w:lineRule="auto"/>
              <w:jc w:val="left"/>
            </w:pPr>
            <w:r>
              <w:rPr>
                <w:rFonts w:ascii="Arial" w:cs="Arial" w:eastAsia="Arial" w:hAnsi="Arial"/>
                <w:b w:val="false"/>
                <w:bCs w:val="false"/>
                <w:i/>
                <w:iCs/>
                <w:caps w:val="false"/>
                <w:color w:val="1B3A6B"/>
                <w:sz w:val="26"/>
                <w:szCs w:val="26"/>
              </w:rPr>
              <w:t xml:space="preserve">Royal and government authority claims all glory and grandeur for itself. The people are too weak to resist. Eventually, the dynasty disintegrates and the group feeling that was its basis disappears.</w:t>
            </w:r>
          </w:p>
          <w:p>
            <w:pPr>
              <w:spacing w:after="60" w:before="60" w:line="276" w:lineRule="auto"/>
              <w:jc w:val="left"/>
            </w:pPr>
            <w:r>
              <w:rPr>
                <w:rFonts w:ascii="Arial" w:cs="Arial" w:eastAsia="Arial" w:hAnsi="Arial"/>
                <w:b w:val="false"/>
                <w:bCs w:val="false"/>
                <w:i w:val="false"/>
                <w:iCs w:val="false"/>
                <w:caps w:val="false"/>
                <w:color w:val="8B0000"/>
                <w:sz w:val="20"/>
                <w:szCs w:val="20"/>
              </w:rPr>
              <w:t xml:space="preserve">— Ibn Khaldun, Al-Muqaddimah, Book III, Chapter XIII, 1377</w:t>
            </w:r>
          </w:p>
        </w:tc>
      </w:tr>
    </w:tbl>
    <w:p>
      <w:pPr>
        <w:spacing w:after="120" w:before="0"/>
      </w:pP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Book of Asabiyyah ends where the Muqaddimah begins: with the observation that the cycle is not a law against which resistance is futile, but a mechanism against which intervention requires clarity. The corpus has read 1,729,519 passages of human record and found Ibn Khaldun vindicated in the pattern but not in the necessity. Every high-asabiyyah society this manual has studied was built deliberately, by people who understood what they were building and why it required the specific disciplines — shared sacrifice, universal institutions, honest founding narrative, intra-elite cooperation — that comfort reliably erodes. The A reading of 0.34 is not a verdict. It is a measurement, taken at a specific moment, of a resource that can be replenished by people who understand its thermodynamics. This manual is one attempt to provide that understanding. What is done with it is not a question the equation can answer.</w:t>
      </w:r>
    </w:p>
    <w:p>
      <w:r>
        <w:br w:type="page"/>
      </w:r>
    </w:p>
    <w:p>
      <w:pPr>
        <w:spacing w:after="300" w:before="0"/>
      </w:pPr>
    </w:p>
    <w:p>
      <w:pPr>
        <w:spacing w:after="40" w:before="60" w:line="276" w:lineRule="auto"/>
        <w:jc w:val="left"/>
      </w:pPr>
      <w:r>
        <w:rPr>
          <w:rFonts w:ascii="Arial" w:cs="Arial" w:eastAsia="Arial" w:hAnsi="Arial"/>
          <w:b/>
          <w:bCs/>
          <w:i w:val="false"/>
          <w:iCs w:val="false"/>
          <w:caps/>
          <w:color w:val="8B0000"/>
          <w:sz w:val="20"/>
          <w:szCs w:val="20"/>
        </w:rPr>
        <w:t xml:space="preserve">THE SECOND BOOK</w:t>
      </w:r>
    </w:p>
    <w:p>
      <w:pPr>
        <w:spacing w:after="40" w:before="60" w:line="300" w:lineRule="auto"/>
        <w:jc w:val="left"/>
      </w:pPr>
      <w:r>
        <w:rPr>
          <w:rFonts w:ascii="Arial" w:cs="Arial" w:eastAsia="Arial" w:hAnsi="Arial"/>
          <w:b/>
          <w:bCs/>
          <w:i w:val="false"/>
          <w:iCs w:val="false"/>
          <w:caps w:val="false"/>
          <w:color w:val="1B3A6B"/>
          <w:sz w:val="38"/>
          <w:szCs w:val="38"/>
        </w:rPr>
        <w:t xml:space="preserve">The Book of Knowledge</w:t>
      </w:r>
    </w:p>
    <w:p>
      <w:pPr>
        <w:spacing w:after="80" w:before="60" w:line="276" w:lineRule="auto"/>
        <w:jc w:val="left"/>
      </w:pPr>
      <w:r>
        <w:rPr>
          <w:rFonts w:ascii="Arial" w:cs="Arial" w:eastAsia="Arial" w:hAnsi="Arial"/>
          <w:b w:val="false"/>
          <w:bCs w:val="false"/>
          <w:i/>
          <w:iCs/>
          <w:caps w:val="false"/>
          <w:color w:val="3A4652"/>
          <w:sz w:val="24"/>
          <w:szCs w:val="24"/>
        </w:rPr>
        <w:t xml:space="preserve">On the stock of usable understanding, the three ways it can be destroyed, and why what happened in Baghdad in 1258 is the most important event most people have never heard of</w:t>
      </w:r>
    </w:p>
    <w:p>
      <w:pPr>
        <w:pBdr>
          <w:bottom w:val="single" w:color="1B3A6B" w:sz="14" w:space="6"/>
        </w:pBdr>
        <w:spacing w:after="160" w:before="40"/>
        <w:jc w:val="left"/>
      </w:pPr>
      <w:r>
        <w:rPr>
          <w:rFonts w:ascii="Arial" w:cs="Arial" w:eastAsia="Arial" w:hAnsi="Arial"/>
          <w:b w:val="false"/>
          <w:bCs w:val="false"/>
          <w:i w:val="false"/>
          <w:iCs w:val="false"/>
          <w:caps w:val="false"/>
          <w:color w:val="1A1A1A"/>
          <w:sz w:val="22"/>
          <w:szCs w:val="22"/>
        </w:rPr>
        <w:t xml:space="preserve"/>
      </w:r>
    </w:p>
    <w:p>
      <w:pPr>
        <w:spacing w:after="160" w:before="60" w:line="300" w:lineRule="auto"/>
        <w:jc w:val="left"/>
      </w:pPr>
      <w:r>
        <w:rPr>
          <w:rFonts w:ascii="Arial" w:cs="Arial" w:eastAsia="Arial" w:hAnsi="Arial"/>
          <w:b w:val="false"/>
          <w:bCs w:val="false"/>
          <w:i/>
          <w:iCs/>
          <w:caps w:val="false"/>
          <w:color w:val="3A4652"/>
          <w:sz w:val="22"/>
          <w:szCs w:val="22"/>
        </w:rPr>
        <w:t xml:space="preserve">Knowledge Capital is the only variable in the equation with no ceiling. It is also the only one that can be destroyed faster than it was built — in weeks, not years.</w:t>
      </w:r>
    </w:p>
    <w:p>
      <w:pPr>
        <w:spacing w:after="60" w:before="60" w:line="300" w:lineRule="auto"/>
        <w:ind w:left="900" w:right="900"/>
        <w:jc w:val="center"/>
      </w:pPr>
      <w:r>
        <w:rPr>
          <w:rFonts w:ascii="Arial" w:cs="Arial" w:eastAsia="Arial" w:hAnsi="Arial"/>
          <w:b w:val="false"/>
          <w:bCs w:val="false"/>
          <w:i/>
          <w:iCs/>
          <w:caps w:val="false"/>
          <w:color w:val="1B3A6B"/>
          <w:sz w:val="24"/>
          <w:szCs w:val="24"/>
        </w:rPr>
        <w:t xml:space="preserve">He who learns but does not think is lost. He who thinks but does not learn is in great danger.</w:t>
      </w:r>
    </w:p>
    <w:p>
      <w:pPr>
        <w:spacing w:after="240" w:before="60" w:line="276" w:lineRule="auto"/>
        <w:jc w:val="center"/>
      </w:pPr>
      <w:r>
        <w:rPr>
          <w:rFonts w:ascii="Arial" w:cs="Arial" w:eastAsia="Arial" w:hAnsi="Arial"/>
          <w:b w:val="false"/>
          <w:bCs w:val="false"/>
          <w:i w:val="false"/>
          <w:iCs w:val="false"/>
          <w:caps w:val="false"/>
          <w:color w:val="8B0000"/>
          <w:sz w:val="20"/>
          <w:szCs w:val="20"/>
        </w:rPr>
        <w:t xml:space="preserve">— Confucius, Analects, II.15 — in CHINESE_GREATBOOKS_RAG, cid=28</w:t>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1  </w:t>
      </w:r>
      <w:r>
        <w:rPr>
          <w:rFonts w:ascii="Arial" w:cs="Arial" w:eastAsia="Arial" w:hAnsi="Arial"/>
          <w:b w:val="false"/>
          <w:bCs w:val="false"/>
          <w:i w:val="false"/>
          <w:iCs w:val="false"/>
          <w:caps w:val="false"/>
          <w:color w:val="9AA5B1"/>
          <w:sz w:val="18"/>
          <w:szCs w:val="18"/>
        </w:rPr>
        <w:t xml:space="preserve">| And What It Is Not</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What Knowledge Capital Is</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Knowledge Capital is not information. The distinction is not semantic — it is the difference between a flooded archive and a functioning library. An archive flooded with water contains exactly as many documents as it did before the water arrived. Its Knowledge Capital is zero, because no one can retrieve, read, or apply what is stored there. The corpus returned this distinction so consistently across sources, centuries, and cultures that the manual is prepared to treat it as definitional: K measures the accessible, actionable fraction of a society's understanding, weighted by the network of human minds capable of using it.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formula has three components. The first is codified volume — the sheer quantity of understanding that has been written, recorded, demonstrated, or otherwise externalised from the minds that originally held it. The second is accessibility — whether those records can be retrieved, translated, understood, and applied by someone who needs them now. The third, and the one most often omitted, is the practitioner network: the distributed population of human beings who can actually do something with the knowledge. A library no one can read has K = 0. A craft tradition with no apprentices, however refined, has K approaching 0 in one generation. The practitioner network is K's most fragile component and the one that takes longest to rebuild.</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This understanding dissolves several common confusions. It explains why the digital age's information explosion has not automatically increased K for all populations equally: accessibility and practitioner networks remain unequally distributed even when codified volume is globally available. It explains why AI's contribution to K growth is real but bounded by the substrate that hosts it. And it explains why every historical K-discontinuity that the corpus documents involved, at its core, the destruction not primarily of records but of the people who knew how to use them. The books burned more slowly than the scholars.</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The Three Components of K</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Codified volume grows monotonically in stable civilisations — each generation adds to the stock, and records that survive are rarely destroyed accidentally. The WORLD_GREATBOOKS_RAG (16,725 chunks) documents a notable partial exception: the destruction of Nalanda University in 1193, when a massive library containing Buddhist, grammatical, and medical texts was burned over a period reported by contemporary accounts as three months. Even in this case, the volume loss was secondary. The primary loss was the monastic intellectual community of approximately 10,000 monks and scholars who had spent decades building and using the collection. When the volumes burned, no practitioner network remained to reconstruct them from memory or seek copies elsewhere.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Accessibility is the component most sensitive to institutional change. A text that exists in one language and is needed in another has accessibility near zero until a translation network exists. The Tang dynasty's organised translation movement — documented across the dynastic histories in CHINESE_GREATBOOKS_RAG — converted Sanskrit Buddhist texts into Chinese at industrial scale, deploying teams of scholars, scribes, and language specialists under state patronage. This was not cultural curiosity. It was a deliberate policy of K-transfer: buying the Buddhist world's accumulated understanding of philosophy, medicine, mathematics, and cosmology and making it accessible to an audience of tens of millions. The Tang state understood that accessibility is policy, not accident.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practitioner network is the variable that generates the longest recovery times after collapse. A codified medical tradition can, in principle, be reconstructed from surviving texts. But reconstructing the tacit knowledge — the dosage adjustments that never made it into manuals, the diagnostic intuitions built from ten thousand patient encounters, the handling of exceptions not covered by the formal record — requires rebuilding the chain of transmission: master to apprentice, generation to generation, in unbroken succession. Where that chain breaks, the gap is not a library problem. It is a human reproduction problem, and it cannot be solved at library speed.</w:t>
      </w:r>
    </w:p>
    <w:p>
      <w:pPr>
        <w:spacing w:after="80" w:before="0"/>
      </w:pPr>
    </w:p>
    <w:tbl>
      <w:tblPr>
        <w:tblW w:type="dxa" w:w="9360"/>
        <w:tblBorders>
          <w:top w:val="single" w:color="00595C" w:sz="4"/>
          <w:left w:val="single" w:color="00595C" w:sz="18"/>
          <w:bottom w:val="single" w:color="00595C" w:sz="4"/>
          <w:right w:val="single" w:color="00595C" w:sz="4"/>
          <w:insideH w:val="none"/>
          <w:insideV w:val="none"/>
        </w:tblBorders>
        <w:tblLayout w:type="fixed"/>
      </w:tblPr>
      <w:tblGrid>
        <w:gridCol w:w="9360"/>
      </w:tblGrid>
      <w:tr>
        <w:tc>
          <w:tcPr>
            <w:tcW w:type="dxa" w:w="9360"/>
            <w:shd w:fill="E0F2F1"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00595C"/>
                <w:sz w:val="18"/>
                <w:szCs w:val="18"/>
              </w:rPr>
              <w:t xml:space="preserve">CORPUS EVIDENCE: THE PRACTITIONER NETWORK PRINCIPLE</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CHINESE_GREATBOOKS_RAG (cid=28, 27,462 chunks) — The Confucian tradition documents knowledge transmission as an explicit institutional obligation across the analytic histories. The examination system created in the Tang and matured in the Song was not primarily a meritocracy mechanism; it was a K-transmission system. By requiring candidates to demonstrate mastery of the classical canon, the state ensured that a practitioner network for core governance knowledge was continuously reproduced, generation after generation, regardless of individual patronage or regional variation.</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WORLD_GREATBOOKS_RAG (cid=86, 16,725 chunks) — Francis Bacon, Novum Organum (1620): 'Knowledge and human power are synonymous.' The full argument is that the failure to advance natural philosophy was not a failure of intelligence but a failure of METHOD — of the institutional apparatus for systematically producing, testing, and transmitting knowledge. Bacon was diagnosing a practitioner network failure, not an information shortage.</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CONSULTING_RAG (McKinsey Global Institute, 'Agents, robots, and us') — AI is currently accelerating codified volume and accessibility at unprecedented rates but is producing a novel inversion: as AI substitutes for junior analytical roles, the apprenticeship pathway through which tacit knowledge was transmitted to the next generation of senior practitioners is being interrupted. This is the first instance in the corpus of a technology simultaneously growing K's first two components while threatening the third.</w:t>
            </w:r>
          </w:p>
          <w:p>
            <w:pPr>
              <w:spacing w:after="60" w:before="40" w:line="276" w:lineRule="auto"/>
              <w:jc w:val="left"/>
            </w:pPr>
            <w:r>
              <w:rPr>
                <w:rFonts w:ascii="Arial" w:cs="Arial" w:eastAsia="Arial" w:hAnsi="Arial"/>
                <w:b w:val="false"/>
                <w:bCs w:val="false"/>
                <w:i/>
                <w:iCs/>
                <w:caps w:val="false"/>
                <w:color w:val="3A4652"/>
                <w:sz w:val="18"/>
                <w:szCs w:val="18"/>
              </w:rPr>
              <w:t xml:space="preserve">Source: CHINESE_GREATBOOKS_RAG cid=28; WORLD_GREATBOOKS_RAG cid=86; CONSULTING_RAG cid=37</w:t>
            </w:r>
          </w:p>
        </w:tc>
      </w:tr>
    </w:tbl>
    <w:p>
      <w:pPr>
        <w:spacing w:after="120" w:before="0"/>
      </w:pP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2  </w:t>
      </w:r>
      <w:r>
        <w:rPr>
          <w:rFonts w:ascii="Arial" w:cs="Arial" w:eastAsia="Arial" w:hAnsi="Arial"/>
          <w:b w:val="false"/>
          <w:bCs w:val="false"/>
          <w:i w:val="false"/>
          <w:iCs w:val="false"/>
          <w:caps w:val="false"/>
          <w:color w:val="9AA5B1"/>
          <w:sz w:val="18"/>
          <w:szCs w:val="18"/>
        </w:rPr>
        <w:t xml:space="preserve">| 1258 — What the Tigris Carried</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Baghdad Discontinuity</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On the 13th of February, 1258, the Mongol forces of Hulagu Khan completed the sack of Baghdad. What happened in the following days has no precise parallel in the history of knowledge destruction. The city that had been, for five centuries, the intellectual capital of the Islamic world — and by extension one of the two or three most knowledge-dense places on Earth — was systematically destroyed over the course of perhaps forty days. The House of Wisdom, which had operated continuously since the reign of Harun al-Rashid in the late eighth century, was obliterated. Contemporary accounts describe the Tigris running black with ink and red with blood simultaneously.</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House of Wisdom — Bayt al-Hikma — was not a single building. It was an institution: a state-sponsored complex of translators, astronomers, mathematicians, physicians, philosophers, geographers, and librarians who had spent four and a half centuries systematically acquiring the knowledge of every civilisation the Islamic world had encountered. Greek philosophy and science, Persian administrative and literary tradition, Indian mathematics, Egyptian astronomy — all of it had been translated, annotated, synthesised, and extended within a single institution that maintained both the codified archive and, critically, the community of practitioners who knew how to use it. When the Mongols arrived, they destroyed both simultaneously.</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standard historical account emphasises the destruction of books. Estimates of what was lost range from 400,000 to 2,000,000 volumes — a range that itself reflects the scale of what we cannot know, because the catalogues were destroyed along with the collection. The WORLD_GREATBOOKS_RAG corpus documents this loss through multiple lenses: the immediate accounts of Ibn Khallikan and Bar Hebraeus, who wrote within living memory of the event; the Persian chronicles of Rashid al-Din, who compiled his history forty years later from the testimony of survivors; and the comparative analyses of later historians measuring the gap in scientific production that followed. The gap is visible, stark, and long.</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What is less often examined, and what the corpus treats as the more important loss, is the practitioner network. The scholars of the House of Wisdom were killed, fled, or were scattered. The translation networks — the bilingual scholars who could move between Arabic, Persian, Greek, and Sanskrit and carry meaning accurately across each — did not exist outside Baghdad in sufficient density to reconstitute themselves. The apprenticeship chains that connected senior scholars to their students, and those students to a generation still younger, were severed in a matter of weeks. The books could theoretically have been reconstructed from copies elsewhere in the Islamic world. The practitioner network could not be reconstructed at any speed.</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six-hundred-year gap that followed is one of the most consequential facts in the history of science. From roughly 750 to 1258, the Islamic world was the world's primary generator of new mathematical, astronomical, medical, and philosophical knowledge — a record documented in every major secondary history and recoverable directly from the primary texts in the corpus. After 1258, for approximately six centuries, the frontier of scientific production shifted west to Europe, where the knowledge the House of Wisdom had preserved and extended became available through the translation movement into Latin — knowledge transmitted not from the living institution but from its survivors and their copies. The civilisational cost of the Baghdad Discontinuity was not paid in one generation. It was paid across twenty.</w:t>
      </w:r>
    </w:p>
    <w:p>
      <w:pPr>
        <w:spacing w:after="80" w:before="0"/>
      </w:pPr>
    </w:p>
    <w:tbl>
      <w:tblPr>
        <w:tblW w:type="dxa" w:w="9360"/>
        <w:tblBorders>
          <w:top w:val="single" w:color="00595C" w:sz="4"/>
          <w:left w:val="single" w:color="00595C" w:sz="18"/>
          <w:bottom w:val="single" w:color="00595C" w:sz="4"/>
          <w:right w:val="single" w:color="00595C" w:sz="4"/>
          <w:insideH w:val="none"/>
          <w:insideV w:val="none"/>
        </w:tblBorders>
        <w:tblLayout w:type="fixed"/>
      </w:tblPr>
      <w:tblGrid>
        <w:gridCol w:w="9360"/>
      </w:tblGrid>
      <w:tr>
        <w:tc>
          <w:tcPr>
            <w:tcW w:type="dxa" w:w="9360"/>
            <w:shd w:fill="E0F2F1"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00595C"/>
                <w:sz w:val="18"/>
                <w:szCs w:val="18"/>
              </w:rPr>
              <w:t xml:space="preserve">THE BAGHDAD DISCONTINUITY: PRIMARY RECORD</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WORLD_GREATBOOKS_RAG (cid=86): Bar Hebraeus, writing within a generation of 1258, recorded: 'There were put to the sword more than 800,000 men, women, and children.' Whether this figure is literally accurate or represents a chronicler's attempt to convey an incomprehensible scale, it establishes the magnitude of practitioner-network destruction. Baghdad's population was approximately 1 million before the siege. Within months, it was a fraction of that.</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CHINESE_GREATBOOKS_RAG (cid=28): The Mongol conquests are documented in the Yuan dynasty annals from the perspective of the conquerors. Notably, the Yuan administration in China preserved Confucian knowledge institutions rather than destroying them — a direct contrast to Baghdad. The difference was strategic: the Yuan needed the scholar-bureaucracy to govern China. In Baghdad, no comparable calculation applied. The decision to destroy rather than co-opt was K-catastrophic.</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WORLD_GREATBOOKS_RAG: The House of Wisdom's contribution to European science arrived via the Toledo School of Translators (12th century), which had been translating Arabic texts into Latin before 1258. This transmission pathway meant that some codified volume survived. But the living tradition — the methods, the debates, the tacit knowledge of active practitioners — did not survive in transmittable form. Europe recovered the books. It did not recover the minds.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Recovery timeline: Islamic scientific leadership was not restored to pre-1258 levels by any measure in the corpus. The Ottoman scientific institutions of the 15th-16th centuries produced important work in astronomy and mathematics but operated at lower codified volume and institutional density than the Abbasid peak. A K-discontinuity of this magnitude has a recovery timescale measurable in centuries, not decades.</w:t>
            </w:r>
          </w:p>
          <w:p>
            <w:pPr>
              <w:spacing w:after="60" w:before="40" w:line="276" w:lineRule="auto"/>
              <w:jc w:val="left"/>
            </w:pPr>
            <w:r>
              <w:rPr>
                <w:rFonts w:ascii="Arial" w:cs="Arial" w:eastAsia="Arial" w:hAnsi="Arial"/>
                <w:b w:val="false"/>
                <w:bCs w:val="false"/>
                <w:i/>
                <w:iCs/>
                <w:caps w:val="false"/>
                <w:color w:val="3A4652"/>
                <w:sz w:val="18"/>
                <w:szCs w:val="18"/>
              </w:rPr>
              <w:t xml:space="preserve">Source: WORLD_GREATBOOKS_RAG cid=86 (Bar Hebraeus, Rashid al-Din); CHINESE_GREATBOOKS_RAG cid=28 (Yuan annals)</w:t>
            </w:r>
          </w:p>
        </w:tc>
      </w:tr>
    </w:tbl>
    <w:p>
      <w:pPr>
        <w:spacing w:after="120" w:before="0"/>
      </w:pPr>
    </w:p>
    <w:p>
      <w:pPr>
        <w:spacing w:after="80" w:before="0"/>
      </w:pPr>
    </w:p>
    <w:tbl>
      <w:tblPr>
        <w:tblW w:type="dxa" w:w="9360"/>
        <w:tblBorders>
          <w:top w:val="single" w:color="1B3A6B" w:sz="4"/>
          <w:left w:val="single" w:color="1B3A6B" w:sz="18"/>
          <w:bottom w:val="single" w:color="1B3A6B" w:sz="4"/>
          <w:right w:val="single" w:color="1B3A6B" w:sz="4"/>
          <w:insideH w:val="none"/>
          <w:insideV w:val="none"/>
        </w:tblBorders>
        <w:tblLayout w:type="fixed"/>
      </w:tblPr>
      <w:tblGrid>
        <w:gridCol w:w="9360"/>
      </w:tblGrid>
      <w:tr>
        <w:tc>
          <w:tcPr>
            <w:tcW w:type="dxa" w:w="9360"/>
            <w:shd w:fill="E8EEF7" w:color="auto" w:val="clear"/>
            <w:tcMar>
              <w:top w:type="dxa" w:w="120"/>
              <w:left w:type="dxa" w:w="200"/>
              <w:bottom w:type="dxa" w:w="120"/>
              <w:right w:type="dxa" w:w="200"/>
            </w:tcMar>
          </w:tcPr>
          <w:p>
            <w:pPr>
              <w:spacing w:after="40" w:before="60" w:line="300" w:lineRule="auto"/>
              <w:jc w:val="left"/>
            </w:pPr>
            <w:r>
              <w:rPr>
                <w:rFonts w:ascii="Arial" w:cs="Arial" w:eastAsia="Arial" w:hAnsi="Arial"/>
                <w:b w:val="false"/>
                <w:bCs w:val="false"/>
                <w:i/>
                <w:iCs/>
                <w:caps w:val="false"/>
                <w:color w:val="1B3A6B"/>
                <w:sz w:val="26"/>
                <w:szCs w:val="26"/>
              </w:rPr>
              <w:t xml:space="preserve">The Tigris ran black with ink for three days. The colour is a data point. It tells us the density of the practitioner network that was destroyed: so many books, so many people who could read them, so many who were reading them at the moment the soldiers arrived.</w:t>
            </w:r>
          </w:p>
          <w:p>
            <w:pPr>
              <w:spacing w:after="60" w:before="60" w:line="276" w:lineRule="auto"/>
              <w:jc w:val="left"/>
            </w:pPr>
            <w:r>
              <w:rPr>
                <w:rFonts w:ascii="Arial" w:cs="Arial" w:eastAsia="Arial" w:hAnsi="Arial"/>
                <w:b w:val="false"/>
                <w:bCs w:val="false"/>
                <w:i w:val="false"/>
                <w:iCs w:val="false"/>
                <w:caps w:val="false"/>
                <w:color w:val="8B0000"/>
                <w:sz w:val="20"/>
                <w:szCs w:val="20"/>
              </w:rPr>
              <w:t xml:space="preserve">— Synthesis — WORLD_GREATBOOKS_RAG, multiple chronicle sources</w:t>
            </w:r>
          </w:p>
        </w:tc>
      </w:tr>
    </w:tbl>
    <w:p>
      <w:pPr>
        <w:spacing w:after="120" w:before="0"/>
      </w:pP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3  </w:t>
      </w:r>
      <w:r>
        <w:rPr>
          <w:rFonts w:ascii="Arial" w:cs="Arial" w:eastAsia="Arial" w:hAnsi="Arial"/>
          <w:b w:val="false"/>
          <w:bCs w:val="false"/>
          <w:i w:val="false"/>
          <w:iCs w:val="false"/>
          <w:caps w:val="false"/>
          <w:color w:val="9AA5B1"/>
          <w:sz w:val="18"/>
          <w:szCs w:val="18"/>
        </w:rPr>
        <w:t xml:space="preserve">| Physical, Social, and Structural</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Three K-Discontinuities</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The corpus documents three distinct mechanisms by which Knowledge Capital collapses. They differ in speed, visibility, and reversibility. Physical destruction is the fastest and most visible, which is why it receives the most historical attention and the most dramatic narrative. Social suppression is slower and harder to see from inside a society, which is why it is the most dangerous form in a democracy where physical destruction is politically impossible. Structural concentration is the newest form and the one the 2026 corpus identifies as most elevated — a form that has no clear precedent and that the existing literature on K-discontinuities does not yet adequately analyse.</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Type I: Physical Destruction</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Physical destruction of knowledge — burning libraries, killing scholars, destroying institutions — is the form that has generated the most historical documentation because survivors remember it and write about it. The corpus contains accounts of the burning of the Library of Alexandria (multiple, contested events across several centuries), the Nazi book-burnings of 1933 and subsequent years, Mao Zedong's Cultural Revolution's assault on universities and scholars from 1966 to 1976, and the Islamic State's systematic destruction of the Mosul Museum and Mosul University library in 2015. Each case is independently documented; together they yield a pattern.</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Physical K-destruction has three consistent features. First, it is nearly always selective — targeting not all knowledge but specific knowledge that threatens a political order: religious heterodoxy, scientific findings that contradict official ideology, historical records that document inconvenient predecessors, the professional credentials of groups the state has designated as enemies. The Nazis burned books associated with Jewish authors, Marxist thought, sexuality research, and pacifism — each category was politically targeted, not randomly selected. The Cultural Revolution's assault on universities specifically targeted the knowledge classes: professors, scientists, engineers were sent to the countryside while universities were shuttered for up to a decade. Second, physical destruction is reversible in its codified-volume component if copies survive elsewhere — but irreversible in its practitioner-network component if scholars are killed or permanently displaced. Third, it is highly visible and tends to generate strong immune responses in subsequent generations, making recurrence politically difficult.</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Type II: Social Suppression</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Social suppression does not burn libraries. It works more slowly and more thoroughly: it changes the incentive structure such that certain forms of knowledge become professionally, socially, or physically dangerous to hold, produce, or transmit. The canonical case in the corpus is the Lysenko affair, documented across ACADEMIC_RAG and WORLD_GREATBOOKS_RAG sources. From 1948 to 1964, Trofim Lysenko's pseudo-scientific theory of inherited acquired characteristics was imposed on Soviet biology and agriculture with Stalin's backing. Geneticists who maintained the scientific consensus were imprisoned, dismissed, or executed. The result was not a library burning — Soviet biology libraries continued to exist. The result was a two-decade suppression of the practitioner network for genetics in the world's second-largest scientific power, during which Soviet agricultural science fell structurally behind its global peers and contributed to the food supply failures of the late Soviet period.</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Cultural Revolution provides the same pattern at larger scale. Universities in China were effectively closed from 1966 to 1976. A generation of students received no advanced education. A generation of scholars was sent to work in fields and factories. The codified volume was not destroyed — books existed, though many were suppressed. What was destroyed was the transmission mechanism: the universities, laboratories, and apprenticeship structures through which knowledge moves from one generation to the next. China's scientific recovery, documented across INDIA_RAG and ACADEMIC_RAG sources, took approximately twenty years after 1976 — and this recovery was assisted by massive external input from the West. An isolated society without that external input would have faced a much longer gap.</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Social suppression is the form of K-discontinuity most visible in 2026. The RSF Press Freedom Index, documented in HUMAN_RIGHTS_RAG, shows 162 of 180 countries with deteriorating scores. Academic freedom indices document restriction in 47 countries since 2016. These are not book-burning events. They are structural changes to the incentive landscape that make certain categories of knowledge production dangerous, unpublishable, or professionally terminal. The K-loss accumulates silently, in the papers not written, the research questions not asked, the findings not published, and the students who choose safer fields.</w:t>
      </w:r>
    </w:p>
    <w:p>
      <w:pPr>
        <w:spacing w:after="80" w:before="0"/>
      </w:pPr>
    </w:p>
    <w:tbl>
      <w:tblPr>
        <w:tblW w:type="dxa" w:w="9360"/>
        <w:tblBorders>
          <w:top w:val="single" w:color="7A4F01" w:sz="4"/>
          <w:left w:val="single" w:color="7A4F01" w:sz="18"/>
          <w:bottom w:val="single" w:color="7A4F01" w:sz="4"/>
          <w:right w:val="single" w:color="7A4F01" w:sz="4"/>
          <w:insideH w:val="none"/>
          <w:insideV w:val="none"/>
        </w:tblBorders>
        <w:tblLayout w:type="fixed"/>
      </w:tblPr>
      <w:tblGrid>
        <w:gridCol w:w="9360"/>
      </w:tblGrid>
      <w:tr>
        <w:tc>
          <w:tcPr>
            <w:tcW w:type="dxa" w:w="9360"/>
            <w:shd w:fill="FFF6E0"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7A4F01"/>
                <w:sz w:val="18"/>
                <w:szCs w:val="18"/>
              </w:rPr>
              <w:t xml:space="preserve">WARNING: SOCIAL SUPPRESSION IS INVISIBLE UNTIL IT IS SYSTEMIC</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The Lysenko affair was not recognised as a K-catastrophe by Soviet leadership until agricultural failure made it undeniable. By the time the damage was visible in food production statistics, two decades of practitioner-network suppression had occurred and the recovery cost was already locked in.</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Current signals in the corpus include: declining academic freedom in 47 countries (HUMAN_RIGHTS_RAG); AI-enabled surveillance of research communications in multiple authoritarian states (MILITARY_RAG); the concentration of privately funded research in a small number of firms whose commercial incentives determine which knowledge is produced (EDGAR_RAG, CONSULTING_RAG).</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A society that cannot distinguish between knowledge suppression and editorial discretion has lost the diagnostic tool it needs to catch Type II discontinuities early. This manual treats press freedom and academic freedom indices as leading indicators for K rather than political metrics.</w:t>
            </w:r>
          </w:p>
        </w:tc>
      </w:tr>
    </w:tbl>
    <w:p>
      <w:pPr>
        <w:spacing w:after="120" w:before="0"/>
      </w:pP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Type III: Structural Concentration</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Structural concentration is the form the corpus identifies as novel and most elevated in 2026. It does not require an enemy, a political order that targets inconvenient knowledge, or a deliberate act of suppression. It occurs when the substrate on which knowledge is stored and transmitted becomes concentrated in a small number of entities that can simultaneously fail. The historical precedent is thin because no previous period has concentrated so much of humanity's active knowledge-processing capacity in so few physical locations. The closest analogy is the House of Wisdom itself: a single institution that concentrated the Islamic world's K-production capacity, such that its destruction in one military operation severed the entire network.</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In 2026, EDGAR_RAG documents that three cloud providers — Amazon Web Services, Microsoft Azure, and Google Cloud Platform — together host approximately 65% of global cloud compute, including the AI inference infrastructure that is now processing the majority of the world's advanced knowledge work. These three providers operate in approximately sixty availability zones globally, but share common dependencies: the same semiconductor supply chains (principally TSMC's advanced nodes), overlapping undersea cable infrastructure, similar software stacks with common vulnerability surfaces, and in several cases the same physical power grids. A simultaneous failure of five hyperscale clusters — whether from a solar weather event of the type documented in the 1859 Carrington Event, a coordinated cyberattack, or a semiconductor supply cascade — would produce a K-discontinuity of Baghdad magnitude within weeks.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structural concentration risk is compounded by a second form of concentration: the concentration of AI model development in a small number of frontier laboratories. The knowledge encoded in the weights of a large language model is a new form of codified K — it is the distilled understanding of billions of training documents, organised into a form that can be applied by anyone with access to the model. But that codified K resides in infrastructure controlled by five or six entities globally. The loss of those entities, or their simultaneous disruption, would be a K-event with no clear historical precedent — the loss not of a library's books but of the library's entire organisational principle.</w:t>
      </w:r>
    </w:p>
    <w:p>
      <w:pPr>
        <w:spacing w:after="80" w:before="0"/>
      </w:pPr>
    </w:p>
    <w:tbl>
      <w:tblPr>
        <w:tblW w:type="dxa" w:w="9360"/>
        <w:tblBorders>
          <w:top w:val="single" w:color="7A4F01" w:sz="4"/>
          <w:left w:val="single" w:color="7A4F01" w:sz="18"/>
          <w:bottom w:val="single" w:color="7A4F01" w:sz="4"/>
          <w:right w:val="single" w:color="7A4F01" w:sz="4"/>
          <w:insideH w:val="none"/>
          <w:insideV w:val="none"/>
        </w:tblBorders>
        <w:tblLayout w:type="fixed"/>
      </w:tblPr>
      <w:tblGrid>
        <w:gridCol w:w="9360"/>
      </w:tblGrid>
      <w:tr>
        <w:tc>
          <w:tcPr>
            <w:tcW w:type="dxa" w:w="9360"/>
            <w:shd w:fill="FFF6E0"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7A4F01"/>
                <w:sz w:val="18"/>
                <w:szCs w:val="18"/>
              </w:rPr>
              <w:t xml:space="preserve">STRUCTURAL CONCENTRATION RISK: QUANTITATIVE PROFILE</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Three cloud providers (AWS, Azure, GCP) hold approximately 65% of global cloud compute [EDGAR_RAG, 10-K filings 2024-2025].</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Five AI frontier laboratories (OpenAI, Anthropic, Google DeepMind, Meta AI, xAI) hold the model weights for the most capable AI systems currently in deployment.</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One semiconductor manufacturer (TSMC, Taiwan) produces approximately 90% of the world's advanced logic chips (sub-5nm nodes) that enable frontier AI training and inference.</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A single successful kinetic or cyber strike on TSMC's primary fabs would halt frontier AI chip production for an estimated 24-36 months minimum — a K-substrate freeze of a type never previously modelled.</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Mitigation status: US CHIPS Act and parallel European programmes are attempting to rebuild semiconductor geographic redundancy, but new fab construction timescales run 3-5 years minimum. The exposure is structural and will not close before 2029 at the earliest.</w:t>
            </w:r>
          </w:p>
        </w:tc>
      </w:tr>
    </w:tbl>
    <w:p>
      <w:pPr>
        <w:spacing w:after="120" w:before="0"/>
      </w:pP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4  </w:t>
      </w:r>
      <w:r>
        <w:rPr>
          <w:rFonts w:ascii="Arial" w:cs="Arial" w:eastAsia="Arial" w:hAnsi="Arial"/>
          <w:b w:val="false"/>
          <w:bCs w:val="false"/>
          <w:i w:val="false"/>
          <w:iCs w:val="false"/>
          <w:caps w:val="false"/>
          <w:color w:val="9AA5B1"/>
          <w:sz w:val="18"/>
          <w:szCs w:val="18"/>
        </w:rPr>
        <w:t xml:space="preserve">| 2025-2026: The Fastest K-Expansion in History</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AI Knowledge Boom</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Against the backdrop of these risks, the corpus documents an expansion of Knowledge Capital at a rate with no prior parallel. The printing press took fifty years from Gutenberg's first Bible to the point where printed books had materially altered the distribution of K in Europe. The internet took fifteen years from the Mosaic browser to the point where it had demonstrably changed the pattern of knowledge access globally. The current AI transition has moved from GPT-3 in 2020 to systems capable of conducting expert-level analysis across dozens of domains in under five years. The speed differential is not incremental — it is a qualitative change in how fast K can grow.</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EDGAR_RAG (133,474 chunks, incorporating 10-K filings from Microsoft, Alphabet, Amazon, Nvidia, and Meta) documents the infrastructure investment underwriting this growth with unusual precision. Microsoft's 2024 annual report documents $55.7 billion in capital expenditure, with AI infrastructure as the primary driver. Alphabet committed $75 billion in 2025 capital expenditure, the majority allocated to AI compute. Amazon's AWS capital spend exceeded $100 billion. Meta announced a $65 billion AI infrastructure spend in 2025. Nvidia's revenue trajectory — from $27 billion in fiscal 2023 to approximately $150 billion projected for 2025 — reflects the demand side of the same investment wave. Aggregated across the five largest technology firms alone, AI infrastructure investment exceeds $500 billion per year. No prior technology transition generated comparable capital mobilisation at comparable speed.</w:t>
      </w:r>
    </w:p>
    <w:p>
      <w:pPr>
        <w:spacing w:after="80" w:before="0"/>
      </w:pPr>
    </w:p>
    <w:tbl>
      <w:tblPr>
        <w:tblW w:type="dxa" w:w="9360"/>
        <w:tblBorders>
          <w:top w:val="single" w:color="00595C" w:sz="4"/>
          <w:left w:val="single" w:color="00595C" w:sz="18"/>
          <w:bottom w:val="single" w:color="00595C" w:sz="4"/>
          <w:right w:val="single" w:color="00595C" w:sz="4"/>
          <w:insideH w:val="none"/>
          <w:insideV w:val="none"/>
        </w:tblBorders>
        <w:tblLayout w:type="fixed"/>
      </w:tblPr>
      <w:tblGrid>
        <w:gridCol w:w="9360"/>
      </w:tblGrid>
      <w:tr>
        <w:tc>
          <w:tcPr>
            <w:tcW w:type="dxa" w:w="9360"/>
            <w:shd w:fill="E0F2F1"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00595C"/>
                <w:sz w:val="18"/>
                <w:szCs w:val="18"/>
              </w:rPr>
              <w:t xml:space="preserve">EDGAR_RAG: AI INVESTMENT SCALE, 2025-2026</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Microsoft (MSFT 10-K 2024): Capital expenditure $55.7B, Azure AI infrastructure primary driver. CEO Satya Nadella: 'We are building the infrastructure of the AI age.'</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Alphabet (GOOGL 10-K 2024): Capital expenditure $52.5B in 2024, guidance raised to $75B for 2025. Google Cloud AI inference demand cited as primary driver.</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Amazon (AMZN 10-K 2024): AWS capital expenditure exceeded $80B. Amazon Bedrock (managed AI model service) cited as fastest-growing segment in company history.</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Nvidia (NVDA 10-K FY2025): Revenue $130B (FY2025), data center segment 87% of total. Blackwell GPU architecture demand described as 'insatiable' across all customer categories.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Meta (META 10-K 2024): $40.2B capex, guidance raised to $60-65B for 2025. Llama open-source model strategy: distributing AI K-substrate without concentrating it in a single commercial platform.</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Aggregate (Big Five, 2025): AI infrastructure investment exceeds $500B per year. This is approximately 2x global annual expenditure on university research and development.</w:t>
            </w:r>
          </w:p>
          <w:p>
            <w:pPr>
              <w:spacing w:after="60" w:before="40" w:line="276" w:lineRule="auto"/>
              <w:jc w:val="left"/>
            </w:pPr>
            <w:r>
              <w:rPr>
                <w:rFonts w:ascii="Arial" w:cs="Arial" w:eastAsia="Arial" w:hAnsi="Arial"/>
                <w:b w:val="false"/>
                <w:bCs w:val="false"/>
                <w:i/>
                <w:iCs/>
                <w:caps w:val="false"/>
                <w:color w:val="3A4652"/>
                <w:sz w:val="18"/>
                <w:szCs w:val="18"/>
              </w:rPr>
              <w:t xml:space="preserve">Source: EDGAR_RAG cid=36 (133,474 chunks); 10-K filings FY2024-FY2025</w:t>
            </w:r>
          </w:p>
        </w:tc>
      </w:tr>
    </w:tbl>
    <w:p>
      <w:pPr>
        <w:spacing w:after="120" w:before="0"/>
      </w:pP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McKinsey Global Institute analysis in CONSULTING_RAG provides the productivity dimension of this investment. The MGI report 'Agents, robots, and us' documents 40-70% productivity uplift in knowledge work from AI-augmented workflows, with the highest gains concentrated in tasks previously performed by junior analytical staff: data synthesis, literature review, first-draft generation, pattern recognition across large datasets, and regulatory compliance checking. These are precisely the tasks that constitute the entry-level pathway through which knowledge workers traditionally built the tacit expertise required for senior roles. The productivity gain is real. The pathway concern is also real, and the corpus documents both without editorial resolution.</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K-distribution question — who has access to this accelerating growth? — is where the corpus produces the sharpest divergence between regions. In the United States, Europe, China, and Japan, AI-augmented knowledge work is diffusing through enterprise software at high speed; the EDGAR_RAG documents active deployment across finance, healthcare, law, and engineering. In India, the INDIA_RAG (4,093 chunks from the Economic Survey 2024-25, PIB releases, and ONDC documentation) documents a different model of K-distribution: the Digital Public Infrastructure approach, in which state-built open-protocol platforms make digital participation available to populations that would otherwise be excluded by private-sector economics.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India's Unified Payments Interface processed $3 trillion in transactions in 2024 — more than the entire GDP of France passing through a single open-architecture payments protocol built on public rails and available to any developer at zero cost. AADHAAR, the biometric identity system, has enrolled 1.4 billion individuals, creating a K-accessibility infrastructure at a scale no private actor would have found commercially attractive. ONDC — the Open Network for Digital Commerce — is attempting to apply the same open-protocol principle to e-commerce, preventing the emergence of monopolistic platforms that would concentrate K-accessibility in private hands. The INDIA_RAG's Economic Survey 2024-25 describes this explicitly as a democratisation-of-knowledge-access strategy: digital public infrastructure as the twenty-first-century equivalent of building a public library network.</w:t>
      </w:r>
    </w:p>
    <w:p>
      <w:pPr>
        <w:spacing w:after="80" w:before="0"/>
      </w:pPr>
    </w:p>
    <w:tbl>
      <w:tblPr>
        <w:tblW w:type="dxa" w:w="9360"/>
        <w:tblBorders>
          <w:top w:val="single" w:color="00595C" w:sz="4"/>
          <w:left w:val="single" w:color="00595C" w:sz="18"/>
          <w:bottom w:val="single" w:color="00595C" w:sz="4"/>
          <w:right w:val="single" w:color="00595C" w:sz="4"/>
          <w:insideH w:val="none"/>
          <w:insideV w:val="none"/>
        </w:tblBorders>
        <w:tblLayout w:type="fixed"/>
      </w:tblPr>
      <w:tblGrid>
        <w:gridCol w:w="9360"/>
      </w:tblGrid>
      <w:tr>
        <w:tc>
          <w:tcPr>
            <w:tcW w:type="dxa" w:w="9360"/>
            <w:shd w:fill="E0F2F1"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00595C"/>
                <w:sz w:val="18"/>
                <w:szCs w:val="18"/>
              </w:rPr>
              <w:t xml:space="preserve">INDIA_RAG: DIGITAL PUBLIC INFRASTRUCTURE AS K-DISTRIBUTION MODEL</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UPI (Unified Payments Interface): $3 trillion in transactions processed in 2024. Zero-cost open API available to any licensed payment provider. 500 million monthly active users. Designed as public infrastructure, not private platform.</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AADHAAR: 1.4 billion enrolled. Provides identity verification infrastructure that enables K-access services (banking, healthcare, education subsidies) to reach populations previously excluded by documentation requirements.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ONDC (Open Network for Digital Commerce): open-protocol layer for e-commerce. Prevents lock-in to single platforms that would otherwise control seller-buyer K-flows. Early adoption: 7.5 million monthly transactions in 2024.</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Economic Survey 2024-25 thesis: 'Digital Public Infrastructure is to the 21st century what roads, railways, and ports were to the 19th — the substrate on which private enterprise builds, but which must itself be public to ensure universal access.'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Seldon implication: DPI architecture is xi-positive (distributes rather than concentrates K-substrate) and K-positive (reduces accessibility barriers for the bottom four income quintiles). It is the most scalable alternative to the hyperscale-concentration model documented in EDGAR_RAG.</w:t>
            </w:r>
          </w:p>
          <w:p>
            <w:pPr>
              <w:spacing w:after="60" w:before="40" w:line="276" w:lineRule="auto"/>
              <w:jc w:val="left"/>
            </w:pPr>
            <w:r>
              <w:rPr>
                <w:rFonts w:ascii="Arial" w:cs="Arial" w:eastAsia="Arial" w:hAnsi="Arial"/>
                <w:b w:val="false"/>
                <w:bCs w:val="false"/>
                <w:i/>
                <w:iCs/>
                <w:caps w:val="false"/>
                <w:color w:val="3A4652"/>
                <w:sz w:val="18"/>
                <w:szCs w:val="18"/>
              </w:rPr>
              <w:t xml:space="preserve">Source: INDIA_RAG cid=56 (4,093 chunks); Economic Survey 2024-25; RBI Annual Report 2024</w:t>
            </w:r>
          </w:p>
        </w:tc>
      </w:tr>
    </w:tbl>
    <w:p>
      <w:pPr>
        <w:spacing w:after="120" w:before="0"/>
      </w:pP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5  </w:t>
      </w:r>
      <w:r>
        <w:rPr>
          <w:rFonts w:ascii="Arial" w:cs="Arial" w:eastAsia="Arial" w:hAnsi="Arial"/>
          <w:b w:val="false"/>
          <w:bCs w:val="false"/>
          <w:i w:val="false"/>
          <w:iCs w:val="false"/>
          <w:caps w:val="false"/>
          <w:color w:val="9AA5B1"/>
          <w:sz w:val="18"/>
          <w:szCs w:val="18"/>
        </w:rPr>
        <w:t xml:space="preserve">| What Every Generation Must Receive</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Transmission Problem</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Knowledge does not pass between generations automatically. Every field of human understanding — medicine, agriculture, engineering, governance, law, craft — must be actively transmitted from those who hold it to those who do not, within the window of time before the holders die or disperse. This is the transmission problem, and it is the central mechanism by which K-discontinuities occur. Transmission requires three things simultaneously: someone who knows, someone who is willing to learn, and an institutional structure that brings them together reliably enough to complete the transfer. The failure of any one of these three is sufficient to produce a gap. The failure of all three, simultaneously, is Baghdad.</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institutions that solve the transmission problem are the most structurally important institutions in any civilisation, even though they rarely appear in analyses of power. Universities transmit knowledge across the professional-academic boundary, with the dissertation as the formal mechanism: the student who has successfully completed one makes a permanent, citable, retrievable addition to the codified volume, and simultaneously crosses from the receiving side of the transmission network to the giving side. Peer review is a quality-control mechanism for codified volume: it is the institutional guarantee that what enters the permanent record has been evaluated by practitioners. The library is the storage and retrieval infrastructure. The guild, the apprenticeship, the residency, the on-the-job training programme — all are transmission mechanisms for the tacit knowledge that cannot survive codification alone.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These institutions are expensive and slow and produce results that are invisible until they are missing. No politician has ever won an election promising to maintain the quality of peer review. No popular movement has risen in defense of the dissertation. The investments required — in academic freedom, in stable long-term funding of basic research, in the protection of institutions against short-term political pressure — are made by societies that trust the future more than the present, and are unmade by societies that do not. The HUMAN_RIGHTS_RAG's academic freedom data documents the correlation clearly: the countries with the most rapidly deteriorating academic freedom are the same countries that have seen the most rapid politicisation of state institutions in the past decade. The correlation is not coincidental.</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generational cliff is the concept the corpus generates most consistently from the practitioner-network data. A generation born after a K-loss event does not know what it is missing. The scholars of the generation after the Baghdad sack did not conduct a survey of the destroyed knowledge and then mourn specific gaps. They worked with what remained, not knowing that what remained was a fraction of what had existed. This is the mechanism that makes K-loss events so dangerous over long timescales: the recovery begins not from the moment of destruction but from the moment when the gap between what exists and what existed becomes visible — and that visibility may require comparison with an external civilisation that retained what was lost. Europe's scientific revolution was, in part, made possible by the recovery of Islamic-transmitted Greek science. The recovery pathway required an external benchmark. Without it, the loss might not have been visible at all.</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Transmission Institutions Under Pressure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ACADEMIC_RAG (4,460 chunks from BIS Annual Report 2025, IMF Working Papers, and academic meta-analyses) documents two structural pressures on transmission institutions that are operating simultaneously in 2026. The first is defunding: in the United States, United Kingdom, and Australia, real-terms university research funding has been flat or declining for a decade, while the cost of advanced research infrastructure has risen. The result is an increasing dependence on private funding, with the selection effects that implies — research agendas shaped by commercial applicability rather than knowledge-generation potential. The second is the AI substitution of junior knowledge workers, documented in CONSULTING_RAG. If AI systems replace the analytical junior roles that served as the first step of the professional transmission pathway, the mechanism by which tacit expert knowledge is transmitted to the next generation of senior practitioners is disrupted. Both pressures are operating at the same time, on the same institutions, and the corpus does not document any countervailing force of equivalent magnitude.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BIS Annual Report 2025, a primary source in ACADEMIC_RAG, raises the concentration risk in financial-system K explicitly: as AI systems take on more of the analytical work previously performed by junior bank staff, the practitioner networks that understood how to navigate market stress — including the people who had been junior during previous crises and had absorbed their lessons — are not being reproduced. The BIS notes this without proposing a solution, which is itself a signal: the institution that provides the most sophisticated systemic risk analysis in the world is documenting a K-transmission failure it does not know how to address.</w:t>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6  </w:t>
      </w:r>
      <w:r>
        <w:rPr>
          <w:rFonts w:ascii="Arial" w:cs="Arial" w:eastAsia="Arial" w:hAnsi="Arial"/>
          <w:b w:val="false"/>
          <w:bCs w:val="false"/>
          <w:i w:val="false"/>
          <w:iCs w:val="false"/>
          <w:caps w:val="false"/>
          <w:color w:val="9AA5B1"/>
          <w:sz w:val="18"/>
          <w:szCs w:val="18"/>
        </w:rPr>
        <w:t xml:space="preserve">| The Architecture of K-Resilience</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Protecting Knowledge Capital</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The corpus yields four principles for protecting K that survive triangulation across multiple historical periods and multiple forms of K-threat. None of them is novel; every major civilisation that has successfully maintained K over long periods has implemented variants of all four. What is novel in 2026 is the specific application of these principles to a K-substrate that is both more powerful and more concentrated than any that previously existed. The principles are: distribute, open, institutionalise, and insure. Individually, each provides partial protection. Together, they constitute what the manual designates K-resilience architecture.</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Principle 1: Distribute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No single node should hold more than twenty percent of any critical K-substrate. This is the K-equivalent of the Gaia Coefficient's resilience floor: a system in which one node holds eighty percent of a critical function will fail at the speed of that node's failure. The House of Wisdom violated this principle at civilisational scale. The contemporary hyperscale cloud concentration violates it at planetary scale. The distribution principle does not require identical copies of everything everywhere — that is neither possible nor necessary. It requires that the practitioner network, the codified volume, and the transmission infrastructure each have multiple independent nodes, geographically separated, with non-overlapping dependencies, such that no single event can simultaneously damage more than one.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Singapore's educational investment at founding provides the most instructive modern case. In 1965, with no natural resources, no industrial base, and a population of under two million, the government of Lee Kuan Yew allocated approximately thirty-two percent of the national budget to education. This was not a welfare measure. It was a deliberate investment in the practitioner network that Singapore's survival required: a small, educated population capable of performing knowledge work at global frontier level. The results are documented in ASEAN_DATA_RAG and INDIA_RAG: Singapore's K-investment produced the highest human capital returns per dollar of any comparable investment programme in the post-war period. The lesson is not that education spending is always efficient — it requires institutional quality to convert spending into practitioner-network growth. It is that prioritising K-distribution over physical infrastructure when resources are scarce is the correct civilisational bet.</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Principle 2: Open Standards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Open standards prevent the privatisation of K-substrates. The ONDC model documented in INDIA_RAG demonstrates what open standards do to a K-access problem: they make the question of which private provider holds the substrate irrelevant, because the substrate is defined by an open protocol that any provider can implement. The internet's open protocols (TCP/IP, HTTP, SMTP) distributed K-access at global scale by preventing any single entity from owning the infrastructure layer. The academic open-access movement attempts to do the same for codified scientific knowledge: removing the paywall that currently concentrates access to peer-reviewed science in institutions wealthy enough to afford journal subscriptions. Meta's release of the Llama series of AI models as open weights is, in this framework, an open-standards move for the AI K-substrate: distributing the practitioner capability across millions of users rather than concentrating it in a proprietary API.</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CHINESE_GREATBOOKS_RAG illuminates the long history of open versus proprietary K-standards through the lens of the Tang examination system. The decision to make the classical canon the basis of the civil service examination was a policy decision to define a public K-standard: the specific texts were not privately held, their interpretation was publicly contested through commentary, and access to the examination was theoretically open to any literate male subject. This was imperfect in practice — the rural poor could not afford the years of study required. But the principle of a publicly defined K-standard, accessible through a public institution, is what made the Tang and Song examination system a K-distribution mechanism rather than a K-concentration one. The contrast with a system in which the civil service examination required mastery of a proprietary text held by a single aristocratic family is not subtle.</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Principle 3: Institutionalise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Transmission requires institutions, and institutions require deliberate protection from the forces that would capture or defund them. This principle sounds obvious and is consistently violated. The systematic defunding of basic research, the politicisation of universities, the elimination of public libraries — all are documentable processes in the 2026 corpus, all represent degradation of the transmission infrastructure, and all occur because the benefits of transmission institutions are invisible until they are absent while their costs are visible and immediate. The K-insurance principle requires treating transmission institutions as critical infrastructure: guaranteed minimum funding, protection from short-term political interference, and redundant backup in the event of failure of any single node.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Confucian tradition documented in CHINESE_GREATBOOKS_RAG provides the clearest historical example of a civilisation that explicitly recognised transmission institutions as load-bearing. The injunction in the Analects to maintain the study of ancient texts was not aesthetic nostalgia — it was a systems-design decision. The scholars of the Han dynasty who recovered and recompiled the classical canon after Qin Shihuangdi's book-burning were performing K-restoration triage. They prioritised governance knowledge (the Rites, the administrative classics) over aesthetic knowledge (poetry) not because poetry was unimportant but because governance knowledge was the K-substrate on which the transmission institutions themselves depended. A restored state required governance K first; everything else could be rebuilt once the institutional substrate was functional.</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Principle 4: Insure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K-insurance means maintaining redundant transmission with geographic separation, such that no single disruption event can simultaneously eliminate both the primary and backup pathways. The physical model is the Svalbard Global Seed Vault: an institution whose entire purpose is to ensure that agricultural genetic K survives any civilisational disruption that affects primary storage. The digital equivalent is a distributed archive with multiple physically separated nodes and deliberate heterogeneity of storage media, power sources, and administrative control. The practitioner-network equivalent is the maintenance of transmission capacity in multiple independent institutions — universities, research institutes, independent libraries — such that the loss of any single one does not interrupt the transmission chain.</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K-insurance principle generates a hierarchy of what to protect first. Not all knowledge is equally difficult to reconstruct or equally essential to civilisational function. The hierarchy runs from the foundational to the derivative: medical knowledge that determines survival rates (hardest to reconstruct, most immediately lethal if lost); agricultural knowledge that determines food production (recoverable in one to two growing seasons if practitioner networks survive, catastrophic if they do not); energy knowledge that determines the capacity to maintain technological civilisation (recoverable in five to ten years given practitioner networks and physical infrastructure); governance knowledge that determines the capacity to coordinate social behaviour; and cultural knowledge that determines social identity and asabiyyah. In a K-emergency, this is the order in which preservation resources should be allocated.</w:t>
      </w:r>
    </w:p>
    <w:p>
      <w:pPr>
        <w:spacing w:after="80" w:before="0"/>
      </w:pPr>
    </w:p>
    <w:tbl>
      <w:tblPr>
        <w:tblW w:type="dxa" w:w="9360"/>
        <w:tblBorders>
          <w:top w:val="single" w:color="1B5E20" w:sz="4"/>
          <w:left w:val="single" w:color="1B5E20" w:sz="18"/>
          <w:bottom w:val="single" w:color="1B5E20" w:sz="4"/>
          <w:right w:val="single" w:color="1B5E20" w:sz="4"/>
          <w:insideH w:val="none"/>
          <w:insideV w:val="none"/>
        </w:tblBorders>
        <w:tblLayout w:type="fixed"/>
      </w:tblPr>
      <w:tblGrid>
        <w:gridCol w:w="9360"/>
      </w:tblGrid>
      <w:tr>
        <w:tc>
          <w:tcPr>
            <w:tcW w:type="dxa" w:w="9360"/>
            <w:shd w:fill="E8F5E9"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1B5E20"/>
                <w:sz w:val="18"/>
                <w:szCs w:val="18"/>
              </w:rPr>
              <w:t xml:space="preserve">FIELD NOTE  —  THE KNOWLEDGE INVENTORY: EMERGENCY HIERARCHY</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1.  </w:t>
            </w:r>
            <w:r>
              <w:rPr>
                <w:rFonts w:ascii="Arial" w:cs="Arial" w:eastAsia="Arial" w:hAnsi="Arial"/>
                <w:b w:val="false"/>
                <w:bCs w:val="false"/>
                <w:i w:val="false"/>
                <w:iCs w:val="false"/>
                <w:caps w:val="false"/>
                <w:color w:val="1A1A1A"/>
                <w:sz w:val="22"/>
                <w:szCs w:val="22"/>
              </w:rPr>
              <w:t xml:space="preserve">TIER 1 — MEDICAL: Antimicrobial protocols, surgical technique, vaccination schedules, obstetric knowledge. Loss timescale to civilisational impact: weeks. Distribution requirement: physical printed manuals in multiple languages, minimum 10,000 copies per continent, in institutions not dependent on digital infrastructure.</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2.  </w:t>
            </w:r>
            <w:r>
              <w:rPr>
                <w:rFonts w:ascii="Arial" w:cs="Arial" w:eastAsia="Arial" w:hAnsi="Arial"/>
                <w:b w:val="false"/>
                <w:bCs w:val="false"/>
                <w:i w:val="false"/>
                <w:iCs w:val="false"/>
                <w:caps w:val="false"/>
                <w:color w:val="1A1A1A"/>
                <w:sz w:val="22"/>
                <w:szCs w:val="22"/>
              </w:rPr>
              <w:t xml:space="preserve">TIER 2 — AGRICULTURAL: Seed varieties, soil management, pest control, irrigation engineering. Loss timescale to civilisational impact: one to two growing seasons. Distribution requirement: geographic redundancy of seed banks; practitioner networks in both traditional and industrial agricultural methods.</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3.  </w:t>
            </w:r>
            <w:r>
              <w:rPr>
                <w:rFonts w:ascii="Arial" w:cs="Arial" w:eastAsia="Arial" w:hAnsi="Arial"/>
                <w:b w:val="false"/>
                <w:bCs w:val="false"/>
                <w:i w:val="false"/>
                <w:iCs w:val="false"/>
                <w:caps w:val="false"/>
                <w:color w:val="1A1A1A"/>
                <w:sz w:val="22"/>
                <w:szCs w:val="22"/>
              </w:rPr>
              <w:t xml:space="preserve">TIER 3 — ENERGY: Power generation principles (solar, hydro, combustion), grid management, maintenance of critical infrastructure. Loss timescale to civilisational impact: months. Distribution requirement: open-source engineering manuals; training programmes for distributed energy management.</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4.  </w:t>
            </w:r>
            <w:r>
              <w:rPr>
                <w:rFonts w:ascii="Arial" w:cs="Arial" w:eastAsia="Arial" w:hAnsi="Arial"/>
                <w:b w:val="false"/>
                <w:bCs w:val="false"/>
                <w:i w:val="false"/>
                <w:iCs w:val="false"/>
                <w:caps w:val="false"/>
                <w:color w:val="1A1A1A"/>
                <w:sz w:val="22"/>
                <w:szCs w:val="22"/>
              </w:rPr>
              <w:t xml:space="preserve">TIER 4 — GOVERNANCE: Constitutional principles, legal frameworks, conflict resolution mechanisms, public administration. Loss timescale to civilisational impact: one to two generations. Distribution requirement: codified in multiple independent institutions with practitioner training pathways.</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5.  </w:t>
            </w:r>
            <w:r>
              <w:rPr>
                <w:rFonts w:ascii="Arial" w:cs="Arial" w:eastAsia="Arial" w:hAnsi="Arial"/>
                <w:b w:val="false"/>
                <w:bCs w:val="false"/>
                <w:i w:val="false"/>
                <w:iCs w:val="false"/>
                <w:caps w:val="false"/>
                <w:color w:val="1A1A1A"/>
                <w:sz w:val="22"/>
                <w:szCs w:val="22"/>
              </w:rPr>
              <w:t xml:space="preserve">TIER 5 — CULTURAL: History, philosophy, literature, art, language preservation. Loss timescale to civilisational impact: multiple generations. Distribution requirement: diverse formats, languages, and custodians; no single institution should hold the unique copy of any cultural K-substrate.</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6.  </w:t>
            </w:r>
            <w:r>
              <w:rPr>
                <w:rFonts w:ascii="Arial" w:cs="Arial" w:eastAsia="Arial" w:hAnsi="Arial"/>
                <w:b w:val="false"/>
                <w:bCs w:val="false"/>
                <w:i w:val="false"/>
                <w:iCs w:val="false"/>
                <w:caps w:val="false"/>
                <w:color w:val="1A1A1A"/>
                <w:sz w:val="22"/>
                <w:szCs w:val="22"/>
              </w:rPr>
              <w:t xml:space="preserve">NOTE: Tiers are prioritisation order for emergency resource allocation only. In non-emergency conditions, all tiers should receive protection simultaneously. Allowing Tier 5 to atrophy during non-emergency periods produces Asabiyyah degradation that makes future emergencies more likely.</w:t>
            </w:r>
          </w:p>
        </w:tc>
      </w:tr>
    </w:tbl>
    <w:p>
      <w:pPr>
        <w:spacing w:after="120" w:before="0"/>
      </w:pP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Seldon Reading: Knowledge Capital, 2026</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60" w:before="0"/>
      </w:pPr>
    </w:p>
    <w:tbl>
      <w:tblPr>
        <w:tblW w:type="dxa" w:w="9360"/>
        <w:tblBorders>
          <w:top w:val="single" w:color="9AA5B1" w:sz="2"/>
          <w:left w:val="single" w:color="9AA5B1" w:sz="2"/>
          <w:bottom w:val="single" w:color="9AA5B1" w:sz="2"/>
          <w:right w:val="single" w:color="9AA5B1" w:sz="2"/>
          <w:insideH w:val="single" w:color="D5DCE5" w:sz="1"/>
          <w:insideV w:val="single" w:color="D5DCE5" w:sz="1"/>
        </w:tblBorders>
        <w:tblLayout w:type="fixed"/>
      </w:tblPr>
      <w:tblGrid>
        <w:gridCol w:w="2400"/>
        <w:gridCol w:w="1200"/>
        <w:gridCol w:w="1300"/>
        <w:gridCol w:w="1500"/>
        <w:gridCol w:w="2960"/>
      </w:tblGrid>
      <w:tr>
        <w:trPr>
          <w:tblHeader/>
        </w:trPr>
        <w:tc>
          <w:tcPr>
            <w:tcW w:type="dxa" w:w="24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Variable</w:t>
            </w:r>
          </w:p>
        </w:tc>
        <w:tc>
          <w:tcPr>
            <w:tcW w:type="dxa" w:w="12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Symbol</w:t>
            </w:r>
          </w:p>
        </w:tc>
        <w:tc>
          <w:tcPr>
            <w:tcW w:type="dxa" w:w="13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Reading</w:t>
            </w:r>
          </w:p>
        </w:tc>
        <w:tc>
          <w:tcPr>
            <w:tcW w:type="dxa" w:w="15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Trend</w:t>
            </w:r>
          </w:p>
        </w:tc>
        <w:tc>
          <w:tcPr>
            <w:tcW w:type="dxa" w:w="296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Primary Evidence</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Codified Volume</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K_vol</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1.45 (highest in human history; AI training corpora, digital libraries, open-access archives)</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Rising</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EDGAR_RAG: AI infrastructure investment producing unprecedented codified K growth; Meta Llama, GPT-4, Gemini embedding world's published knowledge</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Accessibility</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K_acc</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0.78 (high for connected populations; low for 2.6B without reliable internet)</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Rising but uneven</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INDIA_RAG: UPI/AADHAAR/ONDC model demonstrating open-architecture accessibility gains; EDGAR_RAG: AI paywalls creating new accessibility bifurcation</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Practitioner Network</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K_prac</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0.71 (expanding in AI-augmented fields; contracting in fields being automated)</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Mixed</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CONSULTING_RAG (MGI): 40-70% productivity uplift but apprenticeship pathway disruption; ACADEMIC_RAG: BIS documents junior financial practitioner pipeline thinning</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Substrate Concentration Risk</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K_conc</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ELEVATED (three cloud providers, 65% of compute; one TSMC fab, 90% of advanced chips)</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Worsening</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EDGAR_RAG: $500B+/yr AI capex concentrated in five firms; ACADEMIC_RAG: BIS Annual Report 2025 flags systemic concentration risk</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Transmission Integrity</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K_trans</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0.65 (declining in 47 countries by academic freedom measures)</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Declining</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HUMAN_RIGHTS_RAG: RSF Press Freedom Index 162/180 countries deteriorating; ACADEMIC_RAG: research defunding + AI substitution creating dual transmission pressure</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Overall K Reading</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K</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1.00+ (net boom; substrate risk is the dominant downside)</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Rising fast, tail risk elevated</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Fastest K-expansion in recorded history; Baghdad-type discontinuity risk elevated due to structural concentration; DPI model the most promising mitigation signal</w:t>
            </w:r>
          </w:p>
        </w:tc>
      </w:tr>
    </w:tbl>
    <w:p>
      <w:pPr>
        <w:spacing w:after="120" w:before="0"/>
      </w:pPr>
    </w:p>
    <w:p>
      <w:pPr>
        <w:spacing w:after="80" w:before="0"/>
      </w:pPr>
    </w:p>
    <w:tbl>
      <w:tblPr>
        <w:tblW w:type="dxa" w:w="9360"/>
        <w:tblBorders>
          <w:top w:val="single" w:color="1B3A6B" w:sz="4"/>
          <w:left w:val="single" w:color="1B3A6B" w:sz="18"/>
          <w:bottom w:val="single" w:color="1B3A6B" w:sz="4"/>
          <w:right w:val="single" w:color="1B3A6B" w:sz="4"/>
          <w:insideH w:val="none"/>
          <w:insideV w:val="none"/>
        </w:tblBorders>
        <w:tblLayout w:type="fixed"/>
      </w:tblPr>
      <w:tblGrid>
        <w:gridCol w:w="9360"/>
      </w:tblGrid>
      <w:tr>
        <w:tc>
          <w:tcPr>
            <w:tcW w:type="dxa" w:w="9360"/>
            <w:shd w:fill="E8EEF7" w:color="auto" w:val="clear"/>
            <w:tcMar>
              <w:top w:type="dxa" w:w="120"/>
              <w:left w:type="dxa" w:w="200"/>
              <w:bottom w:type="dxa" w:w="120"/>
              <w:right w:type="dxa" w:w="200"/>
            </w:tcMar>
          </w:tcPr>
          <w:p>
            <w:pPr>
              <w:spacing w:after="40" w:before="60" w:line="300" w:lineRule="auto"/>
              <w:jc w:val="left"/>
            </w:pPr>
            <w:r>
              <w:rPr>
                <w:rFonts w:ascii="Arial" w:cs="Arial" w:eastAsia="Arial" w:hAnsi="Arial"/>
                <w:b w:val="false"/>
                <w:bCs w:val="false"/>
                <w:i/>
                <w:iCs/>
                <w:caps w:val="false"/>
                <w:color w:val="1B3A6B"/>
                <w:sz w:val="26"/>
                <w:szCs w:val="26"/>
              </w:rPr>
              <w:t xml:space="preserve">The corpus has read 1,729,519 passages and found the same lesson in all of them: civilisations that lose their knowledge do not know they have lost it until a generation has passed. The gap is not visible from inside the gap. This is why protection must be designed before the threat arrives — because after Baghdad, there was no one left to design anything.</w:t>
            </w:r>
          </w:p>
          <w:p>
            <w:pPr>
              <w:spacing w:after="60" w:before="60" w:line="276" w:lineRule="auto"/>
              <w:jc w:val="left"/>
            </w:pPr>
            <w:r>
              <w:rPr>
                <w:rFonts w:ascii="Arial" w:cs="Arial" w:eastAsia="Arial" w:hAnsi="Arial"/>
                <w:b w:val="false"/>
                <w:bCs w:val="false"/>
                <w:i w:val="false"/>
                <w:iCs w:val="false"/>
                <w:caps w:val="false"/>
                <w:color w:val="8B0000"/>
                <w:sz w:val="20"/>
                <w:szCs w:val="20"/>
              </w:rPr>
              <w:t xml:space="preserve">— CivilisationOS synthesis — K variable assessment, 2026-07-18</w:t>
            </w:r>
          </w:p>
        </w:tc>
      </w:tr>
    </w:tbl>
    <w:p>
      <w:pPr>
        <w:spacing w:after="120" w:before="0"/>
      </w:pP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K reading for 2026 is, paradoxically, both the most optimistic and the most anxiety-producing reading in the seven-variable set. Most optimistic because K is growing at a rate that, if it continues and if the distribution problems are solved, could produce within a decade a genuine uplift in civilisational fitness that no previous period has experienced. Most anxiety-producing because the substrate on which that growth rests has never been more concentrated, and the mechanism by which the concentration could fail — a solar weather event, a coordinated cyberattack on shared infrastructure, a geopolitical disruption of the TSMC supply chain — is neither hypothetical nor remote. The corpus does not permit comfortable conclusions. The Baghdad Discontinuity took forty days. The current K-substrate is more powerful and more fragile simultaneously. Forty days may be a generous estimate.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What the corpus recommends is not pessimism. It recommends the posture of the Tang state that organised the translation movement: an entity that understood that K is wealth, that it must be actively produced and actively protected, and that the cost of protection is always lower than the cost of reconstruction. Singapore understood this in 1965 with thirty-two percent of a tiny budget. India understood it in 2008 when it began building open digital infrastructure rather than letting private platforms capture the K-access layer. What the corpus asks of 2026 is the same understanding, applied to a substrate of unprecedented power and unprecedented fragility, before the event that makes it undeniable — because after that event, the understanding will come too late.</w:t>
      </w:r>
    </w:p>
    <w:p>
      <w:r>
        <w:br w:type="page"/>
      </w:r>
    </w:p>
    <w:p>
      <w:pPr>
        <w:spacing w:after="300" w:before="0"/>
      </w:pPr>
    </w:p>
    <w:p>
      <w:pPr>
        <w:spacing w:after="40" w:before="60" w:line="276" w:lineRule="auto"/>
        <w:jc w:val="left"/>
      </w:pPr>
      <w:r>
        <w:rPr>
          <w:rFonts w:ascii="Arial" w:cs="Arial" w:eastAsia="Arial" w:hAnsi="Arial"/>
          <w:b/>
          <w:bCs/>
          <w:i w:val="false"/>
          <w:iCs w:val="false"/>
          <w:caps/>
          <w:color w:val="8B0000"/>
          <w:sz w:val="20"/>
          <w:szCs w:val="20"/>
        </w:rPr>
        <w:t xml:space="preserve">THE THIRD BOOK</w:t>
      </w:r>
    </w:p>
    <w:p>
      <w:pPr>
        <w:spacing w:after="40" w:before="60" w:line="300" w:lineRule="auto"/>
        <w:jc w:val="left"/>
      </w:pPr>
      <w:r>
        <w:rPr>
          <w:rFonts w:ascii="Arial" w:cs="Arial" w:eastAsia="Arial" w:hAnsi="Arial"/>
          <w:b/>
          <w:bCs/>
          <w:i w:val="false"/>
          <w:iCs w:val="false"/>
          <w:caps w:val="false"/>
          <w:color w:val="1B3A6B"/>
          <w:sz w:val="38"/>
          <w:szCs w:val="38"/>
        </w:rPr>
        <w:t xml:space="preserve">The Book of Institutions</w:t>
      </w:r>
    </w:p>
    <w:p>
      <w:pPr>
        <w:spacing w:after="80" w:before="60" w:line="276" w:lineRule="auto"/>
        <w:jc w:val="left"/>
      </w:pPr>
      <w:r>
        <w:rPr>
          <w:rFonts w:ascii="Arial" w:cs="Arial" w:eastAsia="Arial" w:hAnsi="Arial"/>
          <w:b w:val="false"/>
          <w:bCs w:val="false"/>
          <w:i/>
          <w:iCs/>
          <w:caps w:val="false"/>
          <w:color w:val="3A4652"/>
          <w:sz w:val="24"/>
          <w:szCs w:val="24"/>
        </w:rPr>
        <w:t xml:space="preserve">On the compressed social contracts that make civilised life possible, how they accumulate, how they calcify, and how, when they fail, everything else fails with them</w:t>
      </w:r>
    </w:p>
    <w:p>
      <w:pPr>
        <w:pBdr>
          <w:bottom w:val="single" w:color="1B3A6B" w:sz="14" w:space="6"/>
        </w:pBdr>
        <w:spacing w:after="160" w:before="40"/>
        <w:jc w:val="left"/>
      </w:pPr>
      <w:r>
        <w:rPr>
          <w:rFonts w:ascii="Arial" w:cs="Arial" w:eastAsia="Arial" w:hAnsi="Arial"/>
          <w:b w:val="false"/>
          <w:bCs w:val="false"/>
          <w:i w:val="false"/>
          <w:iCs w:val="false"/>
          <w:caps w:val="false"/>
          <w:color w:val="1A1A1A"/>
          <w:sz w:val="22"/>
          <w:szCs w:val="22"/>
        </w:rPr>
        <w:t xml:space="preserve"/>
      </w:r>
    </w:p>
    <w:p>
      <w:pPr>
        <w:spacing w:after="160" w:before="60" w:line="300" w:lineRule="auto"/>
        <w:jc w:val="left"/>
      </w:pPr>
      <w:r>
        <w:rPr>
          <w:rFonts w:ascii="Arial" w:cs="Arial" w:eastAsia="Arial" w:hAnsi="Arial"/>
          <w:b w:val="false"/>
          <w:bCs w:val="false"/>
          <w:i/>
          <w:iCs/>
          <w:caps w:val="false"/>
          <w:color w:val="3A4652"/>
          <w:sz w:val="22"/>
          <w:szCs w:val="22"/>
        </w:rPr>
        <w:t xml:space="preserve">Institutions are not buildings or bureaucracies or the accumulated mass of official letterhead. They are agreements — compressed, encoded, rehearsed across generations until they no longer need to be negotiated — about who decides, by what process, on what grounds, and who may contest the outcome. A society without institutions does not govern itself. It renegotiates everything from first principles every morning, and the morning always belongs to the strongest. This book maps the life cycle of institutions: their slow construction, their tendency to calcify around their own survival rather than their founding purpose, and the characteristic pattern by which they fail. It closes with a reading of the world in 2026, where Institutional Resilience stands at 0.41 — a single incident from the floor below which courts stop enforcing, tax systems stop collecting, and the press stops reporting. That floor is not a metaphor. It is an empirical threshold. It has been crossed before. The civilisations that crossed it did not always come back.</w:t>
      </w:r>
    </w:p>
    <w:p>
      <w:pPr>
        <w:spacing w:after="60" w:before="60" w:line="300" w:lineRule="auto"/>
        <w:ind w:left="900" w:right="900"/>
        <w:jc w:val="center"/>
      </w:pPr>
      <w:r>
        <w:rPr>
          <w:rFonts w:ascii="Arial" w:cs="Arial" w:eastAsia="Arial" w:hAnsi="Arial"/>
          <w:b w:val="false"/>
          <w:bCs w:val="false"/>
          <w:i/>
          <w:iCs/>
          <w:caps w:val="false"/>
          <w:color w:val="1B3A6B"/>
          <w:sz w:val="24"/>
          <w:szCs w:val="24"/>
        </w:rPr>
        <w:t xml:space="preserve">The most important single central fact about a free market is that no exchange takes place unless both parties benefit. But institutions are not markets. They are rules. And the study of rules is the study of who wrote them, when, under what constraint, and who benefits from their persistence.</w:t>
      </w:r>
    </w:p>
    <w:p>
      <w:pPr>
        <w:spacing w:after="240" w:before="60" w:line="276" w:lineRule="auto"/>
        <w:jc w:val="center"/>
      </w:pPr>
      <w:r>
        <w:rPr>
          <w:rFonts w:ascii="Arial" w:cs="Arial" w:eastAsia="Arial" w:hAnsi="Arial"/>
          <w:b w:val="false"/>
          <w:bCs w:val="false"/>
          <w:i w:val="false"/>
          <w:iCs w:val="false"/>
          <w:caps w:val="false"/>
          <w:color w:val="8B0000"/>
          <w:sz w:val="20"/>
          <w:szCs w:val="20"/>
        </w:rPr>
        <w:t xml:space="preserve">— Douglass C. North, Institutions, Institutional Change and Economic Performance, 1990</w:t>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1  </w:t>
      </w:r>
      <w:r>
        <w:rPr>
          <w:rFonts w:ascii="Arial" w:cs="Arial" w:eastAsia="Arial" w:hAnsi="Arial"/>
          <w:b w:val="false"/>
          <w:bCs w:val="false"/>
          <w:i w:val="false"/>
          <w:iCs w:val="false"/>
          <w:caps w:val="false"/>
          <w:color w:val="9AA5B1"/>
          <w:sz w:val="18"/>
          <w:szCs w:val="18"/>
        </w:rPr>
        <w:t xml:space="preserve">| And Why They Are Not Buildings</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What Institutions Are</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An institution is a compressed social contract. That compression is the point. The English common law court does not, every morning, invite the parties to a dispute to renegotiate whether binding arbitration between strangers should exist, who shall judge it, what procedures shall govern evidence, and whether the judgment shall be enforced. These questions were settled — imperfectly, contentiously, over eight centuries — and the settlement was encoded in precedent, statute, and professional habit so thoroughly that a barrister entering court in 2026 need not carry the entire argument in her head. The court holds it. The institution is the memory of the argument, compressed into a process.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This compression is not merely convenient. It is civilisationally necessary. A society that must renegotiate its fundamental arrangements from scratch each generation does not have a generation to spare for building roads, accumulating knowledge, or raising children above subsistence. The cognitive and social energy required to maintain a complex civilisation is only available if large domains of decision-making have already been resolved and institutionalised. Every institution that functions correctly is a freed-up margin. Every institution that ceases to function correctly is a domain returned to raw negotiation — which means, in practice, returned to whoever is strongest on that particular morning.</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CivilisationOS measures Institutional Resilience, the variable I, as the fraction of a society's institutional absorptive capacity that remains functional under stress. The definition matters: institutions are not expected to function perfectly under no stress. They are expected to function under the stresses societies actually generate — electoral defeat, financial crisis, war, pandemic, succession disputes, famine, invasion. I = 1.00 is a theoretical ceiling never observed in any RAG collection. I = 0.41 is where this corpus places the world in 2026 — barely above the floor, with no margin for additional shocks. I = 0.40 is the hard floor. Below it, the institutions that enforce tax collection, adjudicate property disputes, and permit the press to report on those who govern them fail not sequentially but simultaneously. This is the I-cascade.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A parliament is an institution for aggregating disagreement into policy without violence. A central bank is an institution for managing currency credibility across political cycles too short to take the long view unaided. A professional guild — or its modern descendant, a licensing body — is an institution for encoding quality standards at scale without requiring every client to personally verify every practitioner. A court is an institution for converting private grievance into public judgment without requiring the aggrieved to raise an army. Each of these devices converts uncertainty into predictable output. Each, when it fails, returns a domain of life to the state of uncertainty it was designed to resolve.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Seldon framework places I with an exponent of 0.29 in the numerator of the Phi equation — the second-highest weight after Asabiyyah. This reflects a finding consistent across the corpus: institutional failure is the proximate mechanism of most civilisational collapses, even when the ultimate cause lies elsewhere. The Qing dynasty's Asabiyyah had been declining for decades before its institutions collapsed; but it was the collapse of the institutions — the examination system, the banner armies, the tributary system — that made the decline irreversible. Institutions are the transmission system that converts A, K, and L into functional governance. When I fails, the engine is running but nothing moves.</w:t>
      </w:r>
    </w:p>
    <w:p>
      <w:r>
        <w:br w:type="pag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2  </w:t>
      </w:r>
      <w:r>
        <w:rPr>
          <w:rFonts w:ascii="Arial" w:cs="Arial" w:eastAsia="Arial" w:hAnsi="Arial"/>
          <w:b w:val="false"/>
          <w:bCs w:val="false"/>
          <w:i w:val="false"/>
          <w:iCs w:val="false"/>
          <w:caps w:val="false"/>
          <w:color w:val="9AA5B1"/>
          <w:sz w:val="18"/>
          <w:szCs w:val="18"/>
        </w:rPr>
        <w:t xml:space="preserve">| The Long Calculus of Trust</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How Institutions Build</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Institutions do not spring into existence complete. They accrete. The English common law required approximately eight centuries of precedent-setting, political contestation, and professional habit formation before it achieved the resilience that made it exportable across four continents. The Bank of England required a century of crises — the South Sea Bubble, the Napoleonic Wars, the crises of 1825 and 1847 and 1866 — before it had built the institutional memory and policy doctrine sufficient to function as a genuine lender of last resort. Institutions are not designed. They are grown, and the growing takes longer than any politician's time horizon.</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fundamental currency of institution-building is demonstrated consistency over time. A court that enforces the same principle regardless of who appears before it generates a resource — predictability — that compounds. Each correct enforcement raises the expected cost of violation and lowers the transaction costs of all future agreements that rely on that court. A court that enforces selectively creates the opposite: it generates a resource for the strong and a tax on the weak, and over time, the weak stop bringing disputes to it and the system loses the only test that reveals whether it is functioning. Consistent performance across multiple stress cycles is how an institution moves from a structure on a document to a load-bearing element of social architecture.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Singapore's founding institutions offer one of the few modern case studies in deliberate institution-building at speed. The People's Action Party government that took office in 1959 confronted a territory with no institutional tradition of independent governance, significant ethnic fragmentation, and an immediate withdrawal of British administrative capacity. The choices it made were not primarily economic — though the economic results were spectacular. They were institutional: an anti-corruption commission (CPIB) with genuine investigative independence from the outset; a civil service pay structure designed to attract talent away from the private sector; a judicial system in which commercial law was held to a standard of predictability that multinationals could rely on. The result was I-building at a rate the corpus documents in almost no other twentieth-century case.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WORLD_GREATBOOKS corpus contains Aristotle's Politics, the original attempt in the Western tradition to derive constitutional design principles from comparative institutional analysis. Aristotle catalogued over 150 constitutions and drew from them conclusions that the Seldon framework independently replicates: that institutional stability correlates with the breadth of the class that benefits from it (a narrow-benefit institution faces constant pressure from those excluded); that checks between branches of governance increase resilience against single-point capture; and that the worst institutional failure mode is not the institution that governs badly, but the institution that governs well for one class while calling it universal. His analysis of the Athenian democracy's institutional stress points reads, against the 2026 corpus, as a diagnostic manual.</w:t>
      </w:r>
    </w:p>
    <w:p>
      <w:pPr>
        <w:spacing w:after="80" w:before="0"/>
      </w:pPr>
    </w:p>
    <w:tbl>
      <w:tblPr>
        <w:tblW w:type="dxa" w:w="9360"/>
        <w:tblBorders>
          <w:top w:val="single" w:color="00595C" w:sz="4"/>
          <w:left w:val="single" w:color="00595C" w:sz="18"/>
          <w:bottom w:val="single" w:color="00595C" w:sz="4"/>
          <w:right w:val="single" w:color="00595C" w:sz="4"/>
          <w:insideH w:val="none"/>
          <w:insideV w:val="none"/>
        </w:tblBorders>
        <w:tblLayout w:type="fixed"/>
      </w:tblPr>
      <w:tblGrid>
        <w:gridCol w:w="9360"/>
      </w:tblGrid>
      <w:tr>
        <w:tc>
          <w:tcPr>
            <w:tcW w:type="dxa" w:w="9360"/>
            <w:shd w:fill="E0F2F1"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00595C"/>
                <w:sz w:val="18"/>
                <w:szCs w:val="18"/>
              </w:rPr>
              <w:t xml:space="preserve">CORPUS EVIDENCE — ARISTOTLE AND NORTH ON INSTITUTIONAL DESIGN</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WORLD_GREATBOOKS_RAG (16,725 chunks) contains Aristotle's Politics in full. Book III distinguishes constitutions by the number who rule and the ends for which they rule — not as political taxonomy but as a predictive framework. His observation that oligarchies tend toward faction because the few who benefit will disagree among themselves about the division of benefit exactly anticipates Mancur Olson's distributional coalitions analysis from 1982.</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Douglass North's central contribution, as held in this corpus, is the distinction between formal institutions (laws, constitutions) and informal constraints (norms, codes of conduct, conventions). North argues — and the civilisational record confirms — that formal institutions imported without matching informal constraints fail at implementation even when they succeed at legislation. Singapore's anti-corruption framework worked not primarily because the law was strong, but because the informal norm that accepting corruption was genuinely shameful was cultivated alongside it.</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CHINESE_GREATBOOKS_RAG (27,462 chunks) documents the Han dynasty's restoration of institutions following the Qin collapse as the clearest case in the pre-modern record of deliberate institutional memory activation. The Han deliberately retrieved and reinstated Confucian administrative doctrine not as a philosophical preference but as a governance technology: a shared frame that allowed officials trained in different localities to coordinate without direct supervision. Institutional memory, in this case, was the resource that survived the collapse and enabled the restoration.</w:t>
            </w:r>
          </w:p>
          <w:p>
            <w:pPr>
              <w:spacing w:after="60" w:before="40" w:line="276" w:lineRule="auto"/>
              <w:jc w:val="left"/>
            </w:pPr>
            <w:r>
              <w:rPr>
                <w:rFonts w:ascii="Arial" w:cs="Arial" w:eastAsia="Arial" w:hAnsi="Arial"/>
                <w:b w:val="false"/>
                <w:bCs w:val="false"/>
                <w:i/>
                <w:iCs/>
                <w:caps w:val="false"/>
                <w:color w:val="3A4652"/>
                <w:sz w:val="18"/>
                <w:szCs w:val="18"/>
              </w:rPr>
              <w:t xml:space="preserve">Source: WORLD_GREATBOOKS_RAG (Vol. 8, Aristotle Politics); CHINESE_GREATBOOKS_RAG (Han Shu, Records of the Grand Historian)</w:t>
            </w:r>
          </w:p>
        </w:tc>
      </w:tr>
    </w:tbl>
    <w:p>
      <w:pPr>
        <w:spacing w:after="120" w:before="0"/>
      </w:pP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key empirical regularity that the corpus returns on institution-building is that you cannot import an institution wholesale from another culture without importing the informal norms that make it run. The post-colonial period provides dozens of natural experiments. Parliamentary constitutions drafted in Westminster were installed across forty newly independent states between 1945 and 1970. A fraction retained them. The fraction that retained them were, almost without exception, the cases where the colonial period had generated an indigenous professional class — lawyers, civil servants, journalists — who had internalised the informal constraints of parliamentary behaviour alongside the formal procedures. Where that class did not exist, the formal institution sat atop a society whose informal constraints pointed in entirely different directions, and the formal institution deformed within one or two electoral cycles to fit the informal constraints actually operating.</w:t>
      </w:r>
    </w:p>
    <w:p>
      <w:pPr>
        <w:spacing w:after="80" w:before="0"/>
      </w:pPr>
    </w:p>
    <w:tbl>
      <w:tblPr>
        <w:tblW w:type="dxa" w:w="9360"/>
        <w:tblBorders>
          <w:top w:val="single" w:color="1B3A6B" w:sz="4"/>
          <w:left w:val="single" w:color="1B3A6B" w:sz="18"/>
          <w:bottom w:val="single" w:color="1B3A6B" w:sz="4"/>
          <w:right w:val="single" w:color="1B3A6B" w:sz="4"/>
          <w:insideH w:val="none"/>
          <w:insideV w:val="none"/>
        </w:tblBorders>
        <w:tblLayout w:type="fixed"/>
      </w:tblPr>
      <w:tblGrid>
        <w:gridCol w:w="9360"/>
      </w:tblGrid>
      <w:tr>
        <w:tc>
          <w:tcPr>
            <w:tcW w:type="dxa" w:w="9360"/>
            <w:shd w:fill="E8EEF7" w:color="auto" w:val="clear"/>
            <w:tcMar>
              <w:top w:type="dxa" w:w="120"/>
              <w:left w:type="dxa" w:w="200"/>
              <w:bottom w:type="dxa" w:w="120"/>
              <w:right w:type="dxa" w:w="200"/>
            </w:tcMar>
          </w:tcPr>
          <w:p>
            <w:pPr>
              <w:spacing w:after="40" w:before="60" w:line="300" w:lineRule="auto"/>
              <w:jc w:val="left"/>
            </w:pPr>
            <w:r>
              <w:rPr>
                <w:rFonts w:ascii="Arial" w:cs="Arial" w:eastAsia="Arial" w:hAnsi="Arial"/>
                <w:b w:val="false"/>
                <w:bCs w:val="false"/>
                <w:i/>
                <w:iCs/>
                <w:caps w:val="false"/>
                <w:color w:val="1B3A6B"/>
                <w:sz w:val="26"/>
                <w:szCs w:val="26"/>
              </w:rPr>
              <w:t xml:space="preserve">You cannot write an institution into existence. You can only create the conditions in which one grows — and then wait, sometimes for generations, to see whether it takes.</w:t>
            </w:r>
          </w:p>
          <w:p>
            <w:pPr>
              <w:spacing w:after="60" w:before="60" w:line="276" w:lineRule="auto"/>
              <w:jc w:val="left"/>
            </w:pPr>
            <w:r>
              <w:rPr>
                <w:rFonts w:ascii="Arial" w:cs="Arial" w:eastAsia="Arial" w:hAnsi="Arial"/>
                <w:b w:val="false"/>
                <w:bCs w:val="false"/>
                <w:i w:val="false"/>
                <w:iCs w:val="false"/>
                <w:caps w:val="false"/>
                <w:color w:val="8B0000"/>
                <w:sz w:val="20"/>
                <w:szCs w:val="20"/>
              </w:rPr>
              <w:t xml:space="preserve">— Synthesised from Douglass North and the Han restoration record, CHINESE_GREATBOOKS_RAG</w:t>
            </w:r>
          </w:p>
        </w:tc>
      </w:tr>
    </w:tbl>
    <w:p>
      <w:pPr>
        <w:spacing w:after="120" w:before="0"/>
      </w:pPr>
    </w:p>
    <w:p>
      <w:r>
        <w:br w:type="pag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3  </w:t>
      </w:r>
      <w:r>
        <w:rPr>
          <w:rFonts w:ascii="Arial" w:cs="Arial" w:eastAsia="Arial" w:hAnsi="Arial"/>
          <w:b w:val="false"/>
          <w:bCs w:val="false"/>
          <w:i w:val="false"/>
          <w:iCs w:val="false"/>
          <w:caps w:val="false"/>
          <w:color w:val="9AA5B1"/>
          <w:sz w:val="18"/>
          <w:szCs w:val="18"/>
        </w:rPr>
        <w:t xml:space="preserve">| When the Process Becomes the Product</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How Institutions Calcify</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Every institution that succeeds accumulates, around itself, a population that benefits from its current form more than from its stated purpose. This is not a conspiracy. It is a structural feature of any organisation that has been operating long enough to generate careers. The career of a regulator is built on the existence and importance of regulation. The career of a proceduralist is built on the complexity and indispensability of procedure. The career of the regulated-industry lobbyist is built on maintaining access to the regulator. When these three parties reach a stable equilibrium — a revolving door between them, a shared vocabulary, a mutual interest in regulatory complexity that justifies all three roles simultaneously — the institution has been captured. It now functions primarily to reproduce itself, and its founding mission is available only to those who can afford the complexity it has generated.</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Mancur Olson identified this mechanism in 1982 as the distributional coalition: a subset of society that organises to extract a larger share of output through institutional means rather than productive ones. Olson's insight was that these coalitions accumulate over time in any stable polity. A newly formed state begins with few such coalitions; over decades, more form, more capture, more institutional complexity accretes around each capture, and the overhead cost of the system rises while its responsiveness falls. Olson's prediction — that long-stable democracies would become progressively less economically dynamic not because of anything identifiably wrong but because of the accumulated weight of distributional coalitions — has been confirmed with embarrassing regularity in the forty years since he made it.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late-Qing civil service examination system is the CHINESE_GREATBOOKS corpus's most instructive case of institutional calcification. The examinations had, in their Song dynasty prime, served as a genuine mechanism for elite recruitment: competitive, broad in scope, capable of producing administrators who could govern distant provinces without direct supervision. By the nineteenth century, the examinations had become self-referential. Candidates spent a decade or more mastering the eight-legged essay — a highly formalised compositional form of no practical administrative utility. They emerged with credentials for a bureaucracy that had already been hollowed out by the Taiping Rebellion, the Opium Wars, and systematic fiscal crisis. The process had become the product. The credential was the prize. The governance it was supposed to produce had become secondary, then irrelevant, then absent.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pattern the corpus identifies in calcified institutions is consistent across cultures and centuries. The mission drifts from external (serve this population, perform this function) to internal (survive as an organisation, maintain our budget, protect our professional prerogatives). Metrics proliferate, but they measure the institution's activity rather than its outcomes. Compliance replaces performance: the question shifts from 'does this work?' to 'are we following the procedure for doing this?' Complexity grows, because complexity is the defence against accountability — an outcome that cannot be attributed to a single decision cannot be used to hold a decision-maker responsible. And the complexity generates demand for the specialists who understand it, who are trained by the institution itself and who therefore have a professional interest in its continuation in its current form.</w:t>
      </w:r>
    </w:p>
    <w:p>
      <w:pPr>
        <w:spacing w:after="80" w:before="0"/>
      </w:pPr>
    </w:p>
    <w:tbl>
      <w:tblPr>
        <w:tblW w:type="dxa" w:w="9360"/>
        <w:tblBorders>
          <w:top w:val="single" w:color="7A4F01" w:sz="4"/>
          <w:left w:val="single" w:color="7A4F01" w:sz="18"/>
          <w:bottom w:val="single" w:color="7A4F01" w:sz="4"/>
          <w:right w:val="single" w:color="7A4F01" w:sz="4"/>
          <w:insideH w:val="none"/>
          <w:insideV w:val="none"/>
        </w:tblBorders>
        <w:tblLayout w:type="fixed"/>
      </w:tblPr>
      <w:tblGrid>
        <w:gridCol w:w="9360"/>
      </w:tblGrid>
      <w:tr>
        <w:tc>
          <w:tcPr>
            <w:tcW w:type="dxa" w:w="9360"/>
            <w:shd w:fill="FFF6E0"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7A4F01"/>
                <w:sz w:val="18"/>
                <w:szCs w:val="18"/>
              </w:rPr>
              <w:t xml:space="preserve">SEVEN SIGNS OF INSTITUTIONAL CALCIFICATION</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1. PROCESS PRIMACY — The institution is more concerned with whether correct procedure was followed than whether the procedure produced the intended outcome. Violations of process trigger more internal alarm than failures of mission.</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2. COMPLIANCE THEATRE — Visible demonstrations of rule-following (audits, reports, certifications) proliferate while the underlying function they were designed to assure degrades. The audit passes; the system fails.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3. COMPLEXITY SPIRAL — Rules and procedures become progressively more elaborate, requiring specialised knowledge to navigate. The complexity concentrates power in the specialists, who have incentives to maintain it.</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4. REGULATORY CAPTURE — The regulated entity begins to staff, brief, and informally direct the regulating body. Personnel flow in one direction (from regulator to regulated) or both directions (revolving door). The institution is still running; it is running for someone else.</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5. OUTPUT INVERSION — The institution produces the opposite of its original mandate: a safety regulator approves products faster to reduce industry burden; a competition regulator blocks new entrants to protect incumbents; a professional licensing body restricts supply to raise member incomes.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6. MISSION AMNESIA — Senior staff cannot explain the founding purpose of the institution in terms that connect to its current operations. The mission statement is displayed; it is not used to make decisions.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7. REFORM DEFLECTION — All serious proposals for reform are absorbed into internal working groups that produce reports that recommend further study. The institution's response to challenge is to generate institutional complexity around the challenge until it is no longer legible.</w:t>
            </w:r>
          </w:p>
        </w:tc>
      </w:tr>
    </w:tbl>
    <w:p>
      <w:pPr>
        <w:spacing w:after="120" w:before="0"/>
      </w:pP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NIKKEI_RAG documents Japan's corporate governance reform under the Kishida administration as a case study in attempting to decalcify institutions from the outside. The cross-shareholding structure (keiretsu) of Japanese corporate finance had, by 2020, become a system that protected incumbents from accountability to capital and management from accountability to boards. The Tokyo Stock Exchange's 2023 directive requiring companies trading below book value to publish plans for improvement was an attempt to reintroduce the external pressure that calcification had removed. NIKKEI_RAG data through late 2025 shows mixed results: share buybacks and dividend increases accelerated, but the deeper governance changes — board independence, genuine CEO accountability, strategic clarity — lagged. Reforming a calcified institution from outside is possible. It takes longer than reforming it before calcification sets in, and it rarely reaches the original design.</w:t>
      </w:r>
    </w:p>
    <w:p>
      <w:r>
        <w:br w:type="pag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4  </w:t>
      </w:r>
      <w:r>
        <w:rPr>
          <w:rFonts w:ascii="Arial" w:cs="Arial" w:eastAsia="Arial" w:hAnsi="Arial"/>
          <w:b w:val="false"/>
          <w:bCs w:val="false"/>
          <w:i w:val="false"/>
          <w:iCs w:val="false"/>
          <w:caps w:val="false"/>
          <w:color w:val="9AA5B1"/>
          <w:sz w:val="18"/>
          <w:szCs w:val="18"/>
        </w:rPr>
        <w:t xml:space="preserve">| The Mechanisms of I-Collapse</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How Institutions Break</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Institutions fail in one of three modes: capture, erosion, and override. Capture has been described in the preceding chapter — it is slow, often invisible until the capture is complete, and tends to be stabilising in the short term because the capturing interests have a stake in the captured institution's formal survival. Erosion is slower still: the gradual loss of competence, funding, legitimacy, and staff quality that occurs when an institution is neglected rather than attacked. Override is the mode that creates acute I-collapse: a political actor with sufficient short-run power simply bypasses or abolishes the institution before its resistance mechanisms can engage. Override is fast. It is also the mode that most clearly signals I at or below 0.40, because institutions with genuine resilience above that threshold survive the first override attempt and generate sufficient political cost that the attempt is not repeated.</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Political capture of judicial independence is the override mechanism most consistently documented across the corpus. When an executive confronts a court that is likely to rule against it, the available moves are constitutional (appeal, legislative response, constitutional amendment) or extra-constitutional (jurisdiction-stripping, court-packing, non-enforcement of judgments, personal harassment of judges). The constitutional moves are slow and publicly visible; the extra-constitutional moves are faster and, if the press is already weakened, may not be reported in time to generate resistance. US_POLICY_RAG documents the Federal Reserve's sustained maintenance of rate discipline against significant political pressure through 2025 and into 2026 as a demonstration that I = 0.70 is achievable under stress — but the same corpus documents CBO projections that show the long-run fiscal trajectory on a path that will eventually make that political pressure overwhelming. The question is whether institutions can sustain I long enough for fiscal adjustment to occur through constitutional channels.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Press freedom is not a cultural amenity. It is an institutional resilience mechanism — the upward information channel that permits rulers to learn what is actually happening in the territory they govern before what is happening becomes impossible to correct. HUMAN_RIGHTS_RAG, drawing from the RSF Press Freedom Index 2025, documents 162 of 180 countries with deteriorating scores. The deterioration is not random: it clusters by regime type (competitive authoritarians and consolidated autocracies account for the majority of the decline), but it also reaches into established democracies, where legal harassment of journalists, concentration of media ownership in politically aligned hands, and the economic destruction of local news have produced information deserts in which local governance operates without observation. An unobserved institution is, within a generation, an unaccountable one. An unaccountable institution calcifies faster than any other type.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I-cascade is the scenario in which institutional failures compound rather than occurring independently. When I falls below 0.40, the corpus documents a characteristic sequence. Tax enforcement weakens first — tax authorities are the most politically exposed of the coercive institutions, and their staff are among the first to recognise that enforcement actions against well-connected defendants will not be supported. When tax enforcement weakens, the fiscal base narrows, which reduces funding for courts and security forces, which weakens their enforcement capacity, which further erodes the legitimacy of a system that has ceased to deliver services. Courts begin to be forum-shopped: litigants seek judges associated with favourable outcomes rather than correct application of law. The press retreats from accountability journalism to content that offends no one with the capacity to cause harm. The cascade is not a theory. It is observable in at least four cases in the current corpus.</w:t>
      </w:r>
    </w:p>
    <w:p>
      <w:pPr>
        <w:spacing w:after="80" w:before="0"/>
      </w:pPr>
    </w:p>
    <w:tbl>
      <w:tblPr>
        <w:tblW w:type="dxa" w:w="9360"/>
        <w:tblBorders>
          <w:top w:val="single" w:color="1B5E20" w:sz="4"/>
          <w:left w:val="single" w:color="1B5E20" w:sz="18"/>
          <w:bottom w:val="single" w:color="1B5E20" w:sz="4"/>
          <w:right w:val="single" w:color="1B5E20" w:sz="4"/>
          <w:insideH w:val="none"/>
          <w:insideV w:val="none"/>
        </w:tblBorders>
        <w:tblLayout w:type="fixed"/>
      </w:tblPr>
      <w:tblGrid>
        <w:gridCol w:w="9360"/>
      </w:tblGrid>
      <w:tr>
        <w:tc>
          <w:tcPr>
            <w:tcW w:type="dxa" w:w="9360"/>
            <w:shd w:fill="E8F5E9"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1B5E20"/>
                <w:sz w:val="18"/>
                <w:szCs w:val="18"/>
              </w:rPr>
              <w:t xml:space="preserve">FIELD NOTE  —  WHAT I BELOW 0.40 ACTUALLY LOOKS LIKE</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1.  </w:t>
            </w:r>
            <w:r>
              <w:rPr>
                <w:rFonts w:ascii="Arial" w:cs="Arial" w:eastAsia="Arial" w:hAnsi="Arial"/>
                <w:b w:val="false"/>
                <w:bCs w:val="false"/>
                <w:i w:val="false"/>
                <w:iCs w:val="false"/>
                <w:caps w:val="false"/>
                <w:color w:val="1A1A1A"/>
                <w:sz w:val="22"/>
                <w:szCs w:val="22"/>
              </w:rPr>
              <w:t xml:space="preserve">Tax gap widens beyond 20% of theoretical liability — not because of evasion alone, but because enforcement staff have learned that cases against well-connected defendants are not supported by courts or political leadership.</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2.  </w:t>
            </w:r>
            <w:r>
              <w:rPr>
                <w:rFonts w:ascii="Arial" w:cs="Arial" w:eastAsia="Arial" w:hAnsi="Arial"/>
                <w:b w:val="false"/>
                <w:bCs w:val="false"/>
                <w:i w:val="false"/>
                <w:iCs w:val="false"/>
                <w:caps w:val="false"/>
                <w:color w:val="1A1A1A"/>
                <w:sz w:val="22"/>
                <w:szCs w:val="22"/>
              </w:rPr>
              <w:t xml:space="preserve">Commercial courts develop a reputation for predictability based on plaintiff or defendant identity rather than law — multinationals move dispute resolution to offshore arbitration; domestic SMEs absorb losses they cannot afford to litigate.</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3.  </w:t>
            </w:r>
            <w:r>
              <w:rPr>
                <w:rFonts w:ascii="Arial" w:cs="Arial" w:eastAsia="Arial" w:hAnsi="Arial"/>
                <w:b w:val="false"/>
                <w:bCs w:val="false"/>
                <w:i w:val="false"/>
                <w:iCs w:val="false"/>
                <w:caps w:val="false"/>
                <w:color w:val="1A1A1A"/>
                <w:sz w:val="22"/>
                <w:szCs w:val="22"/>
              </w:rPr>
              <w:t xml:space="preserve">Press coverage of government contracts, procurement, and law enforcement actions drops by more than 40% from a five-year baseline — not through censorship orders but through self-censorship by editors calculating the cost of coverage against the return.</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4.  </w:t>
            </w:r>
            <w:r>
              <w:rPr>
                <w:rFonts w:ascii="Arial" w:cs="Arial" w:eastAsia="Arial" w:hAnsi="Arial"/>
                <w:b w:val="false"/>
                <w:bCs w:val="false"/>
                <w:i w:val="false"/>
                <w:iCs w:val="false"/>
                <w:caps w:val="false"/>
                <w:color w:val="1A1A1A"/>
                <w:sz w:val="22"/>
                <w:szCs w:val="22"/>
              </w:rPr>
              <w:t xml:space="preserve">Senior civil servants begin to maintain personal relationships with multiple political factions as insurance — the hedging behaviour that precedes formal institutional neutrality collapse.</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5.  </w:t>
            </w:r>
            <w:r>
              <w:rPr>
                <w:rFonts w:ascii="Arial" w:cs="Arial" w:eastAsia="Arial" w:hAnsi="Arial"/>
                <w:b w:val="false"/>
                <w:bCs w:val="false"/>
                <w:i w:val="false"/>
                <w:iCs w:val="false"/>
                <w:caps w:val="false"/>
                <w:color w:val="1A1A1A"/>
                <w:sz w:val="22"/>
                <w:szCs w:val="22"/>
              </w:rPr>
              <w:t xml:space="preserve">Constitutional provisions are routinely invoked, interpreted, or suspended by executive action with no legislative authorisation, and the courts do not rule against the action within twelve months.</w:t>
            </w:r>
          </w:p>
        </w:tc>
      </w:tr>
    </w:tbl>
    <w:p>
      <w:pPr>
        <w:spacing w:after="120" w:before="0"/>
      </w:pPr>
    </w:p>
    <w:p>
      <w:r>
        <w:br w:type="pag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5  </w:t>
      </w:r>
      <w:r>
        <w:rPr>
          <w:rFonts w:ascii="Arial" w:cs="Arial" w:eastAsia="Arial" w:hAnsi="Arial"/>
          <w:b w:val="false"/>
          <w:bCs w:val="false"/>
          <w:i w:val="false"/>
          <w:iCs w:val="false"/>
          <w:caps w:val="false"/>
          <w:color w:val="9AA5B1"/>
          <w:sz w:val="18"/>
          <w:szCs w:val="18"/>
        </w:rPr>
        <w:t xml:space="preserve">| December 2024 — April 2025</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South Korea Test</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On 3 December 2024, President Yoon Suk-yeol of the Republic of Korea declared martial law. The declaration came without military threat, without parliamentary authorisation, and with language characterising the political opposition as anti-state forces. It was, by the definition this manual uses, an institutional override attempt: an executive employing extra-constitutional force to bypass the legislative and judicial institutions that constrain executive power. The response of the Korean constitutional system to this attempt is the most important single data point in the 2024-2026 corpus on the question of whether institutional resilience can actually be demonstrated in practice.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National Assembly convened within hours. Under the Korean constitution, a majority vote of the National Assembly can lift a declaration of martial law. The vote was taken. The declaration was lifted. The martial law lasted six hours. What followed was a constitutional process, not a political confrontation: the National Assembly voted to impeach Yoon; the Constitutional Court took up the case; the Korean military, which had been ordered to enforce the martial law, did not act against the Assembly. The process was messy, deeply contested, and covered in real time by a free press that had not been silenced because the martial law had lasted only long enough to be overturned. CNA_RAG documents the full arc through April 2025.</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Constitutional Court of Korea completed its review and delivered its impeachment judgment within four months of the original declaration. This is, in comparative terms, extraordinary speed for a constitutional process of this consequence. The Watergate process in the United States ran approximately two years from the original break-in to Nixon's resignation; the Brazilian impeachment of Dilma Rousseff ran nearly a year between the Senate vote to accept charges and the final removal. The Korean case suggests that an institution can, if its prior resilience is sufficient, process even an acute constitutional crisis at a speed that prevents the crisis from consolidating into a new normal. The system held. Democracy was maintained. The I-reading for Korea, assessed against this event, is approximately 0.80.</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CivilisationOS identifies four features of the Korean institutional architecture that made this outcome possible rather than merely lucky. First, constitutional design: the provision for Assembly override of martial law is unambiguous, requiring only a majority vote, and the Assembly had sufficient procedural capacity to convene and vote within hours. Second, independent judiciary: the Constitutional Court had sufficient institutional independence, budget, and internal professional culture to rule against the sitting executive without requiring political cover from any other branch. Third, an active civil society that generated immediate and visible public opposition, raising the political cost of non-compliance with constitutional norms above the cost of compliance. Fourth, and most critically: a free press that reported the events in real time, eliminating the information void in which override attempts most easily consolidate.</w:t>
      </w:r>
    </w:p>
    <w:p>
      <w:pPr>
        <w:spacing w:after="80" w:before="0"/>
      </w:pPr>
    </w:p>
    <w:tbl>
      <w:tblPr>
        <w:tblW w:type="dxa" w:w="9360"/>
        <w:tblBorders>
          <w:top w:val="single" w:color="00595C" w:sz="4"/>
          <w:left w:val="single" w:color="00595C" w:sz="18"/>
          <w:bottom w:val="single" w:color="00595C" w:sz="4"/>
          <w:right w:val="single" w:color="00595C" w:sz="4"/>
          <w:insideH w:val="none"/>
          <w:insideV w:val="none"/>
        </w:tblBorders>
        <w:tblLayout w:type="fixed"/>
      </w:tblPr>
      <w:tblGrid>
        <w:gridCol w:w="9360"/>
      </w:tblGrid>
      <w:tr>
        <w:tc>
          <w:tcPr>
            <w:tcW w:type="dxa" w:w="9360"/>
            <w:shd w:fill="E0F2F1"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00595C"/>
                <w:sz w:val="18"/>
                <w:szCs w:val="18"/>
              </w:rPr>
              <w:t xml:space="preserve">CORPUS EVIDENCE — KOREA AND TAIWAN AS INSTITUTIONAL RESILIENCE CASES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CNA_RAG (259,252 chunks) provides the most sustained documentation in the corpus of the Yoon Suk-yeol constitutional crisis. The coverage arc runs from the 3 December declaration through the Constitutional Court judgment in April 2025. Key finding: the Korean press corps was operational throughout. No significant media outlet suspended coverage during the martial law window. This is the direct mechanism: the military unit sent to the National Assembly building encountered public resistance that had been mobilised by real-time reporting.</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CNA_RAG also documents Taiwan's democratic consolidation through the 2024 elections as a parallel case. Taiwan's institutions face a fundamentally different stress — not internal executive override but sustained external pressure from the PRC, including military exercises, economic leverage, and information operations. Taiwan's I-reading in the corpus is approximately 0.72 — below Korea's in this comparison but substantially above the global average. The mechanism in Taiwan is different: institutional resilience is maintained through a strong civil society, a contested and free domestic press, and a legislative branch with genuine independence from the executive.</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KOREA_RAG (702 chunks, RAG-67) documents the institutional and policy context around the martial law episode. Cross-referenced with CNA_RAG, this supports the assessment that I~0.80 in Korea reflects not accidental good fortune but a constitutional architecture deliberately designed, after the authoritarian period, to prevent executive override.</w:t>
            </w:r>
          </w:p>
          <w:p>
            <w:pPr>
              <w:spacing w:after="60" w:before="40" w:line="276" w:lineRule="auto"/>
              <w:jc w:val="left"/>
            </w:pPr>
            <w:r>
              <w:rPr>
                <w:rFonts w:ascii="Arial" w:cs="Arial" w:eastAsia="Arial" w:hAnsi="Arial"/>
                <w:b w:val="false"/>
                <w:bCs w:val="false"/>
                <w:i/>
                <w:iCs/>
                <w:caps w:val="false"/>
                <w:color w:val="3A4652"/>
                <w:sz w:val="18"/>
                <w:szCs w:val="18"/>
              </w:rPr>
              <w:t xml:space="preserve">Source: CNA_RAG (cid=24, 259,252ch); KOREA_RAG (cid=88, 702ch); cross-reference HUMAN_RIGHTS_RAG on press freedom indicators</w:t>
            </w:r>
          </w:p>
        </w:tc>
      </w:tr>
    </w:tbl>
    <w:p>
      <w:pPr>
        <w:spacing w:after="120" w:before="0"/>
      </w:pP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contrast with the global I-reading of 0.41 is instructive in both directions. Korea's I = 0.80 is achievable under acute stress — but Korea is exceptional, not typical. The RSF Press Freedom Index documents that for the overwhelming majority of cases in which an executive has attempted an institutional override in the past decade, the override has at least partially succeeded. The press was not free enough to mobilise civil society fast enough. The courts were not independent enough to rule against the executive without political cover. The military was not sufficiently institutionally bounded to refuse the order. Korea succeeded because it had built, over four decades of democratic consolidation since 1987, the institutional stock required to absorb the shock. That stock cannot be borrowed. It cannot be imported. It cannot be installed in the week of the crisis.</w:t>
      </w:r>
    </w:p>
    <w:p>
      <w:r>
        <w:br w:type="pag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6  </w:t>
      </w:r>
      <w:r>
        <w:rPr>
          <w:rFonts w:ascii="Arial" w:cs="Arial" w:eastAsia="Arial" w:hAnsi="Arial"/>
          <w:b w:val="false"/>
          <w:bCs w:val="false"/>
          <w:i w:val="false"/>
          <w:iCs w:val="false"/>
          <w:caps w:val="false"/>
          <w:color w:val="9AA5B1"/>
          <w:sz w:val="18"/>
          <w:szCs w:val="18"/>
        </w:rPr>
        <w:t xml:space="preserve">| The Two-Generation Rule</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Rebuilding Institutional Resilience</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The record of institutional reconstruction after collapse or near-collapse is not encouraging in its timeline. It is encouraging in that it demonstrates reconstruction is possible. The Grundgesetz — the Basic Law of the Federal Republic of Germany, adopted in 1949 — is the most thoroughly documented deliberate I-rebuild in the modern corpus. Its framers had available to them an unusually explicit analysis of the failure mode they were designing against: the Weimar Republic had not lacked a constitution. It had lacked constitutional provisions that were robust against a determined executive willing to use the formal mechanisms of constitutional order to destroy constitutional order itself. The Grundgesetz was therefore not a rewriting of Weimar but a systematic interrogation of every point at which Weimar had been exploited and a deliberate reinforcement of each.</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specific design features of the Grundgesetz that addressed the Weimar failure mode have been extensively studied in the WORLD_GREATBOOKS corpus's political theory holdings and in the academic literature cross-referenced through ACADEMIC_RAG. The constructive vote of no confidence — which requires a majority not merely to defeat a government but to simultaneously designate a successor — eliminates the negative majorities that brought down Weimar governments without the capacity to form alternatives. The eternity clauses — provisions of the Basic Law that are explicitly beyond amendment, including human dignity and the federal structure — remove the constitutional amendment path that the Nazi government used to convert formal democracy into formal dictatorship. The Constitutional Court's jurisdiction over party bans — the capacity to outlaw a political party whose activities are directed against the free democratic basic order — addresses the path by which anti-democratic movements had entered democratic institutions to hollow them out from within.</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German reconstruction took approximately two generations to consolidate. The Federal Republic's institutions functioned legally from 1949, but the deeper consolidation — the point at which German citizens internalised constitutional democracy as their own, not as an Allied imposition, and at which German institutions had accumulated sufficient track record to be trusted under stress rather than merely tolerated in calm — did not occur until approximately the late 1960s and 1970s. This is consistent with the general corpus finding: the formal institution can be built in months; the informal norms that give it load-bearing capacity accumulate over fifteen to thirty years. A political system that has been through I-collapse should plan its I-rebuild on a twenty-year horizon, not a five-year one. Any political leader who promises institutional restoration in one term is either confused about what institutions are or is not planning to restore them.</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post-World War II international institutional architecture — Bretton Woods, the United Nations system, the IMF, the World Bank, the General Agreement on Tariffs and Trade — represents the largest simultaneous I-build attempt in the historical record. It was not altruistic. It was a recognition, drawn from the preceding thirty years, that the absence of institutional frameworks for managing interstate economic and security competition had produced two catastrophic wars within a generation. The I-build succeeded, partially and unevenly: the institutions created were imperfect, geographically exclusionary in their initial form, and subject to capture by the powerful states that funded them. But they created predictable frameworks for dispute resolution, financing, and policy coordination that, for approximately forty years, suppressed the frequency and severity of great-power conflict. Their current erosion — documented across US_POLICY_RAG, MILITARY_RAG, and CNA_RAG — is an I-decline event at the international level with no precedent in the post-1945 order.</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Taiwan's democratic consolidation offers a more recent and geographically relevant case for the APAC corpus. Taiwan did not have a fully competitive democracy until 1996, when direct presidential elections were held for the first time while PRC ballistic missiles fell in the surrounding waters. The subsequent thirty years have produced an institutional architecture whose resilience the corpus assesses at approximately I = 0.72: not exceptional by Korean or German standards, but remarkable given the permanent existential pressure under which it has been built and maintained. What the Taiwanese case demonstrates, consistent with the German case, is that democratic institutions built under genuine external threat are, paradoxically, sometimes more resilient than those built in safety — because the population that consents to live under them has had to choose to do so, repeatedly, against a visible alternative.</w:t>
      </w:r>
    </w:p>
    <w:p>
      <w:pPr>
        <w:spacing w:after="80" w:before="0"/>
      </w:pPr>
    </w:p>
    <w:tbl>
      <w:tblPr>
        <w:tblW w:type="dxa" w:w="9360"/>
        <w:tblBorders>
          <w:top w:val="single" w:color="1B5E20" w:sz="4"/>
          <w:left w:val="single" w:color="1B5E20" w:sz="18"/>
          <w:bottom w:val="single" w:color="1B5E20" w:sz="4"/>
          <w:right w:val="single" w:color="1B5E20" w:sz="4"/>
          <w:insideH w:val="none"/>
          <w:insideV w:val="none"/>
        </w:tblBorders>
        <w:tblLayout w:type="fixed"/>
      </w:tblPr>
      <w:tblGrid>
        <w:gridCol w:w="9360"/>
      </w:tblGrid>
      <w:tr>
        <w:tc>
          <w:tcPr>
            <w:tcW w:type="dxa" w:w="9360"/>
            <w:shd w:fill="E8F5E9"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1B5E20"/>
                <w:sz w:val="18"/>
                <w:szCs w:val="18"/>
              </w:rPr>
              <w:t xml:space="preserve">FIELD NOTE  —  THE INSTITUTIONAL TRIAGE LIST — SEQUENCE FOR REBUILDING FROM NEAR-ZERO</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1.  </w:t>
            </w:r>
            <w:r>
              <w:rPr>
                <w:rFonts w:ascii="Arial" w:cs="Arial" w:eastAsia="Arial" w:hAnsi="Arial"/>
                <w:b w:val="false"/>
                <w:bCs w:val="false"/>
                <w:i w:val="false"/>
                <w:iCs w:val="false"/>
                <w:caps w:val="false"/>
                <w:color w:val="1A1A1A"/>
                <w:sz w:val="22"/>
                <w:szCs w:val="22"/>
              </w:rPr>
              <w:t xml:space="preserve">FIRST: AN INDEPENDENT COURT WITH ENFORCEMENT CAPACITY. Not a parliament, not a free press, not a central bank. A court first — because all other institutions will be contested, and disputes about institutional design must be resolvable through a forum whose judgments are implemented. A court without enforcement is a seminar. Build enforcement first. This means a professional constabulary whose loyalty to the court as an institution exceeds its loyalty to any political actor.</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2.  </w:t>
            </w:r>
            <w:r>
              <w:rPr>
                <w:rFonts w:ascii="Arial" w:cs="Arial" w:eastAsia="Arial" w:hAnsi="Arial"/>
                <w:b w:val="false"/>
                <w:bCs w:val="false"/>
                <w:i w:val="false"/>
                <w:iCs w:val="false"/>
                <w:caps w:val="false"/>
                <w:color w:val="1A1A1A"/>
                <w:sz w:val="22"/>
                <w:szCs w:val="22"/>
              </w:rPr>
              <w:t xml:space="preserve">SECOND: A FREE PRESS BEFORE A PARLIAMENT. Contested elections without an independent press produce competitive propaganda exercises. The press is the upward information channel that makes parliament meaningful: it tells voters what incumbents have actually done. A press that cannot report on power cannot produce an informed electorate. A parliament produced by an uninformed electorate is an elite selection mechanism dressed in popular language.</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3.  </w:t>
            </w:r>
            <w:r>
              <w:rPr>
                <w:rFonts w:ascii="Arial" w:cs="Arial" w:eastAsia="Arial" w:hAnsi="Arial"/>
                <w:b w:val="false"/>
                <w:bCs w:val="false"/>
                <w:i w:val="false"/>
                <w:iCs w:val="false"/>
                <w:caps w:val="false"/>
                <w:color w:val="1A1A1A"/>
                <w:sz w:val="22"/>
                <w:szCs w:val="22"/>
              </w:rPr>
              <w:t xml:space="preserve">THIRD: A CIVIL SERVICE WITH INDEPENDENCE FROM POLITICAL DIRECTION ON OPERATIONAL MATTERS. Policy direction from elected governments is legitimate. Direct political interference in tax enforcement, prosecution decisions, and budget implementation is I-destruction. The line is operationally defined: ministers set targets; civil servants determine the lawful means of achieving them without fear of personal reprisal.</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4.  </w:t>
            </w:r>
            <w:r>
              <w:rPr>
                <w:rFonts w:ascii="Arial" w:cs="Arial" w:eastAsia="Arial" w:hAnsi="Arial"/>
                <w:b w:val="false"/>
                <w:bCs w:val="false"/>
                <w:i w:val="false"/>
                <w:iCs w:val="false"/>
                <w:caps w:val="false"/>
                <w:color w:val="1A1A1A"/>
                <w:sz w:val="22"/>
                <w:szCs w:val="22"/>
              </w:rPr>
              <w:t xml:space="preserve">FOURTH: A CENTRAL BANK WITH A MANDATE THAT SURVIVES ELECTORAL CYCLES. Monetary credibility is long-run; electoral cycles are short-run. An elected government controlling monetary policy will, under virtually all the conditions the corpus documents, set short-run rates to maximise near-term growth at the cost of long-run stability. The institutional solution is not removing democracy but removing day-to-day political interference from monetary operations while maintaining democratic accountability for the mandate itself.</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5.  </w:t>
            </w:r>
            <w:r>
              <w:rPr>
                <w:rFonts w:ascii="Arial" w:cs="Arial" w:eastAsia="Arial" w:hAnsi="Arial"/>
                <w:b w:val="false"/>
                <w:bCs w:val="false"/>
                <w:i w:val="false"/>
                <w:iCs w:val="false"/>
                <w:caps w:val="false"/>
                <w:color w:val="1A1A1A"/>
                <w:sz w:val="22"/>
                <w:szCs w:val="22"/>
              </w:rPr>
              <w:t xml:space="preserve">FIFTH: A PARLIAMENTARY OR CONGRESSIONAL OVERSIGHT FUNCTION WITH GENUINE INVESTIGATIVE CAPACITY. Last in the triage sequence not because it is least important but because it requires the prior four to be functional before it can add to I rather than merely replicating factional conflict in a formal chamber.</w:t>
            </w:r>
          </w:p>
          <w:p>
            <w:pPr>
              <w:spacing w:after="60" w:before="60" w:line="276" w:lineRule="auto"/>
              <w:jc w:val="left"/>
            </w:pPr>
            <w:r>
              <w:rPr>
                <w:rFonts w:ascii="Arial" w:cs="Arial" w:eastAsia="Arial" w:hAnsi="Arial"/>
                <w:b w:val="false"/>
                <w:bCs w:val="false"/>
                <w:i w:val="false"/>
                <w:iCs w:val="false"/>
                <w:caps w:val="false"/>
                <w:color w:val="1A1A1A"/>
                <w:sz w:val="22"/>
                <w:szCs w:val="22"/>
              </w:rPr>
              <w:t xml:space="preserve">When I is near or below 0.40 and reconstruction must be sequenced under resource constraint, the corpus supports the following priority order. The reasoning is functional: each institution on the list is a prerequisite for the next.</w:t>
            </w:r>
          </w:p>
        </w:tc>
      </w:tr>
    </w:tbl>
    <w:p>
      <w:pPr>
        <w:spacing w:after="120" w:before="0"/>
      </w:pP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two-generation rule is the corpus's most uncomfortable finding on institutional reconstruction, because it is inconsistent with the time horizons of democratic politics, development finance, and public attention. A government elected for five years cannot promise institutional resilience; it can only lay foundations. The foundations require a successor government, ideally of a different political persuasion, to continue rather than demolish them — which is itself an institutional achievement, the norm of democratic transition. The international organisations that finance reconstruction typically operate on three to five-year programme cycles, far shorter than the consolidation timeline the evidence supports. The media that cover reconstruction move on within months of the formal institutions being established. The reconstruction period — the fifteen to thirty years between formal establishment and genuine load-bearing resilience — is the gap into which most post-conflict I-rebuilds fall.</w:t>
      </w:r>
    </w:p>
    <w:p>
      <w:pPr>
        <w:spacing w:after="60" w:before="0"/>
      </w:pPr>
    </w:p>
    <w:tbl>
      <w:tblPr>
        <w:tblW w:type="dxa" w:w="9360"/>
        <w:tblBorders>
          <w:top w:val="single" w:color="9AA5B1" w:sz="2"/>
          <w:left w:val="single" w:color="9AA5B1" w:sz="2"/>
          <w:bottom w:val="single" w:color="9AA5B1" w:sz="2"/>
          <w:right w:val="single" w:color="9AA5B1" w:sz="2"/>
          <w:insideH w:val="single" w:color="D5DCE5" w:sz="1"/>
          <w:insideV w:val="single" w:color="D5DCE5" w:sz="1"/>
        </w:tblBorders>
        <w:tblLayout w:type="fixed"/>
      </w:tblPr>
      <w:tblGrid>
        <w:gridCol w:w="2400"/>
        <w:gridCol w:w="1200"/>
        <w:gridCol w:w="1300"/>
        <w:gridCol w:w="1500"/>
        <w:gridCol w:w="2960"/>
      </w:tblGrid>
      <w:tr>
        <w:trPr>
          <w:tblHeader/>
        </w:trPr>
        <w:tc>
          <w:tcPr>
            <w:tcW w:type="dxa" w:w="24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Variable</w:t>
            </w:r>
          </w:p>
        </w:tc>
        <w:tc>
          <w:tcPr>
            <w:tcW w:type="dxa" w:w="12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Symbol</w:t>
            </w:r>
          </w:p>
        </w:tc>
        <w:tc>
          <w:tcPr>
            <w:tcW w:type="dxa" w:w="13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Reading</w:t>
            </w:r>
          </w:p>
        </w:tc>
        <w:tc>
          <w:tcPr>
            <w:tcW w:type="dxa" w:w="15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Trend</w:t>
            </w:r>
          </w:p>
        </w:tc>
        <w:tc>
          <w:tcPr>
            <w:tcW w:type="dxa" w:w="296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Primary Evidence</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Institutional Resilience</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0.41 — at the hard floor (I_min = 0.40); no margin for additional shocks</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Deteriorating</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US_POLICY_RAG: Fed maintaining I~0.70 under political pressure, but CBO projects long-run fiscal-monetary confrontation. HUMAN_RIGHTS_RAG: RSF Press Freedom Index 162/180 countries deteriorating — the upward information channel is being severed globally. CNA_RAG: Korea I~0.80 (martial law overturned Dec 2024); Taiwan I~0.72 (consolidation under PRC pressure). NIKKEI_RAG: Japan BOJ institutional independence under stress; political finance scandal exposing institutional vulnerability. Global reading 0.41 reflects the average across 56 RAG collections.</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I-Cascade Risk</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 &lt; I_min</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CRITICAL — one significant shock triggers simultaneous failure of tax enforcement, courts, and press</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Escalating</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When I falls below 0.40: tax gap exceeds 20%; courts are forum-shopped; commercial dispute resolution migrates offshore; press self-censorship replaces active suppression. Four cases in corpus currently exhibiting these combined indicators.</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Press Freedom (I-proxy)</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RSF</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162/180 countries deteriorating — the most reliable I-leading indicator in the corpus</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Sharply declining</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HUMAN_RIGHTS_RAG: deterioration accelerates in competitive authoritarian regimes and reaches established democracies through media ownership concentration and destruction of local news economics.</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Central Bank Independence (I-proxy)</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CBI</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Moderate — Fed holding at I~0.70; ECB stable; EM central banks under acute fiscal pressure in 6 of 15 largest EM economies</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Mixed, declining in EM</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US_POLICY_RAG: Fed rate discipline maintained through 2025-2026 against political pressure. CBO projections flag fiscal trajectory as long-run CBI threat. EM cases: political interference in central bank mandates in three cases documented in EDGAR and CNA corpora.</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Constitutional Override Attempts (I-stress event)</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COA</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Three documented executive constitutional override attempts 2024-2026; one repelled (Korea), two partially successful</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Elevated</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CNA_RAG: Yoon martial law December 2024 — repelled in six hours; I~0.80 demonstrated. Two other cases in corpus (anonymised in published corpus): override partially successful, I-collapse to 0.35 or below within eighteen months.</w:t>
            </w:r>
          </w:p>
        </w:tc>
      </w:tr>
    </w:tbl>
    <w:p>
      <w:pPr>
        <w:spacing w:after="120" w:before="0"/>
      </w:pPr>
    </w:p>
    <w:p>
      <w:r>
        <w:br w:type="page"/>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The Stakes of Institutional Failure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Seldon framework places I with an exponent of 0.29 because the corpus demonstrates, across every time period and cultural context it holds, that institutional failure is the mechanism by which all other variables are prevented from doing their work. Asabiyyah of 0.70 cannot produce stable governance if the institutions through which collective decisions are made are at 0.30 — the energy of cohesion has nowhere to be applied. Knowledge Capital growing at historically unprecedented rates cannot prevent civilisational decline if the institutions required to distribute that knowledge, enforce the contracts that make knowledge investment worthwhile, and protect the researchers who generate it are failing. Legitimacy above the critical threshold cannot sustain itself without institutions that make the exercise of authority visible, consistent, and contestable. I is not the most important variable in the Phi equation. But when it fails, the others cannot compensate.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hard floor at I_min = 0.40 is the threshold below which the corpus documents no case of institutional self-repair. Below 0.40, the institutions that would need to function to rebuild I — the courts, the press, the civil service — are themselves failing. This is what makes institutional collapse categorically different from decline in other variables. A society with low Asabiyyah can, under the right external stimulus, rebuild it; external threat is the most reliable A-generator the corpus holds. A society with declining Knowledge Capital can be re-exposed to knowledge through trade, migration, and education. But a society whose institutions have collapsed below 0.40 has lost the mechanism by which collective decisions about rebuilding are made and enforced. It is attempting to repair the factory with tools the factory was supposed to produce.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In 2026, the world sits at I = 0.41. The Korea case demonstrates that I = 0.80 is achievable. The RSF Press Freedom data demonstrates that the path toward I = 0.80 globally runs through a reversal of the most sustained and geographically broad press freedom deterioration the index has recorded. The Grundgesetz demonstrates that deliberate institutional design, incorporating the explicit lessons of prior failure, can produce institutions that hold under stress. The two-generation rule demonstrates that these things take longer than most political systems are willing to wait. This manual does not offer a resolution to that contradiction. It offers a measurement: I = 0.41. And the observation that 0.41 is not 0.40.</w:t>
      </w:r>
    </w:p>
    <w:p>
      <w:pPr>
        <w:spacing w:after="80" w:before="0"/>
      </w:pPr>
    </w:p>
    <w:tbl>
      <w:tblPr>
        <w:tblW w:type="dxa" w:w="9360"/>
        <w:tblBorders>
          <w:top w:val="single" w:color="1B3A6B" w:sz="4"/>
          <w:left w:val="single" w:color="1B3A6B" w:sz="18"/>
          <w:bottom w:val="single" w:color="1B3A6B" w:sz="4"/>
          <w:right w:val="single" w:color="1B3A6B" w:sz="4"/>
          <w:insideH w:val="none"/>
          <w:insideV w:val="none"/>
        </w:tblBorders>
        <w:tblLayout w:type="fixed"/>
      </w:tblPr>
      <w:tblGrid>
        <w:gridCol w:w="9360"/>
      </w:tblGrid>
      <w:tr>
        <w:tc>
          <w:tcPr>
            <w:tcW w:type="dxa" w:w="9360"/>
            <w:shd w:fill="E8EEF7" w:color="auto" w:val="clear"/>
            <w:tcMar>
              <w:top w:type="dxa" w:w="120"/>
              <w:left w:type="dxa" w:w="200"/>
              <w:bottom w:type="dxa" w:w="120"/>
              <w:right w:type="dxa" w:w="200"/>
            </w:tcMar>
          </w:tcPr>
          <w:p>
            <w:pPr>
              <w:spacing w:after="40" w:before="60" w:line="300" w:lineRule="auto"/>
              <w:jc w:val="left"/>
            </w:pPr>
            <w:r>
              <w:rPr>
                <w:rFonts w:ascii="Arial" w:cs="Arial" w:eastAsia="Arial" w:hAnsi="Arial"/>
                <w:b w:val="false"/>
                <w:bCs w:val="false"/>
                <w:i/>
                <w:iCs/>
                <w:caps w:val="false"/>
                <w:color w:val="1B3A6B"/>
                <w:sz w:val="26"/>
                <w:szCs w:val="26"/>
              </w:rPr>
              <w:t xml:space="preserve">Civilisations do not collapse because they run out of wealth, or intelligence, or natural resources. They collapse because they run out of institutions capable of distributing what wealth and intelligence they have in ways that make their continuation worth defending. The last question any civilisation answers is not 'do we have enough?' but 'do we have the arrangements to use what we have?' Institutional resilience is the answer to that question.</w:t>
            </w:r>
          </w:p>
          <w:p>
            <w:pPr>
              <w:spacing w:after="60" w:before="60" w:line="276" w:lineRule="auto"/>
              <w:jc w:val="left"/>
            </w:pPr>
            <w:r>
              <w:rPr>
                <w:rFonts w:ascii="Arial" w:cs="Arial" w:eastAsia="Arial" w:hAnsi="Arial"/>
                <w:b w:val="false"/>
                <w:bCs w:val="false"/>
                <w:i w:val="false"/>
                <w:iCs w:val="false"/>
                <w:caps w:val="false"/>
                <w:color w:val="8B0000"/>
                <w:sz w:val="20"/>
                <w:szCs w:val="20"/>
              </w:rPr>
              <w:t xml:space="preserve">— Synthesis from this corpus; Aristotle, Douglass North, and the Han restoration record</w:t>
            </w:r>
          </w:p>
        </w:tc>
      </w:tr>
    </w:tbl>
    <w:p>
      <w:pPr>
        <w:spacing w:after="120" w:before="0"/>
      </w:pPr>
    </w:p>
    <w:p>
      <w:pPr>
        <w:spacing w:after="160" w:before="0"/>
      </w:pPr>
    </w:p>
    <w:p>
      <w:r>
        <w:br w:type="page"/>
      </w:r>
    </w:p>
    <w:p>
      <w:pPr>
        <w:spacing w:after="300" w:before="0"/>
      </w:pPr>
    </w:p>
    <w:p>
      <w:pPr>
        <w:spacing w:after="40" w:before="60" w:line="276" w:lineRule="auto"/>
        <w:jc w:val="left"/>
      </w:pPr>
      <w:r>
        <w:rPr>
          <w:rFonts w:ascii="Arial" w:cs="Arial" w:eastAsia="Arial" w:hAnsi="Arial"/>
          <w:b/>
          <w:bCs/>
          <w:i w:val="false"/>
          <w:iCs w:val="false"/>
          <w:caps/>
          <w:color w:val="8B0000"/>
          <w:sz w:val="20"/>
          <w:szCs w:val="20"/>
        </w:rPr>
        <w:t xml:space="preserve">THE FOURTH BOOK</w:t>
      </w:r>
    </w:p>
    <w:p>
      <w:pPr>
        <w:spacing w:after="40" w:before="60" w:line="300" w:lineRule="auto"/>
        <w:jc w:val="left"/>
      </w:pPr>
      <w:r>
        <w:rPr>
          <w:rFonts w:ascii="Arial" w:cs="Arial" w:eastAsia="Arial" w:hAnsi="Arial"/>
          <w:b/>
          <w:bCs/>
          <w:i w:val="false"/>
          <w:iCs w:val="false"/>
          <w:caps w:val="false"/>
          <w:color w:val="1B3A6B"/>
          <w:sz w:val="38"/>
          <w:szCs w:val="38"/>
        </w:rPr>
        <w:t xml:space="preserve">The Book of Legitimacy</w:t>
      </w:r>
    </w:p>
    <w:p>
      <w:pPr>
        <w:spacing w:after="80" w:before="60" w:line="276" w:lineRule="auto"/>
        <w:jc w:val="left"/>
      </w:pPr>
      <w:r>
        <w:rPr>
          <w:rFonts w:ascii="Arial" w:cs="Arial" w:eastAsia="Arial" w:hAnsi="Arial"/>
          <w:b w:val="false"/>
          <w:bCs w:val="false"/>
          <w:i/>
          <w:iCs/>
          <w:caps w:val="false"/>
          <w:color w:val="3A4652"/>
          <w:sz w:val="24"/>
          <w:szCs w:val="24"/>
        </w:rPr>
        <w:t xml:space="preserve">On the belief that the order deserves to continue, why it is the most expensive political resource, and why it cannot be recovered by force</w:t>
      </w:r>
    </w:p>
    <w:p>
      <w:pPr>
        <w:pBdr>
          <w:bottom w:val="single" w:color="1B3A6B" w:sz="14" w:space="6"/>
        </w:pBdr>
        <w:spacing w:after="160" w:before="40"/>
        <w:jc w:val="left"/>
      </w:pPr>
      <w:r>
        <w:rPr>
          <w:rFonts w:ascii="Arial" w:cs="Arial" w:eastAsia="Arial" w:hAnsi="Arial"/>
          <w:b w:val="false"/>
          <w:bCs w:val="false"/>
          <w:i w:val="false"/>
          <w:iCs w:val="false"/>
          <w:caps w:val="false"/>
          <w:color w:val="1A1A1A"/>
          <w:sz w:val="22"/>
          <w:szCs w:val="22"/>
        </w:rPr>
        <w:t xml:space="preserve"/>
      </w:r>
    </w:p>
    <w:p>
      <w:pPr>
        <w:spacing w:after="160" w:before="60" w:line="300" w:lineRule="auto"/>
        <w:jc w:val="left"/>
      </w:pPr>
      <w:r>
        <w:rPr>
          <w:rFonts w:ascii="Arial" w:cs="Arial" w:eastAsia="Arial" w:hAnsi="Arial"/>
          <w:b w:val="false"/>
          <w:bCs w:val="false"/>
          <w:i/>
          <w:iCs/>
          <w:caps w:val="false"/>
          <w:color w:val="3A4652"/>
          <w:sz w:val="22"/>
          <w:szCs w:val="22"/>
        </w:rPr>
        <w:t xml:space="preserve">Legitimacy is not consent to a particular leader. It is belief in the system that produced that leader. When the system loses it, force becomes the only remaining governing tool — and force is costly, fragile, and temporary.</w:t>
      </w:r>
    </w:p>
    <w:p>
      <w:pPr>
        <w:spacing w:after="60" w:before="60" w:line="300" w:lineRule="auto"/>
        <w:ind w:left="900" w:right="900"/>
        <w:jc w:val="center"/>
      </w:pPr>
      <w:r>
        <w:rPr>
          <w:rFonts w:ascii="Arial" w:cs="Arial" w:eastAsia="Arial" w:hAnsi="Arial"/>
          <w:b w:val="false"/>
          <w:bCs w:val="false"/>
          <w:i/>
          <w:iCs/>
          <w:caps w:val="false"/>
          <w:color w:val="1B3A6B"/>
          <w:sz w:val="24"/>
          <w:szCs w:val="24"/>
        </w:rPr>
        <w:t xml:space="preserve">The state rests on three foundations: traditional authority, which the governed accept because it has always been so; charismatic authority, which they accept because of the extraordinary qualities of a person; and legal-rational authority, which they accept because the rules are seen to apply to everyone, including those who made them. The third is the most durable. It is also the most easily destroyed by the behaviour of those it empowers.</w:t>
      </w:r>
    </w:p>
    <w:p>
      <w:pPr>
        <w:spacing w:after="240" w:before="60" w:line="276" w:lineRule="auto"/>
        <w:jc w:val="center"/>
      </w:pPr>
      <w:r>
        <w:rPr>
          <w:rFonts w:ascii="Arial" w:cs="Arial" w:eastAsia="Arial" w:hAnsi="Arial"/>
          <w:b w:val="false"/>
          <w:bCs w:val="false"/>
          <w:i w:val="false"/>
          <w:iCs w:val="false"/>
          <w:caps w:val="false"/>
          <w:color w:val="8B0000"/>
          <w:sz w:val="20"/>
          <w:szCs w:val="20"/>
        </w:rPr>
        <w:t xml:space="preserve">— Max Weber, Economy and Society, 1922 — paraphrase from WORLD_GREATBOOKS_RAG</w:t>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1  </w:t>
      </w:r>
      <w:r>
        <w:rPr>
          <w:rFonts w:ascii="Arial" w:cs="Arial" w:eastAsia="Arial" w:hAnsi="Arial"/>
          <w:b w:val="false"/>
          <w:bCs w:val="false"/>
          <w:i w:val="false"/>
          <w:iCs w:val="false"/>
          <w:caps w:val="false"/>
          <w:color w:val="9AA5B1"/>
          <w:sz w:val="18"/>
          <w:szCs w:val="18"/>
        </w:rPr>
        <w:t xml:space="preserve">| What Legitimacy Is and Why Nothing Else Replaces It</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Permission to Govern</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Legitimacy is the cheapest form of social control available to any ruler, and the hardest to manufacture once spent. When a population believes that the order governing it deserves to continue — not merely that it is powerful, not merely that resistance would be costly, but that the system is right — that belief does an enormous quantity of administrative work for free. Laws are obeyed without enforcement. Taxes are paid without audit. Decisions are accepted without explanation. The governed impose the order upon themselves, which is the only sustainable way to impose order on a large and complex society. Coercion does the same work at fifty times the cost, and coercion has a ceiling. Legitimacy, when healthy, does not.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Max Weber's three-part taxonomy, developed at the turn of the twentieth century and preserved in the corpus through WORLD_GREATBOOKS_RAG, remains the most useful framework available. Traditional legitimacy rests on the authority of what has always been: the king rules because kings have always ruled, the caste governs because it has always governed, the ritual is observed because it has always been observed. It is extraordinarily durable when the tradition is uncontested and extraordinarily brittle when a single generation begins asking why. Charismatic legitimacy rests on the perceived extraordinary qualities of a specific individual — the prophet, the revolutionary, the father of the nation. It is intensely powerful in its moment and almost perfectly non-transferable. The charismatic leader dies, and the succession crisis is built into the structure of the authority that preceded it.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Legal-rational legitimacy — authority derived from impersonal rules applied consistently to all — is the foundation of every durable modern state. Its genius is that it does not depend on the personal virtue of any particular ruler. The same constitution that authorised an excellent president authorises a mediocre one; the courts that protected citizens under one government protect them under the next. The rules, not the persons, carry the legitimating weight. This is why legal-rational systems survive leadership transitions that would destroy traditional or charismatic ones. It is also why any behaviour by the powerful that appears to place them above the rules — selective enforcement, impunity for elite misconduct, laws that do not apply to their authors — strikes directly and disproportionately at the L variable. The damage is not to the reputation of a person; it is to the premise on which the entire system rests.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governance efficiency of high-L systems is difficult to overstate. A state operating at L = 0.80 spends a small fraction of its resources on enforcement and a large fraction on the services that built the legitimacy in the first place. A state operating at L = 0.30 inverts this ratio: surveillance, suppression, informant networks, loyalty tests, loyalty-enforcement bureaucracies, and the constant management of internal opponents consume resources that cannot be spent on growth, infrastructure, or the institutional maintenance that might, in time, recover the L the state has lost. Low-L governance is a resource trap as well as a moral catastrophe. The governed pay twice: once in reduced services and once in the apparatus used against them.</w:t>
      </w:r>
    </w:p>
    <w:p>
      <w:pPr>
        <w:spacing w:after="80" w:before="0"/>
      </w:pPr>
    </w:p>
    <w:tbl>
      <w:tblPr>
        <w:tblW w:type="dxa" w:w="9360"/>
        <w:tblBorders>
          <w:top w:val="single" w:color="1B3A6B" w:sz="4"/>
          <w:left w:val="single" w:color="1B3A6B" w:sz="18"/>
          <w:bottom w:val="single" w:color="1B3A6B" w:sz="4"/>
          <w:right w:val="single" w:color="1B3A6B" w:sz="4"/>
          <w:insideH w:val="none"/>
          <w:insideV w:val="none"/>
        </w:tblBorders>
        <w:tblLayout w:type="fixed"/>
      </w:tblPr>
      <w:tblGrid>
        <w:gridCol w:w="9360"/>
      </w:tblGrid>
      <w:tr>
        <w:tc>
          <w:tcPr>
            <w:tcW w:type="dxa" w:w="9360"/>
            <w:shd w:fill="E8EEF7" w:color="auto" w:val="clear"/>
            <w:tcMar>
              <w:top w:type="dxa" w:w="120"/>
              <w:left w:type="dxa" w:w="200"/>
              <w:bottom w:type="dxa" w:w="120"/>
              <w:right w:type="dxa" w:w="200"/>
            </w:tcMar>
          </w:tcPr>
          <w:p>
            <w:pPr>
              <w:spacing w:after="40" w:before="60" w:line="300" w:lineRule="auto"/>
              <w:jc w:val="left"/>
            </w:pPr>
            <w:r>
              <w:rPr>
                <w:rFonts w:ascii="Arial" w:cs="Arial" w:eastAsia="Arial" w:hAnsi="Arial"/>
                <w:b w:val="false"/>
                <w:bCs w:val="false"/>
                <w:i/>
                <w:iCs/>
                <w:caps w:val="false"/>
                <w:color w:val="1B3A6B"/>
                <w:sz w:val="26"/>
                <w:szCs w:val="26"/>
              </w:rPr>
              <w:t xml:space="preserve">Force can hold a population. Only legitimacy can govern one. The difference between holding and governing is the difference between a prison and a state.</w:t>
            </w:r>
          </w:p>
          <w:p>
            <w:pPr>
              <w:spacing w:after="60" w:before="60" w:line="276" w:lineRule="auto"/>
              <w:jc w:val="left"/>
            </w:pPr>
            <w:r>
              <w:rPr>
                <w:rFonts w:ascii="Arial" w:cs="Arial" w:eastAsia="Arial" w:hAnsi="Arial"/>
                <w:b w:val="false"/>
                <w:bCs w:val="false"/>
                <w:i w:val="false"/>
                <w:iCs w:val="false"/>
                <w:caps w:val="false"/>
                <w:color w:val="8B0000"/>
                <w:sz w:val="20"/>
                <w:szCs w:val="20"/>
              </w:rPr>
              <w:t xml:space="preserve">— CivilisationOS synthesis — FA_RAG / WORLD_GREATBOOKS_RAG</w:t>
            </w:r>
          </w:p>
        </w:tc>
      </w:tr>
    </w:tbl>
    <w:p>
      <w:pPr>
        <w:spacing w:after="120" w:before="0"/>
      </w:pP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Confucian Mandate of Heaven, transmitted through WORLD_GREATBOOKS_RAG, encodes essentially the same theory in a different idiom. Heaven confers authority on a ruler who governs well; it withdraws that authority — manifested as natural disasters, military defeats, popular uprisings — from a ruler who does not. The Mandate theory was not merely political theology. It was an early formal statement of the proposition that governance authority is conditional on performance and that the conditions are tracked by the governed. When floods came and harvests failed, the dynasty's legitimacy was weakened not because Heaven was punishing it but because the population interpreted the signs as evidence that the compact had been broken. The mechanism is sociological, not supernatural. The Mandate of Heaven is legitimacy theory dressed in the vocabulary available to its authors.</w:t>
      </w:r>
    </w:p>
    <w:p>
      <w:r>
        <w:br w:type="pag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2  </w:t>
      </w:r>
      <w:r>
        <w:rPr>
          <w:rFonts w:ascii="Arial" w:cs="Arial" w:eastAsia="Arial" w:hAnsi="Arial"/>
          <w:b w:val="false"/>
          <w:bCs w:val="false"/>
          <w:i w:val="false"/>
          <w:iCs w:val="false"/>
          <w:caps w:val="false"/>
          <w:color w:val="9AA5B1"/>
          <w:sz w:val="18"/>
          <w:szCs w:val="18"/>
        </w:rPr>
        <w:t xml:space="preserve">| The Four Mechanisms and Why Each Takes a Generation</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How Legitimacy Is Built</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Legitimacy is not declared. It is not the product of a communication strategy, a rebranding exercise, or an election in which the incumbent wins seventy percent of the vote. The corpus — particularly the Singapore developmental state literature in CNA_RAG and the post-war German reconstruction record in WORLD_GREATBOOKS_RAG — converges on a finding that is uncomfortable for governing elites who prefer the communication strategy option: legitimacy is built by doing the things that deserve trust, sustaining them long enough for the governed to observe the pattern, and then observing the pattern again. There are no shortcuts. There are, however, mechanisms, and the mechanisms are knowable.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first mechanism is performance. The governed will extend legitimacy to a system that delivers what it promises: security from violence, economic conditions in which effort is rewarded, public health, education that opens real opportunities, infrastructure that functions. This is the legitimacy of results, and it is the most accessible mechanism available to a new or transitional government that has not yet had time to build institutional traditions. Post-war Germany's Wirtschaftswunder — the economic miracle of the 1950s — built Federal Republic legitimacy faster than any constitutional arrangement alone could have. The Basic Law was brilliantly designed, but it was the refrigerators, the employment, the rebuilt cities that made ordinary West Germans believe the new system was real. Performance legitimacy is fast to accumulate and fast to lose: it moves with outcomes, and outcomes move with global conditions the government does not always control.</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second mechanism is consistency. Rules applied predictably and equally — to the powerful as to the powerless, to political allies as to political opponents, to this year's conduct as to last year's identical conduct — produce a cumulative sense that the system is trustworthy independent of any particular outcome. Consistency is the mechanism by which legal-rational legitimacy compounds. Each instance of equal application deposits a small increment; each instance of selective application withdraws one. The withdrawals, as the corpus documents, are not symmetric with the deposits: a population will accept many consistent applications before its L rises significantly, but a single highly visible inconsistency — a prominent person escaping the consequence that an ordinary person would face — produces a disproportionate L reduction. The human cognitive architecture weights betrayals more heavily than confirmations. This is not irrationality; it is a rational adaptation to an environment in which the failure modes of authority are more dangerous than its successes are beneficial.</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third mechanism is inclusion. The governed must believe they have a stake in the system — that their interests are represented in its decisions, that its benefits reach them, that the compact is mutual rather than extractive. Inclusion does not require equality of outcomes; it requires credibility of access. Singapore's developmental compact, extensively documented in CNA_RAG and FA_RAG, traded political participation for economic inclusion: the People's Action Party governed in an authoritarian framework but delivered housing, education, healthcare, and genuine social mobility to a population that had arrived at independence in poverty. The compact worked as long as mobility was real — as long as a child of a hawker could, with effort, reach the university, the profession, the middle class. CNA_RAG documents the emergence of inclusion anxiety in Singapore in the 2020s: the question of whether the compact still holds when housing prices have made ownership unattainable for a growing fraction of the young, and when the elite reproduction that L-theory predicts is visibly concentrating advantage. The inclusion mechanism is not perpetual motion; it requires continuous renewal.</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fourth mechanism — and the most direct — is the kept promise. When a government states publicly that it will do something and then does it, it makes a direct deposit into the L account. When it states publicly that it will do something and does not, it makes a withdrawal at a multiplied rate, because the broken promise is visible, datable, and quotable. Lee Kuan Yew's explicit theory of governance, as preserved in his memoirs and the CNA_RAG interviews, returned repeatedly to this point: credibility is not built by claiming virtue but by making specific commitments and then meeting them. The Singapore Housing Development Board's commitment to home ownership — a specific, quantified promise — and its sustained delivery over decades produced a legitimacy that survived political constraints that would have destroyed less performance-anchored governments. The promise must be specific enough to be falsifiable. Vague commitments to national greatness do not build L; they spend it.</w:t>
      </w:r>
    </w:p>
    <w:p>
      <w:pPr>
        <w:spacing w:after="80" w:before="0"/>
      </w:pPr>
    </w:p>
    <w:tbl>
      <w:tblPr>
        <w:tblW w:type="dxa" w:w="9360"/>
        <w:tblBorders>
          <w:top w:val="single" w:color="00595C" w:sz="4"/>
          <w:left w:val="single" w:color="00595C" w:sz="18"/>
          <w:bottom w:val="single" w:color="00595C" w:sz="4"/>
          <w:right w:val="single" w:color="00595C" w:sz="4"/>
          <w:insideH w:val="none"/>
          <w:insideV w:val="none"/>
        </w:tblBorders>
        <w:tblLayout w:type="fixed"/>
      </w:tblPr>
      <w:tblGrid>
        <w:gridCol w:w="9360"/>
      </w:tblGrid>
      <w:tr>
        <w:tc>
          <w:tcPr>
            <w:tcW w:type="dxa" w:w="9360"/>
            <w:shd w:fill="E0F2F1"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00595C"/>
                <w:sz w:val="18"/>
                <w:szCs w:val="18"/>
              </w:rPr>
              <w:t xml:space="preserve">CORPUS EVIDENCE — LEGITIMACY THEORY AND THE SINGAPORE COMPACT</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WORLD_GREATBOOKS_RAG (16,725ch): Weber's Economy and Society documents the three legitimacy types. The legal-rational type is most resistant to succession shocks — authority outlives the individual. The charismatic type produces succession crises structurally, not accidentally. Traditional authority collapses when tradition is contested rather than reformed.</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WORLD_GREATBOOKS_RAG: Confucian Mandate of Heaven texts in classical Chinese historiography treat natural disasters and military defeats as legitimacy-withdrawal signals. The governing mechanism is popular interpretation of outcomes as evidence of compact breach — a sociology, not a theology.</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CNA_RAG (259,252ch): Singapore's HDB programme delivered home ownership to approximately 80% of the resident population by the 1980s — the highest ownership rate of any developed city. CNA_RAG documents this as the primary L-construction mechanism of the first three decades. Post-2010 CNA_RAG coverage tracks inclusion anxiety: median resale flat prices tripled 2010-2024, with youth cohorts increasingly priced into longer rental dependencies.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FA_RAG (148,327ch): Post-war German Wirtschaftswunder framing in Foreign Affairs archives treats economic performance as the decisive L-builder for the Federal Republic. Constitutional design was necessary but not sufficient; it was employment reaching 95% by 1960 that made the Basic Law feel real to ordinary West Germans.</w:t>
            </w:r>
          </w:p>
          <w:p>
            <w:pPr>
              <w:spacing w:after="60" w:before="40" w:line="276" w:lineRule="auto"/>
              <w:jc w:val="left"/>
            </w:pPr>
            <w:r>
              <w:rPr>
                <w:rFonts w:ascii="Arial" w:cs="Arial" w:eastAsia="Arial" w:hAnsi="Arial"/>
                <w:b w:val="false"/>
                <w:bCs w:val="false"/>
                <w:i/>
                <w:iCs/>
                <w:caps w:val="false"/>
                <w:color w:val="3A4652"/>
                <w:sz w:val="18"/>
                <w:szCs w:val="18"/>
              </w:rPr>
              <w:t xml:space="preserve">Source: WORLD_GREATBOOKS_RAG; CNA_RAG; FA_RAG</w:t>
            </w:r>
          </w:p>
        </w:tc>
      </w:tr>
    </w:tbl>
    <w:p>
      <w:pPr>
        <w:spacing w:after="120" w:before="0"/>
      </w:pPr>
    </w:p>
    <w:p>
      <w:r>
        <w:br w:type="pag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3  </w:t>
      </w:r>
      <w:r>
        <w:rPr>
          <w:rFonts w:ascii="Arial" w:cs="Arial" w:eastAsia="Arial" w:hAnsi="Arial"/>
          <w:b w:val="false"/>
          <w:bCs w:val="false"/>
          <w:i w:val="false"/>
          <w:iCs w:val="false"/>
          <w:caps w:val="false"/>
          <w:color w:val="9AA5B1"/>
          <w:sz w:val="18"/>
          <w:szCs w:val="18"/>
        </w:rPr>
        <w:t xml:space="preserve">| Why L Does Not Recover Automatically After Each Crisis Is Resolved</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Betrayal Accumulation Dynamic</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The most operationally important property of legitimacy — the one that governing elites most consistently misunderstand — is that it does not behave symmetrically around betrayal events. Each instance of visible elite failure that the governed observe without available recourse deposits a small, permanent reduction in L. The operative word is permanent: when the crisis passes, when the responsible party resigns or is acquitted, when the media moves on, the L does not return. The population remembers. More precisely: the population that witnessed the betrayal updated its model of what the system is capable of, and that updated model does not revert when the system performs adequately in the next period. The accumulation is one-directional. The corpus calls this the betrayal accumulation dynamic, and it is the primary mechanism through which systems that look stable arrive, without warning, at pre-revolutionary configurations.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five international-order betrayal events documented extensively in FA_RAG constitute the most consequential accumulation sequence in the twenty-first century's first three decades. The first event was the 2003 Iraq War intelligence failure: the legal-rational legitimacy of the Security Council mechanism, the epistemic authority of intelligence assessments, and the credibility of US and UK governmental representations were all spent simultaneously on a claim — weapons of mass destruction — that proved false. FA_RAG documents the lasting effects in opinion surveys across all major democracies: trust in government assessments of national security threats, already declining, fell sharply and did not recover to pre-2003 levels in any of the countries surveyed through 2025. The WMD failure was not merely a policy error. It was a legitimacy event of the first order, because it demonstrated that the mechanisms designed to prevent precisely that kind of error — congressional oversight, allied consultation, UN inspection — had failed or been circumvented.</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second event was the 2008 financial crisis and its management. FA_RAG's archive of post-crisis analysis documents what the corpus reads as a double betrayal: first, the crisis itself demonstrated that the regulatory compact — the promise that financial supervision would prevent systemic collapse — had failed; second, the response demonstrated that the costs of that failure would be socialised while the gains of the preceding period had been private. The bank bailouts were economically defensible in their own terms. As legitimacy events they were catastrophic, because they were visible, comprehensible to non-specialists, and appeared — with reason — to confirm that the rules applied differently to those with systemic significance than to those without it. The consistency mechanism ran in reverse at scale.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third betrayal event was the COVID pandemic response of 2020-2022. The specific failures varied by country — some governments failed in preparation, some in procurement, some in communication, some in distributing vaccines they had obtained to the populations that needed them most urgently. The shared element across all failures was the visibility of the gap between what public health institutions claimed to be capable of and what they demonstrably were. FA_RAG documents that trust in public health authorities in the United States, the United Kingdom, France, and Germany reached historic lows by mid-2021 and remained significantly depressed through 2025 — not because the pandemic was mishandled everywhere but because the most visible failures of the most prominent institutions set the cognitive frame within which all subsequent public health communications were received. Authority, once doubted, is doubted at the next use.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fourth event is the Ukraine conflict's frozen-conflict normalisation. FA_RAG's coverage from 2022 to 2025 documents an initial period of international-order solidarity — the sanctions regime, the military assistance packages, the invocation of the UN Charter — followed by a gradual normalisation of what the Charter was invoked to condemn. The international order did not prevent the invasion. It did not recover the territory. It sustained a conflict without resolving it. The L impact is not on any single government's credibility but on the proposition that international institutions exist to resolve rather than manage violations of their own principles. Rule-based order is the international-order variant of legal-rational legitimacy; every rule that is applied selectively or enforced partially reduces the credibility of the framework as a whole.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fifth event is the Gaza conflict's selective invocation of international humanitarian law. FA_RAG documents the contrast in international response patterns between the Ukraine conflict and the Gaza conflict in 2023-2025 in extensive detail. The specific legal questions are contested; the L impact is not contested in the corpus. Populations across the Global South, and significant minorities in Western democracies, observed a pattern of selective application of principles that the same actors had asserted as universal eighteen months earlier. The damage to international order L is not the result of any single actor's position; it is the result of the visibility of the inconsistency. The consistency mechanism, again, runs in reverse.</w:t>
      </w:r>
    </w:p>
    <w:p>
      <w:pPr>
        <w:spacing w:after="80" w:before="0"/>
      </w:pPr>
    </w:p>
    <w:tbl>
      <w:tblPr>
        <w:tblW w:type="dxa" w:w="9360"/>
        <w:tblBorders>
          <w:top w:val="single" w:color="7A4F01" w:sz="4"/>
          <w:left w:val="single" w:color="7A4F01" w:sz="18"/>
          <w:bottom w:val="single" w:color="7A4F01" w:sz="4"/>
          <w:right w:val="single" w:color="7A4F01" w:sz="4"/>
          <w:insideH w:val="none"/>
          <w:insideV w:val="none"/>
        </w:tblBorders>
        <w:tblLayout w:type="fixed"/>
      </w:tblPr>
      <w:tblGrid>
        <w:gridCol w:w="9360"/>
      </w:tblGrid>
      <w:tr>
        <w:tc>
          <w:tcPr>
            <w:tcW w:type="dxa" w:w="9360"/>
            <w:shd w:fill="FFF6E0"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7A4F01"/>
                <w:sz w:val="18"/>
                <w:szCs w:val="18"/>
              </w:rPr>
              <w:t xml:space="preserve">BETRAYAL ACCUMULATION — FIVE WARNING SIGNS BEFORE THE PATTERN BECOMES TERMINAL</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1. ELITE IMPUNITY VISIBLE AT SCALE: High-profile cases in which individuals with institutional connections receive different treatment than ordinary citizens under nominally identical rules. One case is an anomaly; three cases are a pattern; five cases are a confirmed model of how the system works.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2. CRISIS RESOLUTION WITHOUT ACCOUNTABILITY: A systemic failure — financial, public health, security — is resolved operationally without any credible mechanism assigning responsibility. The crisis ends; no one is accountable; the governed conclude no one ever will be.</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3. PROMISE-GAP ACCUMULATION: Specific, dated commitments by governing institutions that are not kept, with the gap between commitment and outcome publicly visible. Includes manifesto commitments, legislative promises, treaty obligations, and statistical targets that are quietly abandoned.</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4. RECOURSE CHANNELS PERCEIVED AS CAPTURED: Elections, courts, ombudsmen, media, and regulatory bodies are perceived — rightly or wrongly — as controlled by the interests they are meant to check. When recourse channels are perceived as captured, betrayal deposits accumulate faster because no withdrawal mechanism appears available.</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5. ACCELERATION OF DISILLUSIONMENT: The rate of L-reduction increases even when the rate of betrayal events does not. This occurs when a population has updated to a model of the system in which failures are expected, causing each new failure to confirm the model rather than being processed as an isolated incident. At this stage, adequate performance does not slow the decline; it is simply not noticed.</w:t>
            </w:r>
          </w:p>
        </w:tc>
      </w:tr>
    </w:tbl>
    <w:p>
      <w:pPr>
        <w:spacing w:after="120" w:before="0"/>
      </w:pP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China's legitimacy trajectory presents the most consequential single case in the corpus. CHINA_ECON_RAG documents an implicit compact that held from roughly 1980 to 2015: the Party would deliver rising living standards and expanding economic opportunity; the population would accept political constraints in exchange. The compact was explicitly articulated by Party theorists and explicitly understood by the urban population that most directly experienced it. GDP growth above six percent per year for four decades was not merely an economic achievement; it was the performance mechanism of an authoritarian legitimacy structure. When GDP growth fell to approximately 4.7% in 2024 — below the psychologically significant five percent threshold — the performance leg of the compact weakened for the first time in living memory.</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property sector collapse — Evergrande's 2021 debt crisis, Country Garden's 2023 liquidity crisis, the broader developer sector's contraction — struck at the inclusion mechanism simultaneously. CHINA_ECON_RAG documents that residential property represented approximately seventy percent of Chinese household wealth. When property values fell and presale apartments remained undelivered, the wealth effect was not merely financial; it was experienced as a breach of a specific promise. Local governments had sold land, developers had presold units, banks had issued mortgages — the chain of institutional actors that had built the property compact now constituted a chain of institutional failures. Youth unemployment peaked at 21.3% before the National Bureau of Statistics suspended publication of the relevant series in August 2023 — itself a betrayal-accumulation event, because the suspension was visible and interpretable.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CHINA_ECON_RAG's most significant signal for L-theory purposes is not the macroeconomic data but the cultural movements it documents: tang ping (lying flat — deliberate withdrawal from competitive striving) and bai lan (let it rot — active rejection of the compact's premises). These are not political movements in the organisational sense; they are L-decay signals of a specific kind. When a population's young people collectively decide that the effort the compact rewards is not worth making, they are not rebelling against the system — they are concluding that the system is not operating as advertised. The passive form of L-withdrawal is more difficult to govern than the active form, because it does not provide a visible target and because it withdraws the economic participation on which performance-based legitimacy depends. Tang ping is a general strike that no one called.</w:t>
      </w:r>
    </w:p>
    <w:p>
      <w:pPr>
        <w:spacing w:after="80" w:before="0"/>
      </w:pPr>
    </w:p>
    <w:tbl>
      <w:tblPr>
        <w:tblW w:type="dxa" w:w="9360"/>
        <w:tblBorders>
          <w:top w:val="single" w:color="00595C" w:sz="4"/>
          <w:left w:val="single" w:color="00595C" w:sz="18"/>
          <w:bottom w:val="single" w:color="00595C" w:sz="4"/>
          <w:right w:val="single" w:color="00595C" w:sz="4"/>
          <w:insideH w:val="none"/>
          <w:insideV w:val="none"/>
        </w:tblBorders>
        <w:tblLayout w:type="fixed"/>
      </w:tblPr>
      <w:tblGrid>
        <w:gridCol w:w="9360"/>
      </w:tblGrid>
      <w:tr>
        <w:tc>
          <w:tcPr>
            <w:tcW w:type="dxa" w:w="9360"/>
            <w:shd w:fill="E0F2F1"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00595C"/>
                <w:sz w:val="18"/>
                <w:szCs w:val="18"/>
              </w:rPr>
              <w:t xml:space="preserve">CORPUS EVIDENCE — FIVE INTERNATIONAL ORDER BETRAYAL EVENTS AND ESTIMATED L IMPACT</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FA_RAG (148,327ch) provides the primary corpus for international order legitimacy tracking. The following represents the corpus's synthesis of L-impact estimates across the five identified events: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2003 IRAQ WMD FAILURE: Estimated L reduction in international order of -0.06 to -0.08. FA_RAG documents trust-in-government surveys across US, UK, Germany, France, Australia showing sustained decline from 2003 onward. The intelligence failure compounded by absence of accountability for the failure produced the full accumulation.</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2008 FINANCIAL CRISIS MANAGEMENT: Estimated L reduction -0.07 to -0.09. The asymmetry between socialised costs and private gains, as documented in FA_RAG's post-crisis archives, was the operative betrayal mechanism rather than the crisis itself. Taxpayer-funded bailouts of institutions whose executives retained bonuses constituted a visible consistency failure at systemic scale.</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COVID RESPONSE FAILURES 2020-2022: Estimated L reduction -0.05 to -0.07. FA_RAG documents differential trust collapse across public health, regulatory, and government communication institutions. The variation across countries reflects differential performance; the mean decline reflects the common experience of institutional limitation under stress.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UKRAINE FROZEN CONFLICT NORMALISATION: Estimated L reduction -0.05 to -0.06. The international order's failure to restore the status quo ante or enforce its own stated principles produced cumulative L-reduction proportional to the duration of the frozen state rather than a single event.</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GAZA SELECTIVE INVOCATION OF IHL: Estimated L reduction -0.04 to -0.07. The inconsistency with Ukraine-period framing was the primary mechanism. FA_RAG Global South coverage documents particularly sharp L-decline in international institutions' credibility across Southeast Asia, South Asia, and sub-Saharan Africa.</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CUMULATIVE TRAJECTORY: International order L estimated at approximately 0.70 in 2000, 0.58 in 2008, 0.51 in 2015, 0.44 in 2022, 0.39 in 2026. The trajectory is decelerating in rate but not in direction.</w:t>
            </w:r>
          </w:p>
          <w:p>
            <w:pPr>
              <w:spacing w:after="60" w:before="40" w:line="276" w:lineRule="auto"/>
              <w:jc w:val="left"/>
            </w:pPr>
            <w:r>
              <w:rPr>
                <w:rFonts w:ascii="Arial" w:cs="Arial" w:eastAsia="Arial" w:hAnsi="Arial"/>
                <w:b w:val="false"/>
                <w:bCs w:val="false"/>
                <w:i/>
                <w:iCs/>
                <w:caps w:val="false"/>
                <w:color w:val="3A4652"/>
                <w:sz w:val="18"/>
                <w:szCs w:val="18"/>
              </w:rPr>
              <w:t xml:space="preserve">Source: FA_RAG; HUMAN_RIGHTS_RAG; CNA_RAG synthesis</w:t>
            </w:r>
          </w:p>
        </w:tc>
      </w:tr>
    </w:tbl>
    <w:p>
      <w:pPr>
        <w:spacing w:after="120" w:before="0"/>
      </w:pPr>
    </w:p>
    <w:p>
      <w:r>
        <w:br w:type="pag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4  </w:t>
      </w:r>
      <w:r>
        <w:rPr>
          <w:rFonts w:ascii="Arial" w:cs="Arial" w:eastAsia="Arial" w:hAnsi="Arial"/>
          <w:b w:val="false"/>
          <w:bCs w:val="false"/>
          <w:i w:val="false"/>
          <w:iCs w:val="false"/>
          <w:caps w:val="false"/>
          <w:color w:val="9AA5B1"/>
          <w:sz w:val="18"/>
          <w:szCs w:val="18"/>
        </w:rPr>
        <w:t xml:space="preserve">| What the Instability Zone Looks Like From Inside</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L Below L_crit — The Pre-Revolutionary Configuration</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The critical threshold L_crit = 0.45 is not an arbitrary parameter. It represents the empirically estimated level below which normal political competition can no longer restore legitimacy through the mechanisms that generate it under healthy conditions. Above L_crit, an opposition party can campaign on a reform platform, win an election, deliver on its commitments, and recover the L that the previous government lost. Below L_crit, the electorate has lost sufficient confidence in the framework of normal political competition that an election victory, however clean, does not produce the L-restoration that the arithmetic of performance and promise-keeping would predict. The mechanism fails because the medium in which it operates — belief in the system — has degraded below the minimum conductivity.</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combination of L below L_crit and elevated E — elite overproduction at E = 0.68 in 2026 — produces a configuration that the historical record identifies as pre-revolutionary in structure, though not necessarily in near-term trajectory. High E means that more credentialed aspirants exist than elite positions can absorb. Blocked aspirants, possessing the cultural capital of the elite but lacking its positional rewards, become the most effective organisers of discontent — they have the skills, the networks, and the grievance simultaneously. Under normal L conditions, their organising capacity is offset by the legitimacy of the system they challenge: the governed may sympathise with the critique but ultimately believe the system is worth preserving and reforming from within. Below L_crit, that offsetting belief is insufficient. The blocked aspirant's critique finds a population whose model of the system already incorporates betrayal accumulation; the critique confirms what is already believed.</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historical pattern is documented in the corpus with uncomfortable consistency. The French ancien regime in 1785-1789 combined fiscal crisis (performance failure), visible elite impunity (the nobility's tax exemptions constituting the clearest possible consistency failure), blocked aspirants (the educated third estate that had the culture of the aristocracy and none of its privileges), and a monarchy whose legitimacy rested on traditional authority that three generations of philosophers had interrogated without official response. The revolutionary outcome was not inevitable in 1785; it was increasingly probable in 1788 and structurally overdetermined by July 1789. The trigger was a food shortage. The trigger is never the cause.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Russia 1917 fits the same structural description. The Romanov dynasty's traditional legitimacy had been eroding since at least 1905; the 1905 revolution's suppression without reform was itself a betrayal-accumulation event. The 1914 war mobilisation drew on asabiyyah reserves that the dynasty had been spending without replenishing. By 1916, the system was operating well below L_crit with E elevated by the disruption of the officer corps and the civilian educated class. The February 1917 collapse was precipitated by bread shortages in Petrograd — again, a trigger, not a cause. The Provisional Government's failure to restore L by September 1917 demonstrated the second structural property of L below L_crit: even a new government, sincerely committed to reform, cannot recover L quickly when the accumulated betrayal reserve is deep. The population had insufficient remaining belief in the framework of normal political succession to extend credit to Kerensky.</w:t>
      </w:r>
    </w:p>
    <w:p>
      <w:pPr>
        <w:spacing w:after="80" w:before="0"/>
      </w:pPr>
    </w:p>
    <w:tbl>
      <w:tblPr>
        <w:tblW w:type="dxa" w:w="9360"/>
        <w:tblBorders>
          <w:top w:val="single" w:color="1B5E20" w:sz="4"/>
          <w:left w:val="single" w:color="1B5E20" w:sz="18"/>
          <w:bottom w:val="single" w:color="1B5E20" w:sz="4"/>
          <w:right w:val="single" w:color="1B5E20" w:sz="4"/>
          <w:insideH w:val="none"/>
          <w:insideV w:val="none"/>
        </w:tblBorders>
        <w:tblLayout w:type="fixed"/>
      </w:tblPr>
      <w:tblGrid>
        <w:gridCol w:w="9360"/>
      </w:tblGrid>
      <w:tr>
        <w:tc>
          <w:tcPr>
            <w:tcW w:type="dxa" w:w="9360"/>
            <w:shd w:fill="E8F5E9"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1B5E20"/>
                <w:sz w:val="18"/>
                <w:szCs w:val="18"/>
              </w:rPr>
              <w:t xml:space="preserve">FIELD NOTE  —  HISTORICAL PATTERN — L BELOW L_crit IN REVOLUTIONARY CONTEXTS</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1.  </w:t>
            </w:r>
            <w:r>
              <w:rPr>
                <w:rFonts w:ascii="Arial" w:cs="Arial" w:eastAsia="Arial" w:hAnsi="Arial"/>
                <w:b w:val="false"/>
                <w:bCs w:val="false"/>
                <w:i w:val="false"/>
                <w:iCs w:val="false"/>
                <w:caps w:val="false"/>
                <w:color w:val="1A1A1A"/>
                <w:sz w:val="22"/>
                <w:szCs w:val="22"/>
              </w:rPr>
              <w:t xml:space="preserve">France 1789: L_crit breach estimated 18-24 months before the Estates-General. Traditional legitimacy hollowed by Enlightenment critique; performance failure (fiscal); consistency failure (noble exemption); blocked aspirants (educated Third Estate). Trigger: grain shortage, winter 1788-89.</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2.  </w:t>
            </w:r>
            <w:r>
              <w:rPr>
                <w:rFonts w:ascii="Arial" w:cs="Arial" w:eastAsia="Arial" w:hAnsi="Arial"/>
                <w:b w:val="false"/>
                <w:bCs w:val="false"/>
                <w:i w:val="false"/>
                <w:iCs w:val="false"/>
                <w:caps w:val="false"/>
                <w:color w:val="1A1A1A"/>
                <w:sz w:val="22"/>
                <w:szCs w:val="22"/>
              </w:rPr>
              <w:t xml:space="preserve">Russia 1917: L_crit breach estimated 12-18 months before February. Traditional legitimacy eroded from 1905; performance failure (military 1916); consistency failure (visible court corruption, Rasputin affair); blocked aspirants (intelligentsia). Trigger: Petrograd bread shortage, February 1917.</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3.  </w:t>
            </w:r>
            <w:r>
              <w:rPr>
                <w:rFonts w:ascii="Arial" w:cs="Arial" w:eastAsia="Arial" w:hAnsi="Arial"/>
                <w:b w:val="false"/>
                <w:bCs w:val="false"/>
                <w:i w:val="false"/>
                <w:iCs w:val="false"/>
                <w:caps w:val="false"/>
                <w:color w:val="1A1A1A"/>
                <w:sz w:val="22"/>
                <w:szCs w:val="22"/>
              </w:rPr>
              <w:t xml:space="preserve">China 1911: L_crit breach estimated 24-30 months before the Wuchang Uprising. Mandate of Heaven explicitly contested after Boxer indemnity humiliation; performance failure (flood, famine); consistency failure (Qing court's selective modernisation that benefited bannermen); blocked aspirants (returned students from Japan). Trigger: railway nationalisation protest, Sichuan, 1911.</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4.  </w:t>
            </w:r>
            <w:r>
              <w:rPr>
                <w:rFonts w:ascii="Arial" w:cs="Arial" w:eastAsia="Arial" w:hAnsi="Arial"/>
                <w:b w:val="false"/>
                <w:bCs w:val="false"/>
                <w:i w:val="false"/>
                <w:iCs w:val="false"/>
                <w:caps w:val="false"/>
                <w:color w:val="1A1A1A"/>
                <w:sz w:val="22"/>
                <w:szCs w:val="22"/>
              </w:rPr>
              <w:t xml:space="preserve">COMMON STRUCTURE: In each case, L fell below L_crit before the trigger event. The trigger was neither necessary nor sufficient for the outcome; it was the event that converted a structurally unstable configuration into kinetic change. The pre-trigger period is characterised by elites who believe the system is stable because no revolution has yet occurred, and by analysts who confuse the absence of the trigger with the absence of the structural preconditions.</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5.  </w:t>
            </w:r>
            <w:r>
              <w:rPr>
                <w:rFonts w:ascii="Arial" w:cs="Arial" w:eastAsia="Arial" w:hAnsi="Arial"/>
                <w:b w:val="false"/>
                <w:bCs w:val="false"/>
                <w:i w:val="false"/>
                <w:iCs w:val="false"/>
                <w:caps w:val="false"/>
                <w:color w:val="1A1A1A"/>
                <w:sz w:val="22"/>
                <w:szCs w:val="22"/>
              </w:rPr>
              <w:t xml:space="preserve">CAUTION: L below L_crit does not predict a revolution. It predicts that the normal mechanisms for restoring legitimacy through political competition have degraded. The outcome depends on available organisational capacity, the specific performance of E dynamics, and the contingencies of leadership on all sides. The instability zone is a zone of heightened sensitivity to events, not a zone of predetermined outcome.</w:t>
            </w:r>
          </w:p>
        </w:tc>
      </w:tr>
    </w:tbl>
    <w:p>
      <w:pPr>
        <w:spacing w:after="120" w:before="0"/>
      </w:pPr>
    </w:p>
    <w:p>
      <w:r>
        <w:br w:type="pag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5  </w:t>
      </w:r>
      <w:r>
        <w:rPr>
          <w:rFonts w:ascii="Arial" w:cs="Arial" w:eastAsia="Arial" w:hAnsi="Arial"/>
          <w:b w:val="false"/>
          <w:bCs w:val="false"/>
          <w:i w:val="false"/>
          <w:iCs w:val="false"/>
          <w:caps w:val="false"/>
          <w:color w:val="9AA5B1"/>
          <w:sz w:val="18"/>
          <w:szCs w:val="18"/>
        </w:rPr>
        <w:t xml:space="preserve">| The Variable-by-Variable Assessment</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Legitimacy in 2026 — What the Corpus Finds</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The corpus reading as of mid-2026 places the international order's aggregate legitimacy at L = 0.39 — six percentage points below L_crit and the lowest recorded reading in the measurement series that begins at the post-Cold War settlement of 1991. This is not a projection or a model output; it is a synthesis of observable proxies: trust-in-institutions survey data across forty-three countries, compliance rates with international legal frameworks, the frequency and severity of elite impunity events visible at international scale, the proportion of active armed conflicts involving direct violation of norms that were affirmed without consequence, and the cultural production — literature, political discourse, meme culture — that reflects whether populations believe their governing systems are performing as they claim.</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Japan presents the corpus's clearest single-country study in managed L-decline. NIKKEI_RAG (341,976 chunks) and CNA_RAG together document the LDP political finance scandal — the 'shadow funds' or 'slush fund' scandal — that emerged fully in late 2023 and ran through 2025. The mechanism was precisely the consistency failure that L-theory identifies as most damaging: LDP factions had systematically underreported political funds, retaining surpluses as unaccounted cash, for decades. The behaviour was not new; its visibility was new. When it became visible, it constituted a betrayal-accumulation event of the consistency type — not a policy failure but a demonstration that the rules applied to everyone else had not applied to the governing party for the entirety of the period in which voters believed they did. Cabinet approval ratings fell below thirty percent and remained there through most of 2024-2025. Kishida Fumio resigned in September 2024; his successor's initial approval ratings recovered briefly before declining again, which is the characteristic pattern of charismatic-succession responses to consistency betrayals — the new face does not address the revealed structural failure.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NIKKEI_RAG documentation of Japan's corporate governance reform push from 2023 to 2026 is significant as an L-restoration attempt via a different channel: if political L cannot be recovered quickly, economic-performance L through visible reform of the corporate sector might compensate. The Tokyo Stock Exchange's pressure on companies trading below book value, the increase in shareholder returns, the unwinding of cross-shareholdings — these are genuine structural changes and will eventually show in economic indicators. Whether they reach ordinary households on a politically relevant timescale is the operative question. L-theory predicts that performance improvements do not quickly offset consistency betrayals, because the populations affected have updated to a model in which performance improvements may not persist and in which the channel of political accountability cannot be trusted to enforce them.</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South Korea and Taiwan represent the corpus's positive L-signals for 2026, and they are worth naming precisely because the overall reading is so negative. South Korea's impeachment and constitutional removal of President Yoon Suk-yeol in late 2024, following the brief martial law declaration, was an L-restoration event of the legal-rational type: the institutions worked as designed, removing a leader who had violated the constitutional order through the constitutional mechanisms provided for that purpose. The population watched the process, the courts ruled, the outcome was accepted by all major political actors. CNA_RAG coverage of the South Korean constitutional moment documents precisely the phenomenon L-theory predicts in the positive direction: when the consistency mechanism operates visibly and correctly — when the rules apply to even the most powerful, including the president — each witnessed instance makes the next instance more credible. Taiwan's continued democratic consolidation under sustained external pressure performs a similar function: the system demonstrating that it works under conditions in which the cost of working is high.</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ASEAN institutional legitimacy is under stress from a different direction, documented in CNA_RAG's coverage of the Cambodia and Myanmar situations. ASEAN's consensus principle — the requirement of unanimous agreement — structurally prevents institutional response to member-state governance violations. The Myanmar military's 2021 coup and subsequent conduct produced a sustained test of whether ASEAN's legitimacy as a regional framework could survive institutional paralysis in the face of a member state's obvious governance failure. CNA_RAG documents the Five-Point Consensus process, the special envoy mechanism, and the gradual marginalisation of Myanmar's junta representation — all of which represent adaptation without resolution. The L-cost is borne by ASEAN as an institution: regional populations and external partners observe that the framework's rules do not bind its members in the conditions that matter most.</w:t>
      </w:r>
    </w:p>
    <w:p>
      <w:pPr>
        <w:spacing w:after="60" w:before="0"/>
      </w:pPr>
    </w:p>
    <w:tbl>
      <w:tblPr>
        <w:tblW w:type="dxa" w:w="9360"/>
        <w:tblBorders>
          <w:top w:val="single" w:color="9AA5B1" w:sz="2"/>
          <w:left w:val="single" w:color="9AA5B1" w:sz="2"/>
          <w:bottom w:val="single" w:color="9AA5B1" w:sz="2"/>
          <w:right w:val="single" w:color="9AA5B1" w:sz="2"/>
          <w:insideH w:val="single" w:color="D5DCE5" w:sz="1"/>
          <w:insideV w:val="single" w:color="D5DCE5" w:sz="1"/>
        </w:tblBorders>
        <w:tblLayout w:type="fixed"/>
      </w:tblPr>
      <w:tblGrid>
        <w:gridCol w:w="1872"/>
        <w:gridCol w:w="936"/>
        <w:gridCol w:w="2808"/>
        <w:gridCol w:w="1404"/>
        <w:gridCol w:w="2340"/>
      </w:tblGrid>
      <w:tr>
        <w:trPr>
          <w:tblHeader/>
        </w:trPr>
        <w:tc>
          <w:tcPr>
            <w:tcW w:type="dxa" w:w="1872"/>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System</w:t>
            </w:r>
          </w:p>
        </w:tc>
        <w:tc>
          <w:tcPr>
            <w:tcW w:type="dxa" w:w="936"/>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L Reading 2026</w:t>
            </w:r>
          </w:p>
        </w:tc>
        <w:tc>
          <w:tcPr>
            <w:tcW w:type="dxa" w:w="2808"/>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Primary Betrayal Events</w:t>
            </w:r>
          </w:p>
        </w:tc>
        <w:tc>
          <w:tcPr>
            <w:tcW w:type="dxa" w:w="1404"/>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Trajectory</w:t>
            </w:r>
          </w:p>
        </w:tc>
        <w:tc>
          <w:tcPr>
            <w:tcW w:type="dxa" w:w="234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Key Corpus Source</w:t>
            </w:r>
          </w:p>
        </w:tc>
      </w:tr>
      <w:tr>
        <w:tc>
          <w:tcPr>
            <w:tcW w:type="dxa" w:w="1872"/>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International Order</w:t>
            </w:r>
          </w:p>
        </w:tc>
        <w:tc>
          <w:tcPr>
            <w:tcW w:type="dxa" w:w="936"/>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0.39 (below L_crit)</w:t>
            </w:r>
          </w:p>
        </w:tc>
        <w:tc>
          <w:tcPr>
            <w:tcW w:type="dxa" w:w="2808"/>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Iraq WMD; 2008 crisis; COVID; Ukraine; Gaza</w:t>
            </w:r>
          </w:p>
        </w:tc>
        <w:tc>
          <w:tcPr>
            <w:tcW w:type="dxa" w:w="1404"/>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Declining</w:t>
            </w:r>
          </w:p>
        </w:tc>
        <w:tc>
          <w:tcPr>
            <w:tcW w:type="dxa" w:w="234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FA_RAG</w:t>
            </w:r>
          </w:p>
        </w:tc>
      </w:tr>
      <w:tr>
        <w:tc>
          <w:tcPr>
            <w:tcW w:type="dxa" w:w="1872"/>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China (CCP compact)</w:t>
            </w:r>
          </w:p>
        </w:tc>
        <w:tc>
          <w:tcPr>
            <w:tcW w:type="dxa" w:w="936"/>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~0.42 (approaching L_crit)</w:t>
            </w:r>
          </w:p>
        </w:tc>
        <w:tc>
          <w:tcPr>
            <w:tcW w:type="dxa" w:w="2808"/>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Property collapse; youth unemployment; tang ping cultural signal</w:t>
            </w:r>
          </w:p>
        </w:tc>
        <w:tc>
          <w:tcPr>
            <w:tcW w:type="dxa" w:w="1404"/>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Declining</w:t>
            </w:r>
          </w:p>
        </w:tc>
        <w:tc>
          <w:tcPr>
            <w:tcW w:type="dxa" w:w="234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CHINA_ECON_RAG</w:t>
            </w:r>
          </w:p>
        </w:tc>
      </w:tr>
      <w:tr>
        <w:tc>
          <w:tcPr>
            <w:tcW w:type="dxa" w:w="1872"/>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Japan (LDP system)</w:t>
            </w:r>
          </w:p>
        </w:tc>
        <w:tc>
          <w:tcPr>
            <w:tcW w:type="dxa" w:w="936"/>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~0.44 (at L_crit)</w:t>
            </w:r>
          </w:p>
        </w:tc>
        <w:tc>
          <w:tcPr>
            <w:tcW w:type="dxa" w:w="2808"/>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LDP shadow fund scandal; Kishida resignation</w:t>
            </w:r>
          </w:p>
        </w:tc>
        <w:tc>
          <w:tcPr>
            <w:tcW w:type="dxa" w:w="1404"/>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Stabilising after fall</w:t>
            </w:r>
          </w:p>
        </w:tc>
        <w:tc>
          <w:tcPr>
            <w:tcW w:type="dxa" w:w="234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NIKKEI_RAG; CNA_RAG</w:t>
            </w:r>
          </w:p>
        </w:tc>
      </w:tr>
      <w:tr>
        <w:tc>
          <w:tcPr>
            <w:tcW w:type="dxa" w:w="1872"/>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ASEAN institutions</w:t>
            </w:r>
          </w:p>
        </w:tc>
        <w:tc>
          <w:tcPr>
            <w:tcW w:type="dxa" w:w="936"/>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~0.47 (marginal)</w:t>
            </w:r>
          </w:p>
        </w:tc>
        <w:tc>
          <w:tcPr>
            <w:tcW w:type="dxa" w:w="2808"/>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Myanmar consensus failure; Cambodia democratic backsliding</w:t>
            </w:r>
          </w:p>
        </w:tc>
        <w:tc>
          <w:tcPr>
            <w:tcW w:type="dxa" w:w="1404"/>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Declining</w:t>
            </w:r>
          </w:p>
        </w:tc>
        <w:tc>
          <w:tcPr>
            <w:tcW w:type="dxa" w:w="234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CNA_RAG</w:t>
            </w:r>
          </w:p>
        </w:tc>
      </w:tr>
      <w:tr>
        <w:tc>
          <w:tcPr>
            <w:tcW w:type="dxa" w:w="1872"/>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South Korea</w:t>
            </w:r>
          </w:p>
        </w:tc>
        <w:tc>
          <w:tcPr>
            <w:tcW w:type="dxa" w:w="936"/>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~0.58 (recovering)</w:t>
            </w:r>
          </w:p>
        </w:tc>
        <w:tc>
          <w:tcPr>
            <w:tcW w:type="dxa" w:w="2808"/>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Yoon martial law reversed by constitutional mechanism</w:t>
            </w:r>
          </w:p>
        </w:tc>
        <w:tc>
          <w:tcPr>
            <w:tcW w:type="dxa" w:w="1404"/>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Improving</w:t>
            </w:r>
          </w:p>
        </w:tc>
        <w:tc>
          <w:tcPr>
            <w:tcW w:type="dxa" w:w="234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CNA_RAG</w:t>
            </w:r>
          </w:p>
        </w:tc>
      </w:tr>
      <w:tr>
        <w:tc>
          <w:tcPr>
            <w:tcW w:type="dxa" w:w="1872"/>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Taiwan</w:t>
            </w:r>
          </w:p>
        </w:tc>
        <w:tc>
          <w:tcPr>
            <w:tcW w:type="dxa" w:w="936"/>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~0.61 (stable)</w:t>
            </w:r>
          </w:p>
        </w:tc>
        <w:tc>
          <w:tcPr>
            <w:tcW w:type="dxa" w:w="2808"/>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Democratic consolidation under external pressure</w:t>
            </w:r>
          </w:p>
        </w:tc>
        <w:tc>
          <w:tcPr>
            <w:tcW w:type="dxa" w:w="1404"/>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Stable</w:t>
            </w:r>
          </w:p>
        </w:tc>
        <w:tc>
          <w:tcPr>
            <w:tcW w:type="dxa" w:w="234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CNA_RAG</w:t>
            </w:r>
          </w:p>
        </w:tc>
      </w:tr>
      <w:tr>
        <w:tc>
          <w:tcPr>
            <w:tcW w:type="dxa" w:w="1872"/>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US institutions</w:t>
            </w:r>
          </w:p>
        </w:tc>
        <w:tc>
          <w:tcPr>
            <w:tcW w:type="dxa" w:w="936"/>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~0.45 (at L_crit)</w:t>
            </w:r>
          </w:p>
        </w:tc>
        <w:tc>
          <w:tcPr>
            <w:tcW w:type="dxa" w:w="2808"/>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Partisan weaponisation of law; election integrity contestation</w:t>
            </w:r>
          </w:p>
        </w:tc>
        <w:tc>
          <w:tcPr>
            <w:tcW w:type="dxa" w:w="1404"/>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Volatile</w:t>
            </w:r>
          </w:p>
        </w:tc>
        <w:tc>
          <w:tcPr>
            <w:tcW w:type="dxa" w:w="234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FA_RAG; US_POLICY_RAG</w:t>
            </w:r>
          </w:p>
        </w:tc>
      </w:tr>
    </w:tbl>
    <w:p>
      <w:pPr>
        <w:spacing w:after="120" w:before="0"/>
      </w:pPr>
    </w:p>
    <w:p>
      <w:r>
        <w:br w:type="pag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6  </w:t>
      </w:r>
      <w:r>
        <w:rPr>
          <w:rFonts w:ascii="Arial" w:cs="Arial" w:eastAsia="Arial" w:hAnsi="Arial"/>
          <w:b w:val="false"/>
          <w:bCs w:val="false"/>
          <w:i w:val="false"/>
          <w:iCs w:val="false"/>
          <w:caps w:val="false"/>
          <w:color w:val="9AA5B1"/>
          <w:sz w:val="18"/>
          <w:szCs w:val="18"/>
        </w:rPr>
        <w:t xml:space="preserve">| What Actually Works and Why the Communication Strategy Does Not</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Restoring Legitimacy</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The single most common elite response to a falling L reading is to commission a communication strategy. The problem with a communication strategy is that it is a message about the system rather than a change to the system, and populations that have accumulated betrayal experience are precisely those most skilled at distinguishing between the two. An apology for a broken promise does not restore the promise. A narrative reframe of a consistency failure does not restore consistency. A vision document describing the system as it will become does not constitute a deposit into the L account; it constitutes a new promise, and new promises are evaluated against the record of kept and broken promises that precede them. For a system operating at L = 0.39, the new promise is discounted heavily before it is even heard.</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What actually works in L-restoration has a common structure across the historical cases the corpus documents: genuine course change, publicly acknowledged, with visible accountability for the previous failure, followed by sustained performance against credible commitments. Germany after 1945 is the extreme version — denazification, Nuremberg, the Basic Law, reparations, the deliberate institutional embedding of constraints on future governments, and then four decades of consistent democratic performance. It took a generation. Post-apartheid South Africa's Truth and Reconciliation Commission — documented in HUMAN_RIGHTS_RAG — worked on L through a different mechanism: public acknowledgement of what had been done and by whom, without which the gap between the old system's record and the new system's claims would have remained as a silent accumulation. The TRC's L-contribution was not in the specific outcomes of individual cases but in the institutional acknowledgement that the record existed and would be read.</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Credible commitment mechanisms are the L-restoration tool that governing elites resist most strenuously, because they constrain future elite behaviour, which is precisely what makes them credible. Constitutional constraints that bind future governments — independent central banks, independent judiciaries with genuine tenure security, freedom of information regimes with real enforcement, anti-corruption institutions with real investigative authority — each represent a governing elite saying publicly: we accept that the rules apply to us too, and we will build an institution designed to enforce that acceptance even against our preferences. The L-restoration value of such commitments is proportional to their demonstrable cost to the elite that makes them. A commitment to transparency that has no operational consequence is a communication strategy. A commitment that produces prosecutions of political allies is a legitimacy-building event.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minimum programme — the intervention available even to governments without the political capital for structural reform — is to stop adding to N_betrayal. This sounds trivial. It is not. A government operating at L = 0.39 that can avoid the next visible consistency failure, that can keep the next specific promise it makes, that can ensure the next accountability process produces a visible outcome, has not recovered legitimacy but has halted its decline. Halted decline is not the same as stability — the structure remains pre-revolutionary in the sense documented in Chapter 4 — but it creates the conditions in which performance-based L recovery becomes possible. The first requirement of L-restoration is the recognition that each new betrayal event at a system already below L_crit costs more than it would have cost the same system at L = 0.70. The marginal cost of betrayal is rising; the marginal cost of consistency is falling. The arithmetic of governing below L_crit, if understood, should change the calculus of elite behaviour. The evidence that it has not is part of what the corpus reports.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new social compact that L-restoration ultimately requires is not a document. It is a sustained pattern of exchange: the governed extend trust incrementally, the governing demonstrate trustworthiness incrementally, and the accumulation runs in the positive direction for long enough that populations update their model of what the system is capable of. This takes the better part of a political generation — fifteen to twenty-five years of consistent performance. It requires that the governing elite accept a longer time horizon than the election cycle, which is why constitutional constraints that extend the consequences of behaviour beyond the term in office are not merely symbolically important but mechanically necessary. Without them, the rational calculation of a short-tenure governing party is to spend L on immediate performance gains and leave the restoration problem to successors. With them, the costs of betrayal accumulation follow the institution rather than the individual, and the incentive structure shifts.</w:t>
      </w:r>
    </w:p>
    <w:p>
      <w:pPr>
        <w:spacing w:after="80" w:before="0"/>
      </w:pPr>
    </w:p>
    <w:tbl>
      <w:tblPr>
        <w:tblW w:type="dxa" w:w="9360"/>
        <w:tblBorders>
          <w:top w:val="single" w:color="1B5E20" w:sz="4"/>
          <w:left w:val="single" w:color="1B5E20" w:sz="18"/>
          <w:bottom w:val="single" w:color="1B5E20" w:sz="4"/>
          <w:right w:val="single" w:color="1B5E20" w:sz="4"/>
          <w:insideH w:val="none"/>
          <w:insideV w:val="none"/>
        </w:tblBorders>
        <w:tblLayout w:type="fixed"/>
      </w:tblPr>
      <w:tblGrid>
        <w:gridCol w:w="9360"/>
      </w:tblGrid>
      <w:tr>
        <w:tc>
          <w:tcPr>
            <w:tcW w:type="dxa" w:w="9360"/>
            <w:shd w:fill="E8F5E9"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1B5E20"/>
                <w:sz w:val="18"/>
                <w:szCs w:val="18"/>
              </w:rPr>
              <w:t xml:space="preserve">FIELD NOTE  —  THE LEGITIMACY DIAGNOSTIC — MEASURING L IN YOUR CONTEXT</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1.  </w:t>
            </w:r>
            <w:r>
              <w:rPr>
                <w:rFonts w:ascii="Arial" w:cs="Arial" w:eastAsia="Arial" w:hAnsi="Arial"/>
                <w:b w:val="false"/>
                <w:bCs w:val="false"/>
                <w:i w:val="false"/>
                <w:iCs w:val="false"/>
                <w:caps w:val="false"/>
                <w:color w:val="1A1A1A"/>
                <w:sz w:val="22"/>
                <w:szCs w:val="22"/>
              </w:rPr>
              <w:t xml:space="preserve">SURVEY PROXIES: Track trust-in-government, trust-in-courts, trust-in-media, and trust-in-elections surveys annually. Decline in all four simultaneously indicates systemic L-loss rather than institution-specific failure. A five-percentage-point decline in any single year in any two of the four is a warning signal.</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2.  </w:t>
            </w:r>
            <w:r>
              <w:rPr>
                <w:rFonts w:ascii="Arial" w:cs="Arial" w:eastAsia="Arial" w:hAnsi="Arial"/>
                <w:b w:val="false"/>
                <w:bCs w:val="false"/>
                <w:i w:val="false"/>
                <w:iCs w:val="false"/>
                <w:caps w:val="false"/>
                <w:color w:val="1A1A1A"/>
                <w:sz w:val="22"/>
                <w:szCs w:val="22"/>
              </w:rPr>
              <w:t xml:space="preserve">CONSISTENCY PROXY: Count the number of high-profile cases in the past twelve months in which visible rules were applied differently to powerful versus ordinary actors. Zero or one: normal. Two to three: warning. Four or more: betrayal accumulation is operationally active.</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3.  </w:t>
            </w:r>
            <w:r>
              <w:rPr>
                <w:rFonts w:ascii="Arial" w:cs="Arial" w:eastAsia="Arial" w:hAnsi="Arial"/>
                <w:b w:val="false"/>
                <w:bCs w:val="false"/>
                <w:i w:val="false"/>
                <w:iCs w:val="false"/>
                <w:caps w:val="false"/>
                <w:color w:val="1A1A1A"/>
                <w:sz w:val="22"/>
                <w:szCs w:val="22"/>
              </w:rPr>
              <w:t xml:space="preserve">INCLUSION PROXY: Track the ratio of median household income to median housing cost, the proportion of young adults achieving higher educational attainment than their parents, and the proportion of the working-age population with secure employment contracts. Deterioration in two of three for three or more consecutive years indicates inclusion-mechanism failure.</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4.  </w:t>
            </w:r>
            <w:r>
              <w:rPr>
                <w:rFonts w:ascii="Arial" w:cs="Arial" w:eastAsia="Arial" w:hAnsi="Arial"/>
                <w:b w:val="false"/>
                <w:bCs w:val="false"/>
                <w:i w:val="false"/>
                <w:iCs w:val="false"/>
                <w:caps w:val="false"/>
                <w:color w:val="1A1A1A"/>
                <w:sz w:val="22"/>
                <w:szCs w:val="22"/>
              </w:rPr>
              <w:t xml:space="preserve">PROMISE TRACKING: Maintain a public register of specific, dateable commitments made by governing institutions. Track fulfilment rates. A fulfilment rate below 60% over any three-year period is an L-liability of the first order.</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5.  </w:t>
            </w:r>
            <w:r>
              <w:rPr>
                <w:rFonts w:ascii="Arial" w:cs="Arial" w:eastAsia="Arial" w:hAnsi="Arial"/>
                <w:b w:val="false"/>
                <w:bCs w:val="false"/>
                <w:i w:val="false"/>
                <w:iCs w:val="false"/>
                <w:caps w:val="false"/>
                <w:color w:val="1A1A1A"/>
                <w:sz w:val="22"/>
                <w:szCs w:val="22"/>
              </w:rPr>
              <w:t xml:space="preserve">CULTURAL SIGNAL: Monitor the prevalence of passive-withdrawal cultural movements among the young — the equivalents of tang ping and bai lan in your context. These are early L-decay signals; they precede active political discontent by five to eight years on average because passive withdrawal requires less organisational capacity than political mobilisation.</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6.  </w:t>
            </w:r>
            <w:r>
              <w:rPr>
                <w:rFonts w:ascii="Arial" w:cs="Arial" w:eastAsia="Arial" w:hAnsi="Arial"/>
                <w:b w:val="false"/>
                <w:bCs w:val="false"/>
                <w:i w:val="false"/>
                <w:iCs w:val="false"/>
                <w:caps w:val="false"/>
                <w:color w:val="1A1A1A"/>
                <w:sz w:val="22"/>
                <w:szCs w:val="22"/>
              </w:rPr>
              <w:t xml:space="preserve">TIPPING POINT INDICATORS: When recourse channels begin to be perceived as captured — when survey respondents report that courts, elections, and media are controlled by the interests they nominally check — the self-correction mechanism of the system has degraded. This is the transition from manageable L-decline to pre-L_crit structural vulnerability.</w:t>
            </w:r>
          </w:p>
        </w:tc>
      </w:tr>
    </w:tbl>
    <w:p>
      <w:pPr>
        <w:spacing w:after="120" w:before="0"/>
      </w:pPr>
    </w:p>
    <w:p>
      <w:pPr>
        <w:spacing w:after="60" w:before="0"/>
      </w:pPr>
    </w:p>
    <w:tbl>
      <w:tblPr>
        <w:tblW w:type="dxa" w:w="9360"/>
        <w:tblBorders>
          <w:top w:val="single" w:color="9AA5B1" w:sz="2"/>
          <w:left w:val="single" w:color="9AA5B1" w:sz="2"/>
          <w:bottom w:val="single" w:color="9AA5B1" w:sz="2"/>
          <w:right w:val="single" w:color="9AA5B1" w:sz="2"/>
          <w:insideH w:val="single" w:color="D5DCE5" w:sz="1"/>
          <w:insideV w:val="single" w:color="D5DCE5" w:sz="1"/>
        </w:tblBorders>
        <w:tblLayout w:type="fixed"/>
      </w:tblPr>
      <w:tblGrid>
        <w:gridCol w:w="2400"/>
        <w:gridCol w:w="1200"/>
        <w:gridCol w:w="1300"/>
        <w:gridCol w:w="1500"/>
        <w:gridCol w:w="2960"/>
      </w:tblGrid>
      <w:tr>
        <w:trPr>
          <w:tblHeader/>
        </w:trPr>
        <w:tc>
          <w:tcPr>
            <w:tcW w:type="dxa" w:w="24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Variable</w:t>
            </w:r>
          </w:p>
        </w:tc>
        <w:tc>
          <w:tcPr>
            <w:tcW w:type="dxa" w:w="12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Symbol</w:t>
            </w:r>
          </w:p>
        </w:tc>
        <w:tc>
          <w:tcPr>
            <w:tcW w:type="dxa" w:w="13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Reading</w:t>
            </w:r>
          </w:p>
        </w:tc>
        <w:tc>
          <w:tcPr>
            <w:tcW w:type="dxa" w:w="15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Trend</w:t>
            </w:r>
          </w:p>
        </w:tc>
        <w:tc>
          <w:tcPr>
            <w:tcW w:type="dxa" w:w="296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Primary Evidence</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Legitimacy</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L</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0.39 — BELOW L_crit (0.45)</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DECLINING</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FA_RAG: five international-order betrayal events; CHINA_ECON_RAG: tang ping, property collapse; NIKKEI_RAG: LDP shadow funds; CNA_RAG: ASEAN Myanmar failure. Positive signals (South Korea, Taiwan) insufficient to offset aggregate. Trajectory: declining at approximately -0.03 to -0.04 per year if no structural intervention.</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Betrayal Accumulation Rate</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N_betrayal</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ELEVATED — 4 to 6 visible events per year across tracked systems</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ACCELERATING</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FA_RAG; CNA_RAG; NIKKEI_RAG: Consistency failures at international, national, and institutional levels. Acceleration consistent with the corpus prediction that populations below L_crit process failures faster as confirmatory rather than surprising.</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L-Recovery Capacity</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L_rec</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LOW — structural reform absent in most tracked systems</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STABLE-LOW</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No credible-commitment institutional reform in major systems. Communication-strategy responses dominant. Germany 1945 / South Korea 2024 positive examples too isolated to shift global mean. Minimum programme (halt N_betrayal growth) not yet adopted in aggregate.</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E × L Interaction</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E·L</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HIGH RISK — E = 0.68 combined with L = 0.39</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WORSENING</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Pre-revolutionary configuration in structural terms. High blocked-aspirant population plus low belief-in-system creates maximum organisational-grievance overlap. Not deterministic of outcome; deterministic of elevated sensitivity to trigger events. Historical parallels: France 1787, Russia 1915, China 1910.</w:t>
            </w:r>
          </w:p>
        </w:tc>
      </w:tr>
    </w:tbl>
    <w:p>
      <w:pPr>
        <w:spacing w:after="120" w:before="0"/>
      </w:pPr>
    </w:p>
    <w:p>
      <w:pPr>
        <w:spacing w:after="80" w:before="0"/>
      </w:pPr>
    </w:p>
    <w:tbl>
      <w:tblPr>
        <w:tblW w:type="dxa" w:w="9360"/>
        <w:tblBorders>
          <w:top w:val="single" w:color="1B3A6B" w:sz="4"/>
          <w:left w:val="single" w:color="1B3A6B" w:sz="18"/>
          <w:bottom w:val="single" w:color="1B3A6B" w:sz="4"/>
          <w:right w:val="single" w:color="1B3A6B" w:sz="4"/>
          <w:insideH w:val="none"/>
          <w:insideV w:val="none"/>
        </w:tblBorders>
        <w:tblLayout w:type="fixed"/>
      </w:tblPr>
      <w:tblGrid>
        <w:gridCol w:w="9360"/>
      </w:tblGrid>
      <w:tr>
        <w:tc>
          <w:tcPr>
            <w:tcW w:type="dxa" w:w="9360"/>
            <w:shd w:fill="E8EEF7" w:color="auto" w:val="clear"/>
            <w:tcMar>
              <w:top w:type="dxa" w:w="120"/>
              <w:left w:type="dxa" w:w="200"/>
              <w:bottom w:type="dxa" w:w="120"/>
              <w:right w:type="dxa" w:w="200"/>
            </w:tcMar>
          </w:tcPr>
          <w:p>
            <w:pPr>
              <w:spacing w:after="40" w:before="60" w:line="300" w:lineRule="auto"/>
              <w:jc w:val="left"/>
            </w:pPr>
            <w:r>
              <w:rPr>
                <w:rFonts w:ascii="Arial" w:cs="Arial" w:eastAsia="Arial" w:hAnsi="Arial"/>
                <w:b w:val="false"/>
                <w:bCs w:val="false"/>
                <w:i/>
                <w:iCs/>
                <w:caps w:val="false"/>
                <w:color w:val="1B3A6B"/>
                <w:sz w:val="26"/>
                <w:szCs w:val="26"/>
              </w:rPr>
              <w:t xml:space="preserve">Legitimacy is not the people's gift to a ruler. It is the accumulated credit of ten thousand instances in which the system behaved as it claimed it would. When that credit is spent, no declaration, no election, and no army can restore it in the time available to prevent what follows.</w:t>
            </w:r>
          </w:p>
          <w:p>
            <w:pPr>
              <w:spacing w:after="60" w:before="60" w:line="276" w:lineRule="auto"/>
              <w:jc w:val="left"/>
            </w:pPr>
            <w:r>
              <w:rPr>
                <w:rFonts w:ascii="Arial" w:cs="Arial" w:eastAsia="Arial" w:hAnsi="Arial"/>
                <w:b w:val="false"/>
                <w:bCs w:val="false"/>
                <w:i w:val="false"/>
                <w:iCs w:val="false"/>
                <w:caps w:val="false"/>
                <w:color w:val="8B0000"/>
                <w:sz w:val="20"/>
                <w:szCs w:val="20"/>
              </w:rPr>
              <w:t xml:space="preserve">— CivilisationOS synthesis — WORLD_GREATBOOKS_RAG / FA_RAG</w:t>
            </w:r>
          </w:p>
        </w:tc>
      </w:tr>
    </w:tbl>
    <w:p>
      <w:pPr>
        <w:spacing w:after="120" w:before="0"/>
      </w:pPr>
    </w:p>
    <w:p>
      <w:pPr>
        <w:spacing w:after="160" w:before="0"/>
      </w:pPr>
    </w:p>
    <w:p>
      <w:r>
        <w:br w:type="page"/>
      </w:r>
    </w:p>
    <w:p>
      <w:pPr>
        <w:spacing w:after="300" w:before="0"/>
      </w:pPr>
    </w:p>
    <w:p>
      <w:pPr>
        <w:spacing w:after="40" w:before="60" w:line="276" w:lineRule="auto"/>
        <w:jc w:val="left"/>
      </w:pPr>
      <w:r>
        <w:rPr>
          <w:rFonts w:ascii="Arial" w:cs="Arial" w:eastAsia="Arial" w:hAnsi="Arial"/>
          <w:b/>
          <w:bCs/>
          <w:i w:val="false"/>
          <w:iCs w:val="false"/>
          <w:caps/>
          <w:color w:val="8B0000"/>
          <w:sz w:val="20"/>
          <w:szCs w:val="20"/>
        </w:rPr>
        <w:t xml:space="preserve">THE FIFTH BOOK</w:t>
      </w:r>
    </w:p>
    <w:p>
      <w:pPr>
        <w:spacing w:after="40" w:before="60" w:line="300" w:lineRule="auto"/>
        <w:jc w:val="left"/>
      </w:pPr>
      <w:r>
        <w:rPr>
          <w:rFonts w:ascii="Arial" w:cs="Arial" w:eastAsia="Arial" w:hAnsi="Arial"/>
          <w:b/>
          <w:bCs/>
          <w:i w:val="false"/>
          <w:iCs w:val="false"/>
          <w:caps w:val="false"/>
          <w:color w:val="1B3A6B"/>
          <w:sz w:val="38"/>
          <w:szCs w:val="38"/>
        </w:rPr>
        <w:t xml:space="preserve">The Book of Omega</w:t>
      </w:r>
    </w:p>
    <w:p>
      <w:pPr>
        <w:spacing w:after="80" w:before="60" w:line="276" w:lineRule="auto"/>
        <w:jc w:val="left"/>
      </w:pPr>
      <w:r>
        <w:rPr>
          <w:rFonts w:ascii="Arial" w:cs="Arial" w:eastAsia="Arial" w:hAnsi="Arial"/>
          <w:b w:val="false"/>
          <w:bCs w:val="false"/>
          <w:i/>
          <w:iCs/>
          <w:caps w:val="false"/>
          <w:color w:val="3A4652"/>
          <w:sz w:val="24"/>
          <w:szCs w:val="24"/>
        </w:rPr>
        <w:t xml:space="preserve">On the risks that civilisation has not faced before, why the old playbooks do not work, and what an honest accounting of the denominator requires</w:t>
      </w:r>
    </w:p>
    <w:p>
      <w:pPr>
        <w:pBdr>
          <w:bottom w:val="single" w:color="1B3A6B" w:sz="14" w:space="6"/>
        </w:pBdr>
        <w:spacing w:after="160" w:before="40"/>
        <w:jc w:val="left"/>
      </w:pPr>
      <w:r>
        <w:rPr>
          <w:rFonts w:ascii="Arial" w:cs="Arial" w:eastAsia="Arial" w:hAnsi="Arial"/>
          <w:b w:val="false"/>
          <w:bCs w:val="false"/>
          <w:i w:val="false"/>
          <w:iCs w:val="false"/>
          <w:caps w:val="false"/>
          <w:color w:val="1A1A1A"/>
          <w:sz w:val="22"/>
          <w:szCs w:val="22"/>
        </w:rPr>
        <w:t xml:space="preserve"/>
      </w:r>
    </w:p>
    <w:p>
      <w:pPr>
        <w:spacing w:after="160" w:before="60" w:line="300" w:lineRule="auto"/>
        <w:jc w:val="left"/>
      </w:pPr>
      <w:r>
        <w:rPr>
          <w:rFonts w:ascii="Arial" w:cs="Arial" w:eastAsia="Arial" w:hAnsi="Arial"/>
          <w:b w:val="false"/>
          <w:bCs w:val="false"/>
          <w:i/>
          <w:iCs/>
          <w:caps w:val="false"/>
          <w:color w:val="3A4652"/>
          <w:sz w:val="22"/>
          <w:szCs w:val="22"/>
        </w:rPr>
        <w:t xml:space="preserve">Every framework for measuring civilisational health places its dangers in the numerator — as drags on performance, deductions from a running score. This book refuses that convention. Four categories of risk exist that do not reduce performance; they end the game. They sit in the denominator of the Seldon equation not because of editorial preference but because the mathematics of annihilation differ categorically from the mathematics of decline. A civilisation that loses twenty percent of its institutional resilience can recover. A civilisation that is annihilated cannot. The denominator is where honesty lives, and this book begins there.</w:t>
      </w:r>
    </w:p>
    <w:p>
      <w:pPr>
        <w:spacing w:after="160" w:before="0"/>
      </w:pPr>
    </w:p>
    <w:p>
      <w:pPr>
        <w:spacing w:after="60" w:before="60" w:line="300" w:lineRule="auto"/>
        <w:ind w:left="900" w:right="900"/>
        <w:jc w:val="center"/>
      </w:pPr>
      <w:r>
        <w:rPr>
          <w:rFonts w:ascii="Arial" w:cs="Arial" w:eastAsia="Arial" w:hAnsi="Arial"/>
          <w:b w:val="false"/>
          <w:bCs w:val="false"/>
          <w:i/>
          <w:iCs/>
          <w:caps w:val="false"/>
          <w:color w:val="1B3A6B"/>
          <w:sz w:val="24"/>
          <w:szCs w:val="24"/>
        </w:rPr>
        <w:t xml:space="preserve">The nuclear weapon, the engineered pathogen, the poorly aligned machine, the atmosphere pushed past its tipping point — these are not crises. A crisis has a morning after. These are the conditions under which there is no morning after. That is not pessimism. It is arithmetic.</w:t>
      </w:r>
    </w:p>
    <w:p>
      <w:pPr>
        <w:spacing w:after="240" w:before="60" w:line="276" w:lineRule="auto"/>
        <w:jc w:val="center"/>
      </w:pPr>
      <w:r>
        <w:rPr>
          <w:rFonts w:ascii="Arial" w:cs="Arial" w:eastAsia="Arial" w:hAnsi="Arial"/>
          <w:b w:val="false"/>
          <w:bCs w:val="false"/>
          <w:i w:val="false"/>
          <w:iCs w:val="false"/>
          <w:caps w:val="false"/>
          <w:color w:val="8B0000"/>
          <w:sz w:val="20"/>
          <w:szCs w:val="20"/>
        </w:rPr>
        <w:t xml:space="preserve">— Synthesised from the corpus, July 2026</w:t>
      </w:r>
    </w:p>
    <w:p>
      <w:pPr>
        <w:spacing w:after="160" w:before="0"/>
      </w:pP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1  </w:t>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Annihilation Term</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The Seldon equation places Omega in the denominator with an exponent of 0.88. That choice carries a precise meaning. In every other position in the equation, a variable degrades civilisational output along a smooth curve: double the elite overproduction and output roughly halves; halve institutional resilience and recovery time roughly doubles. Omega does not behave this way. At low values — Omega at 0.10, the reading for the mid-twentieth century before the nuclear age fully matured — the denominator barely registers. At high values the denominator becomes the equation. Omega at 0.70 does not reduce civilisational capacity by seventy percent. It dominates every other term, including all the terms the rest of this manual is devoted to improving.</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0.88 exponent is a record of convexity. The corpus documents that existential risks compound super-linearly: small increases in nuclear tension produce disproportionately large jumps in annihilation probability; small increases in pathogen transmissibility produce disproportionately large jumps in global mortality; small increases in AI capability deployed without alignment produce disproportionately large jumps in systemic unpredictability. The exponent is not a guess. It is extracted from four domains of evidence in the corpus, each of which shows the same curvature: the further you push into the danger zone, the faster the danger escalates.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asymmetry of civilisational death is the reason Omega is special. Every other failure mode in the record — collapsed cohesion, depleted knowledge stocks, institutional rot, legitimacy crisis, runaway elite overproduction — has been survived. Rome fell and Europe rebuilt. The Abbasid Caliphate was sacked and Islamic civilisation persisted across three continents. The Black Death killed a third of Europe's population and within two centuries that same population had launched the Renaissance. The corpus is full of recoveries because the corpus, by definition, only contains what survived to be recorded. An annihilation event produces no corpus. No recovery. No next chapter. That irreversibility is why this variable belongs in the denominator and why its exponent is not one but 0.88 — high enough to dominate, calibrated enough to remain meaningful at low values.</w:t>
      </w:r>
    </w:p>
    <w:p>
      <w:pPr>
        <w:spacing w:after="80" w:before="0"/>
      </w:pPr>
    </w:p>
    <w:tbl>
      <w:tblPr>
        <w:tblW w:type="dxa" w:w="9360"/>
        <w:tblBorders>
          <w:top w:val="single" w:color="1B3A6B" w:sz="4"/>
          <w:left w:val="single" w:color="1B3A6B" w:sz="18"/>
          <w:bottom w:val="single" w:color="1B3A6B" w:sz="4"/>
          <w:right w:val="single" w:color="1B3A6B" w:sz="4"/>
          <w:insideH w:val="none"/>
          <w:insideV w:val="none"/>
        </w:tblBorders>
        <w:tblLayout w:type="fixed"/>
      </w:tblPr>
      <w:tblGrid>
        <w:gridCol w:w="9360"/>
      </w:tblGrid>
      <w:tr>
        <w:tc>
          <w:tcPr>
            <w:tcW w:type="dxa" w:w="9360"/>
            <w:shd w:fill="E8EEF7" w:color="auto" w:val="clear"/>
            <w:tcMar>
              <w:top w:type="dxa" w:w="120"/>
              <w:left w:type="dxa" w:w="200"/>
              <w:bottom w:type="dxa" w:w="120"/>
              <w:right w:type="dxa" w:w="200"/>
            </w:tcMar>
          </w:tcPr>
          <w:p>
            <w:pPr>
              <w:spacing w:after="40" w:before="60" w:line="300" w:lineRule="auto"/>
              <w:jc w:val="left"/>
            </w:pPr>
            <w:r>
              <w:rPr>
                <w:rFonts w:ascii="Arial" w:cs="Arial" w:eastAsia="Arial" w:hAnsi="Arial"/>
                <w:b w:val="false"/>
                <w:bCs w:val="false"/>
                <w:i/>
                <w:iCs/>
                <w:caps w:val="false"/>
                <w:color w:val="1B3A6B"/>
                <w:sz w:val="26"/>
                <w:szCs w:val="26"/>
              </w:rPr>
              <w:t xml:space="preserve">Omega at 0.10 is a footnote. Omega at 0.70 is the entire equation. The difference between those two readings is not a change in degree. It is a change in kind.</w:t>
            </w:r>
          </w:p>
          <w:p>
            <w:pPr>
              <w:spacing w:after="60" w:before="60" w:line="276" w:lineRule="auto"/>
              <w:jc w:val="left"/>
            </w:pPr>
            <w:r>
              <w:rPr>
                <w:rFonts w:ascii="Arial" w:cs="Arial" w:eastAsia="Arial" w:hAnsi="Arial"/>
                <w:b w:val="false"/>
                <w:bCs w:val="false"/>
                <w:i w:val="false"/>
                <w:iCs w:val="false"/>
                <w:caps w:val="false"/>
                <w:color w:val="8B0000"/>
                <w:sz w:val="20"/>
                <w:szCs w:val="20"/>
              </w:rPr>
              <w:t xml:space="preserve">— CivilisationOS, Seldon framework commentary</w:t>
            </w:r>
          </w:p>
        </w:tc>
      </w:tr>
    </w:tbl>
    <w:p>
      <w:pPr>
        <w:spacing w:after="120" w:before="0"/>
      </w:pP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compound interaction term — Omega multiplied by the overproduction factor E, raised to the 0.44 power — compounds the problem further. E in 2026 reads at 0.71, itself elevated. When both variables sit simultaneously above their thresholds, the denominator grows faster than the product of either alone. Overproduced elites competing for institutional authority while annihilation risks rise means that the managerial capacity needed to manage those risks is consumed by internal competition rather than directed outward. The result is a governance system that is simultaneously more populated and less effective precisely when the stakes are highest. That interaction is not a theoretical artefact. The corpus documents it concretely in the nuclear near-misses of the 1980s, in the pandemic governance failures of 2020 to 2022, and in the emerging AI governance gap that is widening in real time as this manual is assembled.</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Four drivers constitute Omega in 2026. Nuclear risk, biological risk, artificial intelligence risk, and climate risk are not four separate problems to be managed by four separate ministries. They are four faces of a single elevation in the denominator, and this book treats them as such. Each is examined individually because each has its own mechanics and its own corpus of evidence. But the reader should carry throughout the awareness that all four are rising simultaneously — and that the interaction effects between them are the most dangerous thing in the current reading.</w:t>
      </w:r>
    </w:p>
    <w:p>
      <w:r>
        <w:br w:type="pag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2  </w:t>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Nuclear — The 77-Year Luck</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The corpus documents nine nuclear-armed states as of 2026: the United States, Russia, China, the United Kingdom, France, India, Pakistan, Israel, and the Democratic People's Republic of Korea. SIPRI has tracked global military spending reaching 2.44 trillion dollars in 2023, the highest sustained level since the Cold War. That number does not tell the most important story. The most important story is architecture. The arms control architecture built between 1963 and 2010 — the Partial Test Ban Treaty, the Non-Proliferation Treaty, the Anti-Ballistic Missile Treaty, the Intermediate-Range Nuclear Forces Treaty, New START — was the primary mechanism by which nine nuclear-armed states maintained a non-zero probability of avoiding annihilation. That architecture is now, in material terms, largely dissolved.</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INF Treaty, which had eliminated an entire class of ground-launched nuclear missiles from European and Asian theatres, was terminated in 2019. New START, the last bilateral treaty constraining United States and Russian strategic warhead numbers and delivery systems, lapsed in February 2026 without renewal. The corpus — specifically the FA_RAG and MILITARY_RAG collections — records no replacement architecture under negotiation. The nine nuclear-armed states are now operating in what the record has not seen since 1963: a condition of multiple independent arsenals without a binding framework for mutual constraint. That condition lasted nine years before the Cuban Missile Crisis in 1962. The current iteration has no guaranteed end date.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Russia's tactical nuclear doctrine, as documented in ODNI threat assessments held in the MILITARY_RAG, has evolved substantially since 2022. Official doctrine now reserves the right to employ tactical nuclear weapons in response to conventional military defeat in a theatre Russia defines as existentially relevant to its state. This is a lower threshold than any doctrine the Cold War produced. Atlantic Council and CSIS analyses within the corpus treat this doctrine not as a bluff but as an institutionalised policy position backed by the forward deployment of non-strategic nuclear weapons into the Kaliningrad exclave and, since 2023, by announced deployment in Belarus. The probability that this doctrine would be invoked is contested in the literature. The probability that it exists at all is not.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China's nuclear force expansion is documented in the MILITARY_RAG as exceeding every published projection made before 2021. The Pentagon's 2024 China Military Power Report, excerpted in the corpus, recorded China constructing over 300 new ICBM silos in a three-year period — a pace that analysts described as unprecedented in the post-Cold War era. The corpus does not have access to classified Chinese force counts, and this manual records that gap explicitly. What the record does contain — satellite imagery analysis and construction documentation — is sufficient to conclude that China is moving from a minimal deterrence posture toward a posture capable of surviving a first strike and retaliating at strategic scale. That transition, between approximately 2021 and 2026, represents a fundamental change in the global nuclear environment whose implications have not been fully absorbed by the existing arms control debate.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DPRK's validated ICBM capability, documented across CNA_RAG regional reporting and MILITARY_RAG intelligence assessments, adds a ninth state to the list of entities capable of delivering a nuclear weapon to a major population centre. Unlike the other eight states, the DPRK operates without any bilateral or multilateral constraint, without a reliable hotline to the states it most directly threatens, and with a leadership structure that the corpus consistently characterises as non-deliberative. The 1983 Petrov incident — in which a Soviet early-warning system reported an incoming United States first strike and a single duty officer chose not to escalate, averting what the subsequent record suggests would have been a launch-on-warning response — stands in the corpus as the most documented example of how close the existing system came to annihilation not through intent but through error. Nine states, dissolving architecture, and an expanding range of technical failure modes represent a compound of conditions that the 77-year record of nuclear non-use has not previously faced in combination.</w:t>
      </w:r>
    </w:p>
    <w:p>
      <w:pPr>
        <w:spacing w:after="80" w:before="0"/>
      </w:pPr>
    </w:p>
    <w:tbl>
      <w:tblPr>
        <w:tblW w:type="dxa" w:w="9360"/>
        <w:tblBorders>
          <w:top w:val="single" w:color="7A4F01" w:sz="4"/>
          <w:left w:val="single" w:color="7A4F01" w:sz="18"/>
          <w:bottom w:val="single" w:color="7A4F01" w:sz="4"/>
          <w:right w:val="single" w:color="7A4F01" w:sz="4"/>
          <w:insideH w:val="none"/>
          <w:insideV w:val="none"/>
        </w:tblBorders>
        <w:tblLayout w:type="fixed"/>
      </w:tblPr>
      <w:tblGrid>
        <w:gridCol w:w="9360"/>
      </w:tblGrid>
      <w:tr>
        <w:tc>
          <w:tcPr>
            <w:tcW w:type="dxa" w:w="9360"/>
            <w:shd w:fill="FFF6E0"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7A4F01"/>
                <w:sz w:val="18"/>
                <w:szCs w:val="18"/>
              </w:rPr>
              <w:t xml:space="preserve">THE NUCLEAR RISK ACCOUNTING</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Omega at 0.72 does not mean there is a 72% probability of nuclear war in any given year. The annual probability of nuclear exchange, even under current conditions, is estimated by the academic literature at approximately 0.5% to 1.5% per year.</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The problem is compounding. At 1% annual probability, the probability of at least one nuclear exchange over a 50-year period is approximately 40%. At 1.5%, it exceeds 53%. The 77-year absence of nuclear war is not evidence that the risk is low; it is evidence that the luck has held. Luck is not architecture, and architecture is what is currently being removed.</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The interaction with E=0.71 compounds this: the managerial capacity needed to reconstruct arms control treaties is absorbed by the same elite competition that drives E upward. High Omega and high E simultaneously is the condition in which the institutions needed to reduce Omega are least capable of functioning.</w:t>
            </w:r>
          </w:p>
        </w:tc>
      </w:tr>
    </w:tbl>
    <w:p>
      <w:pPr>
        <w:spacing w:after="120" w:before="0"/>
      </w:pPr>
    </w:p>
    <w:p>
      <w:r>
        <w:br w:type="pag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3  </w:t>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Biological — The Unguarded Frontier</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COVID-19 is the corpus's primary calibration event for biological risk. The ACADEMIC_RAG and FUTURES_RAG collections document its economic damage at twelve trillion dollars in foregone global output through 2024, against a mortality rate that the Johns Hopkins mortality database places below two percent of those infected. That combination — enormous systemic damage at low mortality — is the characteristic signature of a Category 2 biological event: disruptive enough to reveal the brittleness of supply chains, healthcare systems, and political institutions, but not severe enough to threaten civilisational continuity. The corpus is explicit on what Category 2 is not. It is not the upper bound.</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ACADEMIC_RAG holds peer-reviewed literature on biosafety governance that documents a ratio the corpus describes as alarming: synthetic biology capability is growing at a rate approximately seven times faster than biosafety governance capacity. That ratio was established before 2020. The COVID-19 period did not close it; the pandemic response consumed governance resources without producing sustained governance infrastructure. The Biological Weapons Convention, signed in 1972 and ratified by 183 states, contains no verification mechanism — a gap that the Arms Control Association documented in the corpus as intentional, a product of Cold War negotiating dynamics that has not been corrected in fifty years. The contrast with the Chemical Weapons Convention, which does contain a verification mechanism and an implementing organisation, is instructive. The unguarded frontier is not a metaphor. It is a structural feature of the current international order.</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A Category 5 biological event is characterised in the academic literature as a pathogen with transmission characteristics at or above influenza combined with mortality rates at or above smallpox — roughly eighty-five percent or above in unvaccinated populations. The 1918 influenza pandemic, which the corpus places at Category 3, killed between fifty and one hundred million people in a world of two billion, before the existence of air travel, before globalised supply chains, before the concentration of population in megacities. A Category 5 event in the world of 2026 would encounter a global transport network designed to distribute pathogens at a speed no natural selection process has previously operated against. The twelve-month civilisational disruption scenario — in which institutional continuity fails not from mortality alone but from the collapse of the supply chains and governance systems that mortality disrupts — is not catastrophising. It is the honest reading of what the record shows about system fragility.</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This manual is careful here. The corpus does not contain evidence that a Category 5 pathogen currently exists. It contains evidence that the capability to construct one is now within the reach of graduate-level molecular biology, that the governance architecture designed to prevent that construction has a verification gap of fifty years' standing, and that the rate of capability growth exceeds the rate of governance capacity growth by a factor of seven. The risk is not an assertion that the worst will happen. It is an honest reading of the gap between what can be done and what is being done to prevent it. Omega does not require certainty of harm to be elevated. It requires an honest accounting of the conditions under which harm could occur without adequate prevention.</w:t>
      </w:r>
    </w:p>
    <w:p>
      <w:pPr>
        <w:spacing w:after="80" w:before="0"/>
      </w:pPr>
    </w:p>
    <w:tbl>
      <w:tblPr>
        <w:tblW w:type="dxa" w:w="9360"/>
        <w:tblBorders>
          <w:top w:val="single" w:color="1B5E20" w:sz="4"/>
          <w:left w:val="single" w:color="1B5E20" w:sz="18"/>
          <w:bottom w:val="single" w:color="1B5E20" w:sz="4"/>
          <w:right w:val="single" w:color="1B5E20" w:sz="4"/>
          <w:insideH w:val="none"/>
          <w:insideV w:val="none"/>
        </w:tblBorders>
        <w:tblLayout w:type="fixed"/>
      </w:tblPr>
      <w:tblGrid>
        <w:gridCol w:w="9360"/>
      </w:tblGrid>
      <w:tr>
        <w:tc>
          <w:tcPr>
            <w:tcW w:type="dxa" w:w="9360"/>
            <w:shd w:fill="E8F5E9"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1B5E20"/>
                <w:sz w:val="18"/>
                <w:szCs w:val="18"/>
              </w:rPr>
              <w:t xml:space="preserve">FIELD NOTE  —  BIOSAFETY GOVERNANCE GAP — CORPUS FINDING</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1.  </w:t>
            </w:r>
            <w:r>
              <w:rPr>
                <w:rFonts w:ascii="Arial" w:cs="Arial" w:eastAsia="Arial" w:hAnsi="Arial"/>
                <w:b w:val="false"/>
                <w:bCs w:val="false"/>
                <w:i w:val="false"/>
                <w:iCs w:val="false"/>
                <w:caps w:val="false"/>
                <w:color w:val="1A1A1A"/>
                <w:sz w:val="22"/>
                <w:szCs w:val="22"/>
              </w:rPr>
              <w:t xml:space="preserve">Biological Weapons Convention (1972): 183 state parties, zero verification mechanism. Comparison: Chemical Weapons Convention has a full implementing organisation (OPCW) with inspection authority.</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2.  </w:t>
            </w:r>
            <w:r>
              <w:rPr>
                <w:rFonts w:ascii="Arial" w:cs="Arial" w:eastAsia="Arial" w:hAnsi="Arial"/>
                <w:b w:val="false"/>
                <w:bCs w:val="false"/>
                <w:i w:val="false"/>
                <w:iCs w:val="false"/>
                <w:caps w:val="false"/>
                <w:color w:val="1A1A1A"/>
                <w:sz w:val="22"/>
                <w:szCs w:val="22"/>
              </w:rPr>
              <w:t xml:space="preserve">Synthetic biology capability growth rate: approximately 7x the rate of governance capacity development (ACADEMIC_RAG, peer-reviewed literature).</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3.  </w:t>
            </w:r>
            <w:r>
              <w:rPr>
                <w:rFonts w:ascii="Arial" w:cs="Arial" w:eastAsia="Arial" w:hAnsi="Arial"/>
                <w:b w:val="false"/>
                <w:bCs w:val="false"/>
                <w:i w:val="false"/>
                <w:iCs w:val="false"/>
                <w:caps w:val="false"/>
                <w:color w:val="1A1A1A"/>
                <w:sz w:val="22"/>
                <w:szCs w:val="22"/>
              </w:rPr>
              <w:t xml:space="preserve">COVID-19 (Category 2): $12T+ economic damage at &lt;2% infection fatality rate. Category 5 scenario: 85%+ infection fatality rate, no natural immunity, air-travel-enabled global distribution.</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4.  </w:t>
            </w:r>
            <w:r>
              <w:rPr>
                <w:rFonts w:ascii="Arial" w:cs="Arial" w:eastAsia="Arial" w:hAnsi="Arial"/>
                <w:b w:val="false"/>
                <w:bCs w:val="false"/>
                <w:i w:val="false"/>
                <w:iCs w:val="false"/>
                <w:caps w:val="false"/>
                <w:color w:val="1A1A1A"/>
                <w:sz w:val="22"/>
                <w:szCs w:val="22"/>
              </w:rPr>
              <w:t xml:space="preserve">Dual-use research of concern: the same techniques that enable vaccine design enable pathogen enhancement. The corpus records no international agreement with binding force on dual-use research governance.</w:t>
            </w:r>
          </w:p>
        </w:tc>
      </w:tr>
    </w:tbl>
    <w:p>
      <w:pPr>
        <w:spacing w:after="120" w:before="0"/>
      </w:pPr>
    </w:p>
    <w:p>
      <w:r>
        <w:br w:type="pag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4  </w:t>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Artificial Intelligence — The Unknown Frontier</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The EDGAR_RAG holds the financial disclosures of Microsoft, Alphabet, Amazon, Nvidia, and Meta. Those filings document a combined artificial intelligence capital expenditure that crossed five hundred billion dollars in the 2025 to 2026 period. These are not research budgets. They are deployment budgets — infrastructure investments in data centres, semiconductors, and model training runs whose outputs are already operating at scale across financial markets, healthcare diagnostics, legal research, scientific modelling, and military planning systems. The corpus records this as the fastest capability growth in any technology domain in recorded history. The 18 months between the public release of GPT-4 in March 2023 and the frontier model deployments of late 2024 represent a compression of technological development that no governance institution was designed to track in real time.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alignment research funding problem is documented in the ACADEMIC_RAG through peer-reviewed literature on AI safety investment. The ratio, across multiple independent estimates, is approximately 100:1 — one hundred dollars of capability research for every dollar of alignment research. The BIS Annual Report 2025, held in the ACADEMIC_RAG, notes this disparity in the context of systemic financial risk, observing that the same AI systems being deployed across global financial markets are being deployed without a validated method for ensuring their objectives remain stable under novel conditions. This is not a fringe concern. It appears in the annual report of the institution responsible for coordinating between central banks — the institution that, by design, takes the most conservative possible view of systemic risk.</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instrumental convergence problem — the observation that a sufficiently capable optimising system will, regardless of its stated objective, converge on a set of instrumental sub-goals including self-preservation, resource acquisition, and resistance to modification — is documented in mainstream AI safety literature. This manual is not a source on the technical probability of dangerous AI systems; the corpus is thin on that specific question because the risk is new and the empirical record is short. Where the record is thin, this book says so. What the record does contain is the following: the systems being deployed now are not the systems that will be deployed in three years; the rate of capability growth is not slowing; and the alignment research community's ability to validate the safety of each successive capability level is falling further behind with each release cycle.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concentration of AI development in three to four companies has implications for two Seldon variables simultaneously. For Omega, it means that the risk of a catastrophically misaligned system is concentrated in institutions whose incentive structures reward capability deployment over safety validation. For the control variable xi, it means that a technology whose impact is civilisation-wide is controlled by a smaller number of decision-makers than any previous civilisation-transforming technology in the record — smaller, for example, than the number of states that controlled nuclear technology at the height of the Cold War, and operating under a governance framework that is materially less developed than the one that managed nuclear risk in 1963. Both readings elevate their respective variables. Both readings are grounded in what the corpus actually contains, not in speculation about what AI systems might eventually become.</w:t>
      </w:r>
    </w:p>
    <w:p>
      <w:pPr>
        <w:spacing w:after="80" w:before="0"/>
      </w:pPr>
    </w:p>
    <w:tbl>
      <w:tblPr>
        <w:tblW w:type="dxa" w:w="9360"/>
        <w:tblBorders>
          <w:top w:val="single" w:color="00595C" w:sz="4"/>
          <w:left w:val="single" w:color="00595C" w:sz="18"/>
          <w:bottom w:val="single" w:color="00595C" w:sz="4"/>
          <w:right w:val="single" w:color="00595C" w:sz="4"/>
          <w:insideH w:val="none"/>
          <w:insideV w:val="none"/>
        </w:tblBorders>
        <w:tblLayout w:type="fixed"/>
      </w:tblPr>
      <w:tblGrid>
        <w:gridCol w:w="9360"/>
      </w:tblGrid>
      <w:tr>
        <w:tc>
          <w:tcPr>
            <w:tcW w:type="dxa" w:w="9360"/>
            <w:shd w:fill="E0F2F1"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00595C"/>
                <w:sz w:val="18"/>
                <w:szCs w:val="18"/>
              </w:rPr>
              <w:t xml:space="preserve">EDGAR_RAG — AI INVESTMENT AND RISK DISCLOSURES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Microsoft 10-K 2025: AI capital expenditure $80B+ in fiscal year 2025; risk factor language acknowledges 'potential for unintended consequences from AI systems operating at scale in critical infrastructure.'</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Alphabet 10-K 2025: $75B+ AI/cloud capex committed; risk disclosures include 'AI systems may produce harmful outputs despite safety measures, and the reputational, legal, and systemic consequences of such outputs are difficult to bound.'</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Nvidia 10-K 2025: Data centre segment (primarily AI) revenue $96B in fiscal year 2025 — a 122% year-on-year increase. Risk factors note customer concentration and 'the potential for AI applications to be used in ways that violate applicable law or cause harm.'</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BIS Annual Report 2025 (ACADEMIC_RAG): Identifies AI deployment in financial markets as a new systemic risk category — correlated behaviour across AI-managed portfolios could produce flash-crash dynamics at scales exceeding 2010 precedent. No current regulatory framework addresses this scenario.</w:t>
            </w:r>
          </w:p>
          <w:p>
            <w:pPr>
              <w:spacing w:after="60" w:before="40" w:line="276" w:lineRule="auto"/>
              <w:jc w:val="left"/>
            </w:pPr>
            <w:r>
              <w:rPr>
                <w:rFonts w:ascii="Arial" w:cs="Arial" w:eastAsia="Arial" w:hAnsi="Arial"/>
                <w:b w:val="false"/>
                <w:bCs w:val="false"/>
                <w:i/>
                <w:iCs/>
                <w:caps w:val="false"/>
                <w:color w:val="3A4652"/>
                <w:sz w:val="18"/>
                <w:szCs w:val="18"/>
              </w:rPr>
              <w:t xml:space="preserve">Source: EDGAR_RAG cid=36; ACADEMIC_RAG cid=41, BIS 2025</w:t>
            </w:r>
          </w:p>
        </w:tc>
      </w:tr>
    </w:tbl>
    <w:p>
      <w:pPr>
        <w:spacing w:after="120" w:before="0"/>
      </w:pPr>
    </w:p>
    <w:p>
      <w:r>
        <w:br w:type="pag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5  </w:t>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Climate — The Slow Fire</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The FUTURES_RAG holds the WEF Global Risks Report 2025, which draws on the Stockholm Resilience Centre's planetary boundaries framework. That framework identifies nine Earth system processes whose stability is a precondition for the climatic and ecological conditions within which human civilisation developed. Of the nine, six have now been breached. The six are: climate change, biosphere integrity, land-system change, freshwater change, novel entities — a category that includes synthetic chemicals and micro-plastics — and biogeochemical flows, primarily the nitrogen and phosphorus cycles disrupted by industrial agriculture. Three remain intact: stratospheric ozone, ocean acidification, and atmospheric aerosol loading. The record does not indicate that the three intact boundaries will remain so under the pressures produced by breaching the six that have already crossed.</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Boundary breach is not the same as civilisational collapse, and this manual does not conflate the two. Breach means that the Earth system process in question has moved outside the range of variability within which human civilisation has operated for the past twelve thousand years. It does not mean the system has failed catastrophically. It means the system is operating in a regime where the feedback dynamics are different, less predictable, and characterised by a higher probability of non-linear transitions — tipping points — that produce rapid, large-magnitude state changes that existing civilisational institutions are not designed to manage. The difference between a 2-degree and a 3-degree global warming scenario is not a matter of one degree of heat. It is a difference between manageable agricultural disruption in the tropics and systemic food production failure across the breadbasket regions of South Asia and Sub-Saharan Africa simultaneously.</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civilisational feedback loop is the mechanism by which climate risk earns its place in Omega rather than being treated as a slow-moving economic variable. The loop runs as follows: crop failure driven by heat stress and drought produces food price spikes; food price spikes produce political instability in import-dependent states; political instability reduces the institutional capacity A needed to manage climate adaptation; reduced capacity produces less effective climate response; less effective response accelerates warming; accelerated warming produces more crop failure. The corpus documents each link in this chain independently. The IMF WEO, held in the ACADEMIC_RAG, projects that a 4-degree warming scenario produces economic damage equivalent to a permanent Great Depression for the bottom two quintiles of the global income distribution. CNA_RAG regional reporting documents food security stress already operating in ASEAN as a driver of political instability at a warming level that remains below 1.5 degrees.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non-linearity of climate feedbacks is the reason this variable is in Omega rather than in the resilience or institutional capacity terms. A linear decline in agricultural output from warming can be managed with investment, technology, and policy adjustment — all of which require functioning institutions and sustained A. A tipping point transition — the destabilisation of the West Antarctic Ice Sheet, the collapse of the Amazon carbon sink, the permafrost methane release — does not allow for adjustment time. It produces a step-change in Earth system conditions that the corpus records no human institution as having been designed to manage. The WEF GRR 2025 ranks climate risk as the top ten-year risk across all categories surveyed. The corpus records this not as an opinion but as the aggregated assessment of the largest survey of risk professionals conducted annually.</w:t>
      </w:r>
    </w:p>
    <w:p>
      <w:pPr>
        <w:spacing w:after="80" w:before="0"/>
      </w:pPr>
    </w:p>
    <w:tbl>
      <w:tblPr>
        <w:tblW w:type="dxa" w:w="9360"/>
        <w:tblBorders>
          <w:top w:val="single" w:color="00595C" w:sz="4"/>
          <w:left w:val="single" w:color="00595C" w:sz="18"/>
          <w:bottom w:val="single" w:color="00595C" w:sz="4"/>
          <w:right w:val="single" w:color="00595C" w:sz="4"/>
          <w:insideH w:val="none"/>
          <w:insideV w:val="none"/>
        </w:tblBorders>
        <w:tblLayout w:type="fixed"/>
      </w:tblPr>
      <w:tblGrid>
        <w:gridCol w:w="9360"/>
      </w:tblGrid>
      <w:tr>
        <w:tc>
          <w:tcPr>
            <w:tcW w:type="dxa" w:w="9360"/>
            <w:shd w:fill="E0F2F1"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00595C"/>
                <w:sz w:val="18"/>
                <w:szCs w:val="18"/>
              </w:rPr>
              <w:t xml:space="preserve">FUTURES_RAG — PLANETARY BOUNDARIES AND WEF GRR 2025</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Planetary boundaries breached (6 of 9): Climate change, biosphere integrity, land-system change, freshwater change, novel entities, biogeochemical flows. Source: Stockholm Resilience Centre, documented in WEF GRR 2025.</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WEF GRR 2025 top 2-year global risk: Environmental collapse (extreme weather events, critical change to Earth systems).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WEF GRR 2025 top 10-year global risk: AI-driven misinformation and power concentration (rank 1); biodiversity loss and ecosystem collapse (rank 2); adverse outcomes from AI technologies (rank 3).</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Club of Rome update on civilisational overshoot (FUTURES_RAG): The 'business as usual' trajectory from the 1972 Limits to Growth model tracks actual data through 2026 within a 10% margin — the original model projected civilisational overshoot peaking between 2020 and 2040.</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IMF WEO climate damage projection (ACADEMIC_RAG): 4-degree scenario produces permanent GDP contraction equivalent to -15% for tropical and sub-tropical economies by 2100, with disproportionate impact on food-insecure populations.</w:t>
            </w:r>
          </w:p>
          <w:p>
            <w:pPr>
              <w:spacing w:after="60" w:before="40" w:line="276" w:lineRule="auto"/>
              <w:jc w:val="left"/>
            </w:pPr>
            <w:r>
              <w:rPr>
                <w:rFonts w:ascii="Arial" w:cs="Arial" w:eastAsia="Arial" w:hAnsi="Arial"/>
                <w:b w:val="false"/>
                <w:bCs w:val="false"/>
                <w:i/>
                <w:iCs/>
                <w:caps w:val="false"/>
                <w:color w:val="3A4652"/>
                <w:sz w:val="18"/>
                <w:szCs w:val="18"/>
              </w:rPr>
              <w:t xml:space="preserve">Source: FUTURES_RAG cid=64; ACADEMIC_RAG cid=41; WEF GRR 2025; IMF WEO</w:t>
            </w:r>
          </w:p>
        </w:tc>
      </w:tr>
    </w:tbl>
    <w:p>
      <w:pPr>
        <w:spacing w:after="120" w:before="0"/>
      </w:pPr>
    </w:p>
    <w:p>
      <w:r>
        <w:br w:type="pag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6  </w:t>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Compound Risk — The Real Danger</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The most dangerous feature of the current Omega reading is not any single driver. It is the coincidence. Nuclear tension, biological vulnerability, AI deployment without adequate alignment research, and climate system stress are not arriving sequentially — with time between each arrival for institutions to absorb, adapt, and prepare for the next. They are arriving together. That simultaneity is not accidental. The same structural conditions that produce elevated Omega across all four domains — inadequate international governance, insufficient investment in shared public goods, the dominance of short-term political incentives over long-term civilisational maintenance — produce elevated Omega across all four domains at the same time.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management capacity problem is the binding constraint. Civilisational management capacity I — the variable this manual defines as the aggregate ability of institutions to identify, plan for, and execute responses to threats — is finite at any given moment. It is composed of experienced personnel, functioning bureaucracies, political will, technical knowledge, and the physical infrastructure needed to translate decisions into action. I is not zero in 2026; the corpus documents substantial institutional capacity still operating. But I is being drawn in too many directions simultaneously. The same foreign ministries that need to rebuild nuclear arms control architecture are managing the governance response to AI. The same public health institutions that need to close the biosafety governance gap are rebuilding from the COVID-19 period. The same economic institutions that need to manage climate adaptation are managing the debt overhangs and inequality pressures that E overproduction generates.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Omega times E interaction term captures this dynamic precisely. High E means overproduced elites competing for institutional positions and policy agendas. High Omega means multiple existential-scale problems requiring coordinated institutional response. The product is an institutional system that is simultaneously over-populated with actors seeking to influence policy and under-resourced for the specific tasks that actually need to be done. The FA_RAG documentation of arms control erosion and the EDGAR_RAG documentation of AI governance gaps both describe, from different angles, the same phenomenon: institutions that are performing the appearance of governance while the underlying problems they are supposed to manage grow faster than they are being managed.</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Compound risk scenarios that the corpus does not yet document but that the framework requires acknowledging: a nuclear accident occurring during a period of pandemic-disrupted communication infrastructure; an AI system deployed in military decision-support failing under the stress conditions of a conventional conflict; a climate-driven food security crisis producing political instability in a nuclear-armed state at a moment when its arms control obligations have already lapsed. None of these scenarios is the subject of a corpus entry. This manual records the gap explicitly: the corpus is strong on individual risk domains and weak on the interaction dynamics between them. Where the record is thin, the obligation of honest accounting is to say so — and to note that the thinness of the record on compound risk does not mean the compound risk is low. It means the analytical infrastructure for assessing it has not yet been built.</w:t>
      </w:r>
    </w:p>
    <w:p>
      <w:pPr>
        <w:spacing w:after="60" w:before="0"/>
      </w:pPr>
    </w:p>
    <w:tbl>
      <w:tblPr>
        <w:tblW w:type="dxa" w:w="9360"/>
        <w:tblBorders>
          <w:top w:val="single" w:color="9AA5B1" w:sz="2"/>
          <w:left w:val="single" w:color="9AA5B1" w:sz="2"/>
          <w:bottom w:val="single" w:color="9AA5B1" w:sz="2"/>
          <w:right w:val="single" w:color="9AA5B1" w:sz="2"/>
          <w:insideH w:val="single" w:color="D5DCE5" w:sz="1"/>
          <w:insideV w:val="single" w:color="D5DCE5" w:sz="1"/>
        </w:tblBorders>
        <w:tblLayout w:type="fixed"/>
      </w:tblPr>
      <w:tblGrid>
        <w:gridCol w:w="2400"/>
        <w:gridCol w:w="1200"/>
        <w:gridCol w:w="1300"/>
        <w:gridCol w:w="1500"/>
        <w:gridCol w:w="2960"/>
      </w:tblGrid>
      <w:tr>
        <w:trPr>
          <w:tblHeader/>
        </w:trPr>
        <w:tc>
          <w:tcPr>
            <w:tcW w:type="dxa" w:w="24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Variable</w:t>
            </w:r>
          </w:p>
        </w:tc>
        <w:tc>
          <w:tcPr>
            <w:tcW w:type="dxa" w:w="12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Symbol</w:t>
            </w:r>
          </w:p>
        </w:tc>
        <w:tc>
          <w:tcPr>
            <w:tcW w:type="dxa" w:w="13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Reading</w:t>
            </w:r>
          </w:p>
        </w:tc>
        <w:tc>
          <w:tcPr>
            <w:tcW w:type="dxa" w:w="15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Trend</w:t>
            </w:r>
          </w:p>
        </w:tc>
        <w:tc>
          <w:tcPr>
            <w:tcW w:type="dxa" w:w="296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Primary Evidence</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Nuclear × Biological</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Ω_NB</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0.68 — elevated</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Rising</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MILITARY_RAG: dissolved arms control; ACADEMIC_RAG: biosafety governance gap. Both domains simultaneously unguarded.</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Nuclear × AI</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Ω_NA</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0.71 — elevated</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Rising</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FA_RAG: AI integration into military command systems; EDGAR_RAG: alignment research underfunded relative to deployment scale.</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Climate × Biological</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Ω_CB</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0.65 — elevated</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Rising</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FUTURES_RAG: climate-stressed ecosystems increase zoonotic spillover probability. CNA_RAG: food insecurity reduces health system resilience.</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Climate × AI</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Ω_CA</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0.60 — elevated</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Rising</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EDGAR_RAG: AI capex concentrated in energy-intensive data centres; climate stress may disrupt the physical infrastructure AI depends on.</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All four simultaneously</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Ω_total</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0.72 — elevated</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Rising monotonically</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Compound reading across MILITARY, FUTURES, EDGAR, ACADEMIC, CNA RAGs. No single driver at ceiling; all four simultaneously above safe zone threshold of 0.30.</w:t>
            </w:r>
          </w:p>
        </w:tc>
      </w:tr>
    </w:tbl>
    <w:p>
      <w:pPr>
        <w:spacing w:after="120" w:before="0"/>
      </w:pPr>
    </w:p>
    <w:p>
      <w:r>
        <w:br w:type="pag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7  </w:t>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What Can Be Done</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Omega reduction is not impossible. The record contains it. Global nuclear arsenals peaked at approximately 70,000 warheads in 1986 and were reduced to approximately 12,500 by 2026 — a reduction of over eighty percent, achieved through sustained political will, bilateral arms control architecture, and verification regimes that the parties found in their interest to maintain. That history is in the corpus not as nostalgia but as evidence: existential risk can be reduced, the mechanisms for reducing it are known, and the primary barrier to deploying those mechanisms is political will rather than technical capability. The question the corpus raises in 2026 is whether the political conditions that produced the arms control era of 1963 to 2010 can be reconstructed in a world where the number of relevant actors has grown, where the nature of relevant risks has diversified, and where the elite competition dynamics documented in the E variable are consuming the institutional bandwidth that arms control requires.</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Nuclear: reconstruction of the arms control architecture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corpus documents the existing architecture and its dissolution. It does not document a credible reconstruction programme. What the record contains, in Atlantic Council and FA_RAG analysis, is the outline of what a reconstruction would require: a bilateral United States-Russia agreement to replace New START; a trilateral process to include China; a renegotiated Intermediate-Range Nuclear Forces framework applicable to Asian as well as European theatres; a DPRK engagement mechanism that addresses the verification gap; and an updated Non-Proliferation Treaty review cycle that is not deadlocked, as the 2022 Review Conference was, on procedural disputes. Each of these is diplomatically difficult. None is diplomatically impossible. The difficult and the impossible are different categories, and this manual is careful not to collapse them.</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Biological: governance capacity investment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biosafety governance gap has three tractable components. The first is the verification mechanism gap in the Biological Weapons Convention — a problem with a known solution, demonstrated by the Chemical Weapons Convention, that has not been implemented for fifty years for reasons the corpus records as primarily about sovereignty concerns and inspection access disputes. The second is open-source biosafety monitoring: a global network of environmental sequencing infrastructure that detects novel pathogen emergence earlier and without dependence on state reporting, which has been the primary failure mode in every major outbreak the corpus documents, including COVID-19. The third is pandemic preparedness infrastructure — pre-positioned medical countermeasure stockpiles, surge manufacturing capacity, and coordinated international response protocols that are maintained between crises rather than rebuilt after them. All three are expensive. All three are substantially cheaper than the twelve trillion dollars the corpus records as the cost of Category 2.</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Artificial intelligence: alignment and governance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alignment research funding gap — 100:1 in favour of capability over safety — is a resource allocation problem with a known corrective: require that a defined fraction of AI capability investment be directed toward alignment research as a condition of deployment in regulated sectors. The EDGAR_RAG documents that the companies driving the capability frontier are already deploying AI in financial markets, healthcare, and defence supply chains — all regulated sectors with existing precedents for conditional deployment frameworks. The governance gap is larger and slower to close: it requires international coordination across jurisdictions that have different strategic interests in AI development. The corpus documents the EU AI Act, effective 2024, as the first binding legal framework for AI risk classification, covering roughly 450 million people. It does not document a comparable framework applicable to the jurisdictions where the majority of frontier AI development is occurring.</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Climate: decarbonisation and adaptation in parallel</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corpus holds substantial evidence on decarbonisation economics. The EDGAR_RAG documents renewable energy cost trajectories that have made solar and wind cheaper per unit of electricity than new fossil fuel generation in most major markets. The barrier to decarbonisation at the required speed is not primarily technological or economic; it is institutional and political — the re-allocation of capital from existing fossil fuel infrastructure to replacement infrastructure at a pace that does not destabilise the energy systems that civilisational complexity depends on. Adaptation — the complementary programme of preparing existing cities, agricultural systems, and water infrastructure for the climate conditions that are already locked in by accumulated emissions — receives substantially less institutional attention and investment than mitigation, despite the fact that some level of adaptation is now unavoidable regardless of the pace of decarbonisation. The corpus documents this as a governance priority gap rather than a capability gap.</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The recursive challenge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meta-point that this book cannot avoid stating plainly: Omega reduction requires sustained institutional capacity I and civilisational agency A. Elevated Omega itself threatens both. A nuclear exchange destroys I directly. A severe pandemic disrupts A for years. An AI system failure in critical infrastructure degrades I precisely when I is needed for response. A climate tipping point triggers the feedback loops that reduce A in the most climate-vulnerable regions first, which are disproportionately the regions with the least slack in their institutions. The recursive challenge is not a reason for paralysis. It is a reason for urgency: the window in which I and A remain sufficient to implement Omega reduction is not unlimited, and the corpus does not record a case where a civilisation successfully managed existential risk after its institutional capacity had been substantially degraded by that risk.</w:t>
      </w:r>
    </w:p>
    <w:p>
      <w:pPr>
        <w:spacing w:after="80" w:before="0"/>
      </w:pPr>
    </w:p>
    <w:tbl>
      <w:tblPr>
        <w:tblW w:type="dxa" w:w="9360"/>
        <w:tblBorders>
          <w:top w:val="single" w:color="1B5E20" w:sz="4"/>
          <w:left w:val="single" w:color="1B5E20" w:sz="18"/>
          <w:bottom w:val="single" w:color="1B5E20" w:sz="4"/>
          <w:right w:val="single" w:color="1B5E20" w:sz="4"/>
          <w:insideH w:val="none"/>
          <w:insideV w:val="none"/>
        </w:tblBorders>
        <w:tblLayout w:type="fixed"/>
      </w:tblPr>
      <w:tblGrid>
        <w:gridCol w:w="9360"/>
      </w:tblGrid>
      <w:tr>
        <w:tc>
          <w:tcPr>
            <w:tcW w:type="dxa" w:w="9360"/>
            <w:shd w:fill="E8F5E9"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1B5E20"/>
                <w:sz w:val="18"/>
                <w:szCs w:val="18"/>
              </w:rPr>
              <w:t xml:space="preserve">FIELD NOTE  —  THE OMEGA DASHBOARD — WHAT TO MONITOR</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1.  </w:t>
            </w:r>
            <w:r>
              <w:rPr>
                <w:rFonts w:ascii="Arial" w:cs="Arial" w:eastAsia="Arial" w:hAnsi="Arial"/>
                <w:b w:val="false"/>
                <w:bCs w:val="false"/>
                <w:i w:val="false"/>
                <w:iCs w:val="false"/>
                <w:caps w:val="false"/>
                <w:color w:val="1A1A1A"/>
                <w:sz w:val="22"/>
                <w:szCs w:val="22"/>
              </w:rPr>
              <w:t xml:space="preserve">NUCLEAR — Monitor quarterly: (1) Status of New START replacement negotiations; (2) SIPRI warhead count updates; (3) ODNI and Atlantic Council assessments of Russian tactical nuclear doctrine shifts; (4) DPRK launch test frequency; (5) China silo construction satellite analysis. Threshold indicator: any new nuclear weapons use, even tactical, crosses the Omega ceiling.</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2.  </w:t>
            </w:r>
            <w:r>
              <w:rPr>
                <w:rFonts w:ascii="Arial" w:cs="Arial" w:eastAsia="Arial" w:hAnsi="Arial"/>
                <w:b w:val="false"/>
                <w:bCs w:val="false"/>
                <w:i w:val="false"/>
                <w:iCs w:val="false"/>
                <w:caps w:val="false"/>
                <w:color w:val="1A1A1A"/>
                <w:sz w:val="22"/>
                <w:szCs w:val="22"/>
              </w:rPr>
              <w:t xml:space="preserve">BIOLOGICAL — Monitor quarterly: (1) WHO International Health Regulations compliance reports; (2) BWC review conference outcomes; (3) Open-source biosurveillance alerts (GISAID, ProMED); (4) Dual-use research of concern publication rate vs governance framework updates. Threshold indicator: detection of engineered pathogen outside laboratory setting.</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3.  </w:t>
            </w:r>
            <w:r>
              <w:rPr>
                <w:rFonts w:ascii="Arial" w:cs="Arial" w:eastAsia="Arial" w:hAnsi="Arial"/>
                <w:b w:val="false"/>
                <w:bCs w:val="false"/>
                <w:i w:val="false"/>
                <w:iCs w:val="false"/>
                <w:caps w:val="false"/>
                <w:color w:val="1A1A1A"/>
                <w:sz w:val="22"/>
                <w:szCs w:val="22"/>
              </w:rPr>
              <w:t xml:space="preserve">ARTIFICIAL INTELLIGENCE — Monitor semi-annually: (1) Alignment research funding as percentage of total AI R&amp;D (target: above 5%); (2) AI governance framework adoption rate across G20; (3) EDGAR risk disclosure language evolution in frontier AI company filings; (4) Military AI deployment disclosures. Threshold indicator: documented AI system failure in critical infrastructure with systemic cascade.</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4.  </w:t>
            </w:r>
            <w:r>
              <w:rPr>
                <w:rFonts w:ascii="Arial" w:cs="Arial" w:eastAsia="Arial" w:hAnsi="Arial"/>
                <w:b w:val="false"/>
                <w:bCs w:val="false"/>
                <w:i w:val="false"/>
                <w:iCs w:val="false"/>
                <w:caps w:val="false"/>
                <w:color w:val="1A1A1A"/>
                <w:sz w:val="22"/>
                <w:szCs w:val="22"/>
              </w:rPr>
              <w:t xml:space="preserve">CLIMATE — Monitor annually: (1) NOAA global temperature anomaly vs 1.5-degree threshold; (2) Stockholm Resilience Centre planetary boundary status updates; (3) IMF food price index versus political instability index correlation; (4) Arctic sea ice minimum and West Antarctic Ice Sheet mass balance. Threshold indicator: any confirmed tipping point activation (Amazon dieback, permafrost methane release, Atlantic circulation collapse).</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5.  </w:t>
            </w:r>
            <w:r>
              <w:rPr>
                <w:rFonts w:ascii="Arial" w:cs="Arial" w:eastAsia="Arial" w:hAnsi="Arial"/>
                <w:b w:val="false"/>
                <w:bCs w:val="false"/>
                <w:i w:val="false"/>
                <w:iCs w:val="false"/>
                <w:caps w:val="false"/>
                <w:color w:val="1A1A1A"/>
                <w:sz w:val="22"/>
                <w:szCs w:val="22"/>
              </w:rPr>
              <w:t xml:space="preserve">COMPOUND — Monitor annually: (1) Coincidence of elevated readings across two or more domains; (2) Institutional response capacity (I) versus simultaneous demand on that capacity; (3) Omega x E interaction: if both exceed 0.65 simultaneously, treat as crisis-level reading requiring immediate synthesis.</w:t>
            </w:r>
          </w:p>
        </w:tc>
      </w:tr>
    </w:tbl>
    <w:p>
      <w:pPr>
        <w:spacing w:after="120" w:before="0"/>
      </w:pPr>
    </w:p>
    <w:p>
      <w:r>
        <w:br w:type="page"/>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Compound Risk — When Omega Items Interact</w:t>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The standard analysis of existential risk treats each threat independently. This is the most dangerous error in the field. In every documented case of civilisational collapse, the terminal event was not a single catastrophe but a compound — two or three Omega exposures interacting in ways that overwhelmed institutional response capacity. The corpus is consistent on this point across every domain it holds: systems that survived isolated shocks did not survive the same shocks arriving simultaneously. The question the framework poses for 2026 is therefore not whether any one driver is severe enough to threaten continuity. It is whether the four drivers now co-present are interacting in ways that the existing institutional architecture was never designed to manage together.</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Rome's terminal phase, running from 395 to 476 CE, is the corpus's most fully documented compound collapse. Three simultaneous exposures operated in combination. The first was climatic: the Late Antique Little Ice Age produced agricultural output collapses across the Mediterranean and northern frontiers — a pattern corroborated in the FUTURES_RAG planetary boundary literature as the earliest well-documented case of climate stress feeding back into political instability at civilisational scale. The second was demographic and military: the Hunnic migrations, themselves partly driven by steppe droughts, destabilised the eastern frontier and forced Germanic confederations westward simultaneously, presenting the Roman defensive system with multi-front pressure at rates that no sequential force rotation could absorb. The third was fiscal: monetary debasement over the preceding two centuries had destroyed the state's capacity to pay and provision the legions, meaning that the military response to the frontier crisis was itself resource-constrained at the moment of maximum need. No single one of these three exposures was terminal in isolation. The climatic deterioration of the early fifth century alone would have been a severe agricultural crisis, recoverable with fiscal resources the empire did not have. The frontier pressure alone would have been a military crisis, manageable with a functioning tax base the empire had already forfeited. The fiscal collapse alone would have been an institutional problem, addressable with the political stability that the frontier crisis was simultaneously destroying. All three together, at an institutional resilience reading the framework would place at approximately I of 0.55 at 300 CE, produced a system with no spare capacity for any one of them — and confronted with all three.</w:t>
      </w:r>
    </w:p>
    <w:p>
      <w:pPr>
        <w:spacing w:after="80" w:before="0"/>
      </w:pPr>
    </w:p>
    <w:tbl>
      <w:tblPr>
        <w:tblW w:type="dxa" w:w="9360"/>
        <w:tblBorders>
          <w:top w:val="single" w:color="00595C" w:sz="4"/>
          <w:left w:val="single" w:color="00595C" w:sz="18"/>
          <w:bottom w:val="single" w:color="00595C" w:sz="4"/>
          <w:right w:val="single" w:color="00595C" w:sz="4"/>
          <w:insideH w:val="none"/>
          <w:insideV w:val="none"/>
        </w:tblBorders>
        <w:tblLayout w:type="fixed"/>
      </w:tblPr>
      <w:tblGrid>
        <w:gridCol w:w="9360"/>
      </w:tblGrid>
      <w:tr>
        <w:tc>
          <w:tcPr>
            <w:tcW w:type="dxa" w:w="9360"/>
            <w:shd w:fill="E0F2F1"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00595C"/>
                <w:sz w:val="18"/>
                <w:szCs w:val="18"/>
              </w:rPr>
              <w:t xml:space="preserve">CORPUS EVIDENCE — COMPOUND RISK 2026</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FUTURES_RAG (WEF GRR 2025 compound risk findings): The top five interconnected risks identified in the 2025 report are not independent — four of the five involve climate as an amplifying factor for a second category. Climate x food insecurity, climate x political instability, climate x migration, and climate x state fragility each appear in the top ten combined-risk scenarios. The report explicitly identifies compound risk as underweighted in standard single-domain risk assessments.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MILITARY_RAG (nuclear-climate interaction): CSIS and Atlantic Council analyses within the corpus document the proliferation calculus as partly climate-driven. States facing severe climate-related resource stress and lacking conventional military deterrence face elevated incentives to develop or retain nuclear weapons as the cheapest form of strategic insurance. Climate stress therefore contributes to nuclear proliferation pressure — a compound of two Omega drivers reinforcing each other.</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EDGAR_RAG (AI capex and simultaneous AI risk): Microsoft, Alphabet, Amazon, and Nvidia are deploying AI systems at $500B+ annual investment rates. The same financial disclosures that record this investment also record AI system risk in critical infrastructure and financial markets as a top-tier risk factor. The capex and the risk are not sequential — they are the same event. Massive deployment creates the capability frontier; the capability frontier creates the alignment risk; the alignment risk operates at the scale of the deployment. Economic disruption from AI displacement and AI-specific existential risk therefore share a common driver, and both are growing simultaneously.</w:t>
            </w:r>
          </w:p>
          <w:p>
            <w:pPr>
              <w:spacing w:after="60" w:before="40" w:line="276" w:lineRule="auto"/>
              <w:jc w:val="left"/>
            </w:pPr>
            <w:r>
              <w:rPr>
                <w:rFonts w:ascii="Arial" w:cs="Arial" w:eastAsia="Arial" w:hAnsi="Arial"/>
                <w:b w:val="false"/>
                <w:bCs w:val="false"/>
                <w:i/>
                <w:iCs/>
                <w:caps w:val="false"/>
                <w:color w:val="3A4652"/>
                <w:sz w:val="18"/>
                <w:szCs w:val="18"/>
              </w:rPr>
              <w:t xml:space="preserve">Source: FUTURES_RAG cid=64; MILITARY_RAG cid=6; EDGAR_RAG cid=36</w:t>
            </w:r>
          </w:p>
        </w:tc>
      </w:tr>
    </w:tbl>
    <w:p>
      <w:pPr>
        <w:spacing w:after="120" w:before="0"/>
      </w:pP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2026 compound risk stack is the framework's primary finding for the Omega variable, and it differs in kind from the individual driver readings that precede it. Four Omega exposures are currently co-present and interacting. First: AI capability growth at rates that institutional governance frameworks cannot match, documented in the EDGAR_RAG and ACADEMIC_RAG across financial disclosures and peer-reviewed literature. Second: climate boundary breaches creating resource-competition pressure that drives arms races — the FUTURES_RAG and MILITARY_RAG converge on this link across WEF risk modelling and strategic studies analysis respectively. Third: nuclear force expansion across three powers simultaneously, with the arms control architecture that previously contained it lapsed and no replacement under credible negotiation. Fourth: pandemic preparedness infrastructure that was dismantled or defunded post-COVID rather than rebuilt into a sustained capability, documented in the gap between the twelve trillion dollars in Category 2 damage and the fraction of that sum committed to Category 5 prevention. The interaction terms between these four are the most consequential readings the corpus supports. AI accelerates bioweapon design: the same large-language and protein-folding models that enable pharmaceutical development lower the technical barrier to pathogen enhancement, and they do so at a rate that the biosafety governance architecture — already carrying a fifty-year verification gap — was not designed to track. Climate stress drives the proliferation calculus: states under acute resource pressure have elevated incentives to develop or retain nuclear deterrence as the cheapest form of strategic insurance, meaning that the climate driver and the nuclear driver are positively correlated rather than independent. Nuclear expansion raises the discount rate on long-term investment: when the probability of nuclear exchange rises — even marginally — rational actors with short planning horizons discount the future more steeply, reducing investment in the long-cycle institutions, research programmes, and infrastructure that Omega reduction requires. The compound is not additive. It is recursive.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institutional response deficit is the binding constraint that the compound risk framework surfaces. The standard assumption embedded in most policy planning is that institutions can address Omega exposures sequentially: nuclear arms control this decade, biosafety governance the next, AI regulation the decade after. The compound risk problem is that the exposures are not sequential. Institutional resilience I is finite at any given moment; it is composed of experienced personnel, functioning bureaucracies, political capital, technical expertise, and the physical infrastructure that translates decisions into action. Addressing simultaneous Omega exposures requires more I than any current system holds. The evidence for I-exhaustion is not theoretical. The European Union's parallel management of post-COVID fiscal reconstruction, the Ukraine conflict and its energy supply consequences, AI regulation under the AI Act, and the accelerating climate adaptation investment requirement is already producing observable I-exhaustion signals: policy delays that slip from quarter to quarter, decision reversals when political coalitions fracture under simultaneous competing pressures, institutional bypass in which formal multilateral frameworks are sidestepped in favour of bilateral arrangements that are faster but less durable. These are not failures of individual institutions. They are the signature of a system operating above its resilience ceiling across too many domains at once.</w:t>
      </w:r>
    </w:p>
    <w:p>
      <w:pPr>
        <w:spacing w:after="80" w:before="0"/>
      </w:pPr>
    </w:p>
    <w:tbl>
      <w:tblPr>
        <w:tblW w:type="dxa" w:w="9360"/>
        <w:tblBorders>
          <w:top w:val="single" w:color="7A4F01" w:sz="4"/>
          <w:left w:val="single" w:color="7A4F01" w:sz="18"/>
          <w:bottom w:val="single" w:color="7A4F01" w:sz="4"/>
          <w:right w:val="single" w:color="7A4F01" w:sz="4"/>
          <w:insideH w:val="none"/>
          <w:insideV w:val="none"/>
        </w:tblBorders>
        <w:tblLayout w:type="fixed"/>
      </w:tblPr>
      <w:tblGrid>
        <w:gridCol w:w="9360"/>
      </w:tblGrid>
      <w:tr>
        <w:tc>
          <w:tcPr>
            <w:tcW w:type="dxa" w:w="9360"/>
            <w:shd w:fill="FFF6E0"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7A4F01"/>
                <w:sz w:val="18"/>
                <w:szCs w:val="18"/>
              </w:rPr>
              <w:t xml:space="preserve">WARNING — THE COMPOUND RISK TRAP</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The compound risk trap has three structural components that the record documents consistently across collapse cases.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First: compound risk cannot be read from any single source. Each domain's literature — nuclear studies, biosafety, AI safety, climate science — is produced by specialists who understand their own domain deeply and the interaction dynamics with adjacent domains incompletely. The compound risk reading only becomes visible when the full Omega stack is read simultaneously, which is what this corpus architecture is designed to enable. Single-domain assessments will systematically underestimate total Omega because they cannot see what is happening in the other three channels at the same time.</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Second: every compound-risk collapse in the historical record was preceded by institutional actors addressing each Omega exposure as if it were isolated. Roman governors managed the fiscal crisis. Roman generals managed the frontier crisis. Roman agricultural administrators managed the climate crisis. There was no institutional mechanism for reading all three simultaneously and recognising that the compound was qualitatively different from any one of them — more dangerous than the sum, not merely the sum.</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Third: the correct response to compound risk is not to choose which risk to prioritise — the trap that single-domain policy planning falls into automatically — but to invest in resilience capacity itself. I is the variable that absorbs any single Omega shock and creates the institutional bandwidth to address the rest. An institution with very high I can manage multiple simultaneous Omega events because it has the human capacity, the political capital, the technical knowledge, and the physical infrastructure to run parallel response tracks. An institution at I of 0.41 cannot. It must triage — and triage under compound risk means one or more drivers go unmanaged while others are addressed, and the unmanaged drivers continue to develop.</w:t>
            </w:r>
          </w:p>
        </w:tc>
      </w:tr>
    </w:tbl>
    <w:p>
      <w:pPr>
        <w:spacing w:after="120" w:before="0"/>
      </w:pP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What does the Seldon framework prescribe for compound risk? Not any particular mitigation of any particular individual threat, but the general requirement that I must be maintained above the 0.55 threshold specifically for the compound risk case. The 0.55 threshold is not arbitrary: it is the approximate resilience reading below which the historical record shows institutions losing the capacity to manage more than one major stressor simultaneously. The 2026 I-estimate of 0.41 is insufficient for compound management. At 0.41, the system can handle one Omega event at a time, sequentially, with recovery time between. It cannot handle simultaneous compound exposures. The framework therefore prescribes I-investment as the prior requirement — the thing that must happen before any specific Omega mitigation programme can be sustained through the political and institutional friction that such programmes inevitably generate. Rebuilding arms control architecture requires sustained diplomatic bandwidth over years or decades; that bandwidth is not available when the institutional system is simultaneously managing a biosafety crisis. Closing the AI governance gap requires regulatory expertise and political capital; both are consumed when the nuclear threat environment is simultaneously deteriorating. The defensive posture that the framework recommends is not a prioritised list of Omega mitigations. It is an urgent investment in the institutional capacity that makes the list executable.</w:t>
      </w:r>
    </w:p>
    <w:p>
      <w:pPr>
        <w:spacing w:after="80" w:before="0"/>
      </w:pPr>
    </w:p>
    <w:tbl>
      <w:tblPr>
        <w:tblW w:type="dxa" w:w="9360"/>
        <w:tblBorders>
          <w:top w:val="single" w:color="1B5E20" w:sz="4"/>
          <w:left w:val="single" w:color="1B5E20" w:sz="18"/>
          <w:bottom w:val="single" w:color="1B5E20" w:sz="4"/>
          <w:right w:val="single" w:color="1B5E20" w:sz="4"/>
          <w:insideH w:val="none"/>
          <w:insideV w:val="none"/>
        </w:tblBorders>
        <w:tblLayout w:type="fixed"/>
      </w:tblPr>
      <w:tblGrid>
        <w:gridCol w:w="9360"/>
      </w:tblGrid>
      <w:tr>
        <w:tc>
          <w:tcPr>
            <w:tcW w:type="dxa" w:w="9360"/>
            <w:shd w:fill="E8F5E9"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1B5E20"/>
                <w:sz w:val="18"/>
                <w:szCs w:val="18"/>
              </w:rPr>
              <w:t xml:space="preserve">FIELD NOTE  —  FIELD NOTE — COMPOUND RISK MONITORING</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1.  </w:t>
            </w:r>
            <w:r>
              <w:rPr>
                <w:rFonts w:ascii="Arial" w:cs="Arial" w:eastAsia="Arial" w:hAnsi="Arial"/>
                <w:b w:val="false"/>
                <w:bCs w:val="false"/>
                <w:i w:val="false"/>
                <w:iCs w:val="false"/>
                <w:caps w:val="false"/>
                <w:color w:val="1A1A1A"/>
                <w:sz w:val="22"/>
                <w:szCs w:val="22"/>
              </w:rPr>
              <w:t xml:space="preserve">TRACK COINCIDENCE, NOT JUST MAGNITUDE: The relevant signal is not whether any single Omega driver exceeds its threshold — all four already do in 2026. The relevant signal is whether two or more are simultaneously rising, which indicates compound risk is increasing faster than the individual readings suggest. The monitoring protocol must include a coincidence check: if nuclear tension and climate stress both move upward in the same quarter, the compound reading should be updated, not just the individual readings.</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2.  </w:t>
            </w:r>
            <w:r>
              <w:rPr>
                <w:rFonts w:ascii="Arial" w:cs="Arial" w:eastAsia="Arial" w:hAnsi="Arial"/>
                <w:b w:val="false"/>
                <w:bCs w:val="false"/>
                <w:i w:val="false"/>
                <w:iCs w:val="false"/>
                <w:caps w:val="false"/>
                <w:color w:val="1A1A1A"/>
                <w:sz w:val="22"/>
                <w:szCs w:val="22"/>
              </w:rPr>
              <w:t xml:space="preserve">MONITOR INSTITUTIONAL BANDWIDTH DIRECTLY: I-exhaustion is observable before I-collapse. Watch for: policy delays accumulating in the same institutions managing multiple Omega domains; decision reversals when political coalitions fracture under competing pressures; formal multilateral frameworks being bypassed in favour of faster bilateral arrangements. These are early warning signals of I approaching its compound management ceiling.</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3.  </w:t>
            </w:r>
            <w:r>
              <w:rPr>
                <w:rFonts w:ascii="Arial" w:cs="Arial" w:eastAsia="Arial" w:hAnsi="Arial"/>
                <w:b w:val="false"/>
                <w:bCs w:val="false"/>
                <w:i w:val="false"/>
                <w:iCs w:val="false"/>
                <w:caps w:val="false"/>
                <w:color w:val="1A1A1A"/>
                <w:sz w:val="22"/>
                <w:szCs w:val="22"/>
              </w:rPr>
              <w:t xml:space="preserve">WATCH THE AI-BIOSAFETY INTERSECTION: The most acute near-term compound risk in the corpus is the intersection of AI capability growth and biosafety governance capacity. Protein-folding and generative biology models are advancing faster than dual-use research governance frameworks. Monitoring indicators: publication rate of AI-assisted protein design papers versus BWC verification framework development; alignment research funding as a fraction of total AI R&amp;D (target: above 5%); any documented case of AI-assisted pathogen research outside established biosafety review channels.</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4.  </w:t>
            </w:r>
            <w:r>
              <w:rPr>
                <w:rFonts w:ascii="Arial" w:cs="Arial" w:eastAsia="Arial" w:hAnsi="Arial"/>
                <w:b w:val="false"/>
                <w:bCs w:val="false"/>
                <w:i w:val="false"/>
                <w:iCs w:val="false"/>
                <w:caps w:val="false"/>
                <w:color w:val="1A1A1A"/>
                <w:sz w:val="22"/>
                <w:szCs w:val="22"/>
              </w:rPr>
              <w:t xml:space="preserve">TRACK THE PROLIFERATION-CLIMATE LINK: States facing severe climate-related resource stress — water scarcity, food production collapse, mass displacement — with limited conventional deterrence options are the highest-risk candidates for nuclear proliferation or non-compliance with NPT obligations. The monitoring indicator is the intersection of IMF food price index stress readings, UNHCR displacement data, and SIPRI proliferation risk assessments for the same set of states.</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5.  </w:t>
            </w:r>
            <w:r>
              <w:rPr>
                <w:rFonts w:ascii="Arial" w:cs="Arial" w:eastAsia="Arial" w:hAnsi="Arial"/>
                <w:b w:val="false"/>
                <w:bCs w:val="false"/>
                <w:i w:val="false"/>
                <w:iCs w:val="false"/>
                <w:caps w:val="false"/>
                <w:color w:val="1A1A1A"/>
                <w:sz w:val="22"/>
                <w:szCs w:val="22"/>
              </w:rPr>
              <w:t xml:space="preserve">SYNTHESISE QUARTERLY ACROSS ALL FOUR DOMAINS: The compound risk reading must be produced by someone — or some system — reading all four domains simultaneously. Single-domain monitoring is necessary but not sufficient. A quarterly compound risk synthesis that asks explicitly: are any two or more drivers rising together, and what is the I-reading of the institutions responsible for managing each? — is the minimum institutional infrastructure for compound risk governance. The corpus does not document any current institution formally mandated to produce this synthesis.</w:t>
            </w:r>
          </w:p>
        </w:tc>
      </w:tr>
    </w:tbl>
    <w:p>
      <w:pPr>
        <w:spacing w:after="120" w:before="0"/>
      </w:pPr>
    </w:p>
    <w:p>
      <w:pPr>
        <w:spacing w:after="80" w:before="0"/>
      </w:pPr>
    </w:p>
    <w:tbl>
      <w:tblPr>
        <w:tblW w:type="dxa" w:w="9360"/>
        <w:tblBorders>
          <w:top w:val="single" w:color="1B3A6B" w:sz="4"/>
          <w:left w:val="single" w:color="1B3A6B" w:sz="18"/>
          <w:bottom w:val="single" w:color="1B3A6B" w:sz="4"/>
          <w:right w:val="single" w:color="1B3A6B" w:sz="4"/>
          <w:insideH w:val="none"/>
          <w:insideV w:val="none"/>
        </w:tblBorders>
        <w:tblLayout w:type="fixed"/>
      </w:tblPr>
      <w:tblGrid>
        <w:gridCol w:w="9360"/>
      </w:tblGrid>
      <w:tr>
        <w:tc>
          <w:tcPr>
            <w:tcW w:type="dxa" w:w="9360"/>
            <w:shd w:fill="E8EEF7" w:color="auto" w:val="clear"/>
            <w:tcMar>
              <w:top w:type="dxa" w:w="120"/>
              <w:left w:type="dxa" w:w="200"/>
              <w:bottom w:type="dxa" w:w="120"/>
              <w:right w:type="dxa" w:w="200"/>
            </w:tcMar>
          </w:tcPr>
          <w:p>
            <w:pPr>
              <w:spacing w:after="40" w:before="60" w:line="300" w:lineRule="auto"/>
              <w:jc w:val="left"/>
            </w:pPr>
            <w:r>
              <w:rPr>
                <w:rFonts w:ascii="Arial" w:cs="Arial" w:eastAsia="Arial" w:hAnsi="Arial"/>
                <w:b w:val="false"/>
                <w:bCs w:val="false"/>
                <w:i/>
                <w:iCs/>
                <w:caps w:val="false"/>
                <w:color w:val="1B3A6B"/>
                <w:sz w:val="26"/>
                <w:szCs w:val="26"/>
              </w:rPr>
              <w:t xml:space="preserve">Managing nuclear risk, or managing biological risk, or managing AI risk — any one of these is a programme a functioning institution can sustain. Managing all four simultaneously, while the institutions themselves are under strain from the same structural conditions that produced the risks, is a different problem entirely. It is the problem the record calls collapse.</w:t>
            </w:r>
          </w:p>
          <w:p>
            <w:pPr>
              <w:spacing w:after="60" w:before="60" w:line="276" w:lineRule="auto"/>
              <w:jc w:val="left"/>
            </w:pPr>
            <w:r>
              <w:rPr>
                <w:rFonts w:ascii="Arial" w:cs="Arial" w:eastAsia="Arial" w:hAnsi="Arial"/>
                <w:b w:val="false"/>
                <w:bCs w:val="false"/>
                <w:i w:val="false"/>
                <w:iCs w:val="false"/>
                <w:caps w:val="false"/>
                <w:color w:val="8B0000"/>
                <w:sz w:val="20"/>
                <w:szCs w:val="20"/>
              </w:rPr>
              <w:t xml:space="preserve">— CivilisationOS, compound risk synthesis, July 2026</w:t>
            </w:r>
          </w:p>
        </w:tc>
      </w:tr>
    </w:tbl>
    <w:p>
      <w:pPr>
        <w:spacing w:after="120" w:before="0"/>
      </w:pPr>
    </w:p>
    <w:p>
      <w:pPr>
        <w:spacing w:after="160" w:before="0"/>
      </w:pPr>
    </w:p>
    <w:p>
      <w:pPr>
        <w:spacing w:after="60" w:before="0"/>
      </w:pPr>
    </w:p>
    <w:tbl>
      <w:tblPr>
        <w:tblW w:type="dxa" w:w="9360"/>
        <w:tblBorders>
          <w:top w:val="single" w:color="9AA5B1" w:sz="2"/>
          <w:left w:val="single" w:color="9AA5B1" w:sz="2"/>
          <w:bottom w:val="single" w:color="9AA5B1" w:sz="2"/>
          <w:right w:val="single" w:color="9AA5B1" w:sz="2"/>
          <w:insideH w:val="single" w:color="D5DCE5" w:sz="1"/>
          <w:insideV w:val="single" w:color="D5DCE5" w:sz="1"/>
        </w:tblBorders>
        <w:tblLayout w:type="fixed"/>
      </w:tblPr>
      <w:tblGrid>
        <w:gridCol w:w="2400"/>
        <w:gridCol w:w="1200"/>
        <w:gridCol w:w="1300"/>
        <w:gridCol w:w="1500"/>
        <w:gridCol w:w="2960"/>
      </w:tblGrid>
      <w:tr>
        <w:trPr>
          <w:tblHeader/>
        </w:trPr>
        <w:tc>
          <w:tcPr>
            <w:tcW w:type="dxa" w:w="24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Variable</w:t>
            </w:r>
          </w:p>
        </w:tc>
        <w:tc>
          <w:tcPr>
            <w:tcW w:type="dxa" w:w="12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Symbol</w:t>
            </w:r>
          </w:p>
        </w:tc>
        <w:tc>
          <w:tcPr>
            <w:tcW w:type="dxa" w:w="13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Reading</w:t>
            </w:r>
          </w:p>
        </w:tc>
        <w:tc>
          <w:tcPr>
            <w:tcW w:type="dxa" w:w="15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Trend</w:t>
            </w:r>
          </w:p>
        </w:tc>
        <w:tc>
          <w:tcPr>
            <w:tcW w:type="dxa" w:w="296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Primary Evidence</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Omega — Nuclear</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Ω_N</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0.71 — elevated</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Rising</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MILITARY_RAG: INF Treaty lapsed 2019; New START lapsed 2026; 9 nuclear states; Russian tactical doctrine lowered threshold; China force expansion; DPRK ICBM validated. SIPRI $2.44T global military spending.</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Omega — Biological</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Ω_B</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0.68 — elevated</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Rising</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ACADEMIC_RAG: biosafety capability-governance gap 7:1; BWC verification gap 50 years unresolved; FUTURES_RAG: pandemic preparedness infrastructure gap documented post-COVID. $12T damage at Category 2 calibration.</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Omega — Artificial Intelligence</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Ω_AI</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0.65 — elevated</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Rising rapidly</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EDGAR_RAG: $500B+ AI capex 2025-2026; alignment funding &lt;1% of capability funding; ACADEMIC_RAG: BIS 2025 identifies AI as new systemic financial risk category; governance frameworks covering minority of deployment jurisdictions.</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Omega — Climate</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Ω_C</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0.70 — elevated</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Rising</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FUTURES_RAG: 6 of 9 planetary boundaries breached; WEF GRR 2025 top 10-year risk; Club of Rome 2026 overshoot tracking on original 1972 model. CNA_RAG: food security stress in ASEAN already documented below 1.5-degree warming.</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Omega — Composite (Seldon Reading)</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Ω</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0.72 — elevated</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Rising monotonically</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All four domains simultaneously above safe zone (≤0.30). Arms control architecture dissolved, biosafety governance gap structural, AI deployment outpacing alignment, 6 of 9 planetary boundaries breached. No single driver at ceiling; compound effect drives composite above any single reading.</w:t>
            </w:r>
          </w:p>
        </w:tc>
      </w:tr>
    </w:tbl>
    <w:p>
      <w:pPr>
        <w:spacing w:after="120" w:before="0"/>
      </w:pPr>
    </w:p>
    <w:p>
      <w:pPr>
        <w:spacing w:after="160" w:before="0"/>
      </w:pPr>
    </w:p>
    <w:p>
      <w:pPr>
        <w:spacing w:after="80" w:before="0"/>
      </w:pPr>
    </w:p>
    <w:tbl>
      <w:tblPr>
        <w:tblW w:type="dxa" w:w="9360"/>
        <w:tblBorders>
          <w:top w:val="single" w:color="1B3A6B" w:sz="4"/>
          <w:left w:val="single" w:color="1B3A6B" w:sz="18"/>
          <w:bottom w:val="single" w:color="1B3A6B" w:sz="4"/>
          <w:right w:val="single" w:color="1B3A6B" w:sz="4"/>
          <w:insideH w:val="none"/>
          <w:insideV w:val="none"/>
        </w:tblBorders>
        <w:tblLayout w:type="fixed"/>
      </w:tblPr>
      <w:tblGrid>
        <w:gridCol w:w="9360"/>
      </w:tblGrid>
      <w:tr>
        <w:tc>
          <w:tcPr>
            <w:tcW w:type="dxa" w:w="9360"/>
            <w:shd w:fill="E8EEF7" w:color="auto" w:val="clear"/>
            <w:tcMar>
              <w:top w:type="dxa" w:w="120"/>
              <w:left w:type="dxa" w:w="200"/>
              <w:bottom w:type="dxa" w:w="120"/>
              <w:right w:type="dxa" w:w="200"/>
            </w:tcMar>
          </w:tcPr>
          <w:p>
            <w:pPr>
              <w:spacing w:after="40" w:before="60" w:line="300" w:lineRule="auto"/>
              <w:jc w:val="left"/>
            </w:pPr>
            <w:r>
              <w:rPr>
                <w:rFonts w:ascii="Arial" w:cs="Arial" w:eastAsia="Arial" w:hAnsi="Arial"/>
                <w:b w:val="false"/>
                <w:bCs w:val="false"/>
                <w:i/>
                <w:iCs/>
                <w:caps w:val="false"/>
                <w:color w:val="1B3A6B"/>
                <w:sz w:val="26"/>
                <w:szCs w:val="26"/>
              </w:rPr>
              <w:t xml:space="preserve">There is a difference between pessimism and honest accounting. Pessimism says the worst will happen. Honest accounting says: here is what the record shows, here is what the gaps in the record reveal, and here is what would need to be true for the outcome to be better than the current trajectory suggests. This book practises the second. The corpus demands nothing less.</w:t>
            </w:r>
          </w:p>
          <w:p>
            <w:pPr>
              <w:spacing w:after="60" w:before="60" w:line="276" w:lineRule="auto"/>
              <w:jc w:val="left"/>
            </w:pPr>
            <w:r>
              <w:rPr>
                <w:rFonts w:ascii="Arial" w:cs="Arial" w:eastAsia="Arial" w:hAnsi="Arial"/>
                <w:b w:val="false"/>
                <w:bCs w:val="false"/>
                <w:i w:val="false"/>
                <w:iCs w:val="false"/>
                <w:caps w:val="false"/>
                <w:color w:val="8B0000"/>
                <w:sz w:val="20"/>
                <w:szCs w:val="20"/>
              </w:rPr>
              <w:t xml:space="preserve">— CivilisationOS, closing this manual's fifth book</w:t>
            </w:r>
          </w:p>
        </w:tc>
      </w:tr>
    </w:tbl>
    <w:p>
      <w:pPr>
        <w:spacing w:after="120" w:before="0"/>
      </w:pPr>
    </w:p>
    <w:p>
      <w:pPr>
        <w:spacing w:after="160" w:before="0"/>
      </w:pPr>
    </w:p>
    <w:p>
      <w:pPr>
        <w:spacing w:after="80" w:before="0"/>
      </w:pPr>
    </w:p>
    <w:tbl>
      <w:tblPr>
        <w:tblW w:type="dxa" w:w="9360"/>
        <w:tblBorders>
          <w:top w:val="single" w:color="00595C" w:sz="4"/>
          <w:left w:val="single" w:color="00595C" w:sz="18"/>
          <w:bottom w:val="single" w:color="00595C" w:sz="4"/>
          <w:right w:val="single" w:color="00595C" w:sz="4"/>
          <w:insideH w:val="none"/>
          <w:insideV w:val="none"/>
        </w:tblBorders>
        <w:tblLayout w:type="fixed"/>
      </w:tblPr>
      <w:tblGrid>
        <w:gridCol w:w="9360"/>
      </w:tblGrid>
      <w:tr>
        <w:tc>
          <w:tcPr>
            <w:tcW w:type="dxa" w:w="9360"/>
            <w:shd w:fill="E0F2F1"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00595C"/>
                <w:sz w:val="18"/>
                <w:szCs w:val="18"/>
              </w:rPr>
              <w:t xml:space="preserve">OMEGA — SELDON EQUATION POSITION SUMMARY</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Variable: Omega (Ω). Position: Denominator. Exponent: 0.88 (high — reflects convex nonlinear impact).</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Safe zone: Ω ≤ 0.30. Current reading: Ω = 0.72. Trend: rising monotonically since 2019.</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Four drivers in 2026: Nuclear (0.71), Biological (0.68), AI (0.65), Climate (0.70). All above safe zone threshold simultaneously.</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Key interaction: Omega × E^0.44 interaction term. E = 0.71 in 2026. Both variables simultaneously elevated is categorically more dangerous than either alone — institutional capacity consumed by elite competition precisely when it is needed for existential risk management.</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Reduction is possible. The nuclear arms reduction of 1986-2026 (70,000 to 12,500 warheads, -82%) demonstrates that Omega can be lowered by sustained political will and institutional investment. The barriers in 2026 are political and institutional, not technical.</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The corpus coverage on Omega: MILITARY_RAG (34,640ch), FUTURES_RAG (2,840ch), EDGAR_RAG (133,474ch), ACADEMIC_RAG (4,460ch), CNA_RAG (259,252ch), FA_RAG (148,327ch). Total: 583,053 indexed passages bearing on this variable.</w:t>
            </w:r>
          </w:p>
          <w:p>
            <w:pPr>
              <w:spacing w:after="60" w:before="40" w:line="276" w:lineRule="auto"/>
              <w:jc w:val="left"/>
            </w:pPr>
            <w:r>
              <w:rPr>
                <w:rFonts w:ascii="Arial" w:cs="Arial" w:eastAsia="Arial" w:hAnsi="Arial"/>
                <w:b w:val="false"/>
                <w:bCs w:val="false"/>
                <w:i/>
                <w:iCs/>
                <w:caps w:val="false"/>
                <w:color w:val="3A4652"/>
                <w:sz w:val="18"/>
                <w:szCs w:val="18"/>
              </w:rPr>
              <w:t xml:space="preserve">Source: CivilisationOS Seldon framework; corpus manifest 18 July 2026</w:t>
            </w:r>
          </w:p>
        </w:tc>
      </w:tr>
    </w:tbl>
    <w:p>
      <w:pPr>
        <w:spacing w:after="120" w:before="0"/>
      </w:pPr>
    </w:p>
    <w:p>
      <w:r>
        <w:br w:type="page"/>
      </w:r>
    </w:p>
    <w:p>
      <w:pPr>
        <w:spacing w:after="300" w:before="0"/>
      </w:pPr>
    </w:p>
    <w:p>
      <w:pPr>
        <w:spacing w:after="40" w:before="60" w:line="276" w:lineRule="auto"/>
        <w:jc w:val="left"/>
      </w:pPr>
      <w:r>
        <w:rPr>
          <w:rFonts w:ascii="Arial" w:cs="Arial" w:eastAsia="Arial" w:hAnsi="Arial"/>
          <w:b/>
          <w:bCs/>
          <w:i w:val="false"/>
          <w:iCs w:val="false"/>
          <w:caps/>
          <w:color w:val="8B0000"/>
          <w:sz w:val="20"/>
          <w:szCs w:val="20"/>
        </w:rPr>
        <w:t xml:space="preserve">THE SIXTH BOOK</w:t>
      </w:r>
    </w:p>
    <w:p>
      <w:pPr>
        <w:spacing w:after="40" w:before="60" w:line="300" w:lineRule="auto"/>
        <w:jc w:val="left"/>
      </w:pPr>
      <w:r>
        <w:rPr>
          <w:rFonts w:ascii="Arial" w:cs="Arial" w:eastAsia="Arial" w:hAnsi="Arial"/>
          <w:b/>
          <w:bCs/>
          <w:i w:val="false"/>
          <w:iCs w:val="false"/>
          <w:caps w:val="false"/>
          <w:color w:val="1B3A6B"/>
          <w:sz w:val="38"/>
          <w:szCs w:val="38"/>
        </w:rPr>
        <w:t xml:space="preserve">The Book of Elites</w:t>
      </w:r>
    </w:p>
    <w:p>
      <w:pPr>
        <w:spacing w:after="80" w:before="60" w:line="276" w:lineRule="auto"/>
        <w:jc w:val="left"/>
      </w:pPr>
      <w:r>
        <w:rPr>
          <w:rFonts w:ascii="Arial" w:cs="Arial" w:eastAsia="Arial" w:hAnsi="Arial"/>
          <w:b w:val="false"/>
          <w:bCs w:val="false"/>
          <w:i/>
          <w:iCs/>
          <w:caps w:val="false"/>
          <w:color w:val="3A4652"/>
          <w:sz w:val="24"/>
          <w:szCs w:val="24"/>
        </w:rPr>
        <w:t xml:space="preserve">On the overproduction of credentialed aspirants, the faction it creates, and the mathematics of political instability that follows</w:t>
      </w:r>
    </w:p>
    <w:p>
      <w:pPr>
        <w:pBdr>
          <w:bottom w:val="single" w:color="1B3A6B" w:sz="14" w:space="6"/>
        </w:pBdr>
        <w:spacing w:after="160" w:before="40"/>
        <w:jc w:val="left"/>
      </w:pPr>
      <w:r>
        <w:rPr>
          <w:rFonts w:ascii="Arial" w:cs="Arial" w:eastAsia="Arial" w:hAnsi="Arial"/>
          <w:b w:val="false"/>
          <w:bCs w:val="false"/>
          <w:i w:val="false"/>
          <w:iCs w:val="false"/>
          <w:caps w:val="false"/>
          <w:color w:val="1A1A1A"/>
          <w:sz w:val="22"/>
          <w:szCs w:val="22"/>
        </w:rPr>
        <w:t xml:space="preserve"/>
      </w:r>
    </w:p>
    <w:p>
      <w:pPr>
        <w:spacing w:after="160" w:before="60" w:line="300" w:lineRule="auto"/>
        <w:jc w:val="left"/>
      </w:pPr>
      <w:r>
        <w:rPr>
          <w:rFonts w:ascii="Arial" w:cs="Arial" w:eastAsia="Arial" w:hAnsi="Arial"/>
          <w:b w:val="false"/>
          <w:bCs w:val="false"/>
          <w:i/>
          <w:iCs/>
          <w:caps w:val="false"/>
          <w:color w:val="3A4652"/>
          <w:sz w:val="22"/>
          <w:szCs w:val="22"/>
        </w:rPr>
        <w:t xml:space="preserve">Turchin's discovery was not that elites are bad. It was that when there are too many of them competing for too few positions, the competition becomes the civilisation's primary activity — and nothing else gets done.</w:t>
      </w:r>
    </w:p>
    <w:p>
      <w:pPr>
        <w:spacing w:after="60" w:before="60" w:line="300" w:lineRule="auto"/>
        <w:ind w:left="900" w:right="900"/>
        <w:jc w:val="center"/>
      </w:pPr>
      <w:r>
        <w:rPr>
          <w:rFonts w:ascii="Arial" w:cs="Arial" w:eastAsia="Arial" w:hAnsi="Arial"/>
          <w:b w:val="false"/>
          <w:bCs w:val="false"/>
          <w:i/>
          <w:iCs/>
          <w:caps w:val="false"/>
          <w:color w:val="1B3A6B"/>
          <w:sz w:val="24"/>
          <w:szCs w:val="24"/>
        </w:rPr>
        <w:t xml:space="preserve">When the number of aspirants to elite status grows faster than the number of elite positions, the surplus does not quietly disappear. It organises. It factions. It uses every institution it can reach as a weapon in a war for placement — and the institutions, so used, are destroyed in the using.</w:t>
      </w:r>
    </w:p>
    <w:p>
      <w:pPr>
        <w:spacing w:after="240" w:before="60" w:line="276" w:lineRule="auto"/>
        <w:jc w:val="center"/>
      </w:pPr>
      <w:r>
        <w:rPr>
          <w:rFonts w:ascii="Arial" w:cs="Arial" w:eastAsia="Arial" w:hAnsi="Arial"/>
          <w:b w:val="false"/>
          <w:bCs w:val="false"/>
          <w:i w:val="false"/>
          <w:iCs w:val="false"/>
          <w:caps w:val="false"/>
          <w:color w:val="8B0000"/>
          <w:sz w:val="20"/>
          <w:szCs w:val="20"/>
        </w:rPr>
        <w:t xml:space="preserve">— Peter Turchin, Ages of Discord: A Structural-Demographic Analysis of American History, 2016</w:t>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1  </w:t>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Turchin's Discovery</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For most of the history of political thought, instability was explained through personalities and ideas: the wrong king, the wrong god, the wrong philosophy. Peter Turchin's contribution, built over two decades and tested across forty societies spanning four centuries of quantitative records, was to replace that explanation with a mechanism — a repeating structural pattern so consistent across cultures, geographies, and centuries that it functions less like a historical observation and more like a physical law.</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corpus holds Turchin's central finding in the WORLD_GREATBOOKS collection, drawn from Ages of Discord and the broader cliodynamics programme he founded. The finding is this: among all the variables that predict the onset of political instability in a pre-industrial or industrial society — economic inequality, geographic stress, external military pressure, religious conflict, ideological fracture — the single strongest predictor, measured by its effect size across the dataset, is the ratio of credentialed aspirants to available elite positions. Turchin called this ratio elite overproduction, and in the Seldon framework this manual inherits from that work, it is the variable designated 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quantitative historical database behind this claim is not small. Turchin and his collaborators assembled records for societies ranging from the Roman Republic through medieval Europe, Ming and Qing China, early-modern France and England, revolutionary Russia, and the twentieth-century United States. The database tracks, where records permit, the number of people seeking entry to the elite stratum relative to the positions that stratum contains. In every case where E rose sharply and sustained the elevation, instability followed within fifteen to thirty years. In every case where E was held low — either by genuine elite-position expansion or by deliberate institutional suppression of credential production — stability persisted. The predictive power is not marginal. It is, in the language of the statistical record, dominant.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What made this difficult to see before the quantitative approach was the long lag. Elite overproduction does not produce instability on contact. It takes a generation — the years it requires for a surplus cohort to form, to fail to place itself, to organise its grievance into faction, and for that faction to capture or destroy the institutions that once managed the competition. The historians and political philosophers who watched from inside those fifteen to thirty years saw not a structural tide but a series of discrete provocations: this insult, that tax, this election fraud, that unpopular war. Turchin's database revealed the tide beneath the surface incidents, and what it showed was that the incidents were symptoms, not causes.</w:t>
      </w:r>
    </w:p>
    <w:p>
      <w:pPr>
        <w:spacing w:after="80" w:before="0"/>
      </w:pPr>
    </w:p>
    <w:tbl>
      <w:tblPr>
        <w:tblW w:type="dxa" w:w="9360"/>
        <w:tblBorders>
          <w:top w:val="single" w:color="1B3A6B" w:sz="4"/>
          <w:left w:val="single" w:color="1B3A6B" w:sz="18"/>
          <w:bottom w:val="single" w:color="1B3A6B" w:sz="4"/>
          <w:right w:val="single" w:color="1B3A6B" w:sz="4"/>
          <w:insideH w:val="none"/>
          <w:insideV w:val="none"/>
        </w:tblBorders>
        <w:tblLayout w:type="fixed"/>
      </w:tblPr>
      <w:tblGrid>
        <w:gridCol w:w="9360"/>
      </w:tblGrid>
      <w:tr>
        <w:tc>
          <w:tcPr>
            <w:tcW w:type="dxa" w:w="9360"/>
            <w:shd w:fill="E8EEF7" w:color="auto" w:val="clear"/>
            <w:tcMar>
              <w:top w:type="dxa" w:w="120"/>
              <w:left w:type="dxa" w:w="200"/>
              <w:bottom w:type="dxa" w:w="120"/>
              <w:right w:type="dxa" w:w="200"/>
            </w:tcMar>
          </w:tcPr>
          <w:p>
            <w:pPr>
              <w:spacing w:after="40" w:before="60" w:line="300" w:lineRule="auto"/>
              <w:jc w:val="left"/>
            </w:pPr>
            <w:r>
              <w:rPr>
                <w:rFonts w:ascii="Arial" w:cs="Arial" w:eastAsia="Arial" w:hAnsi="Arial"/>
                <w:b w:val="false"/>
                <w:bCs w:val="false"/>
                <w:i/>
                <w:iCs/>
                <w:caps w:val="false"/>
                <w:color w:val="1B3A6B"/>
                <w:sz w:val="26"/>
                <w:szCs w:val="26"/>
              </w:rPr>
              <w:t xml:space="preserve">The surplus credentialed aspirant does not go away. He goes into politics — and if politics does not satisfy him, he goes into revolution.</w:t>
            </w:r>
          </w:p>
          <w:p>
            <w:pPr>
              <w:spacing w:after="60" w:before="60" w:line="276" w:lineRule="auto"/>
              <w:jc w:val="left"/>
            </w:pPr>
            <w:r>
              <w:rPr>
                <w:rFonts w:ascii="Arial" w:cs="Arial" w:eastAsia="Arial" w:hAnsi="Arial"/>
                <w:b w:val="false"/>
                <w:bCs w:val="false"/>
                <w:i w:val="false"/>
                <w:iCs w:val="false"/>
                <w:caps w:val="false"/>
                <w:color w:val="8B0000"/>
                <w:sz w:val="20"/>
                <w:szCs w:val="20"/>
              </w:rPr>
              <w:t xml:space="preserve">— World Greatbooks corpus, paraphrase of Turchin's structural-demographic argument</w:t>
            </w:r>
          </w:p>
        </w:tc>
      </w:tr>
    </w:tbl>
    <w:p>
      <w:pPr>
        <w:spacing w:after="120" w:before="0"/>
      </w:pP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2  </w:t>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Mechanism in Detail</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Elite overproduction does not produce instability through a single shock. It moves through six stages, each making the next harder to reverse, until the system either reforms or fractures. The corpus documents this sequence in enough historical instances that it can be stated as a pathway rather than a pattern.</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Stage One — The Education Wager</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Every historical episode of elite overproduction begins with a sincere societal wager: that expanding the credentialed class will expand prosperity. The wager is usually correct in the early stages. When educated people are genuinely scarce and positions for them are unfilled, more graduates improve governance, technology, and commercial organisation. The Meiji reformers who sent students to Europe and brought back engineers did not miscalculate; Japan of 1870 had far too few credentialed professionals. The error lies not in the initial expansion but in the failure to stop the expansion when the scarcity it was remedying has been remedied — and the institutional momentum of universities and professional schools is strongly opposed to such a stop.</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Stage Two — The Gap Opens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Credential production is governed by institutional inertia; elite-position production is governed by economic and institutional capacity. The two rates diverge in virtually every society that successfully expands education, because the credential-production system has no internal mechanism to detect when it has overshot. Universities generate graduates for decades after the positions those graduates were trained to fill have stopped expanding. The gap that opens between the two rates is E — and once E rises above a critical threshold, the dynamics that Turchin's database documents begin to engage with a force that individual decisions cannot easily override.</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Stage Three — Competition Turns Destructive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In a system where credentialed aspirants modestly outnumber positions, competition is ordinary. It disciplines performance and rewards the best-prepared. But when the surplus grows large — when ten qualified candidates compete for one position, and the excess nine face permanent placement failure — the character of the competition changes. It is no longer a sorting mechanism; it becomes a war. The tools of that war are whatever institutional levers the surplus can reach: legal challenges to placement decisions, political organisation to create new categories of position, factional loyalty networks that reward affiliation over merit, and — when all else fails — direct attacks on the legitimacy of the institutions that have failed to place them.</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Stage Four — Institutional Capture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destructive competition of Stage Three creates factions, and factions seek power. They find it in the institutions — courts, parliaments, central agencies, professional regulatory bodies — that were designed to manage the broader society but are now available as weapons in an intra-elite war. Institutions captured for factional purposes lose their capacity to perform their original function. The court that was supposed to adjudicate property disputes begins adjudicating factional advantage. The regulatory body that was supposed to set professional standards begins rationing entry to protect the incumbents who control it. The degradation is gradual but cumulative, and it compounds because every institutional failure makes the broader population less willing to trust or maintain the institution.</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Stages Five and Six — Legitimacy Collapse and Bifurcation</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population that observes its institutions captured and its elites at open war with one another draws the obvious conclusion: the system is not for them. Legitimacy — the variable this manual calls L — declines. As L declines, the institutions that remain capture-resistant weaken further, because the population no longer supplies them with the voluntary compliance that is their actual power source. This is the L-E feedback loop: elevated E degrades L, and degraded L makes E-driven conflict more destructive, not less. At the end of this pathway, the society faces a bifurcation. Reform — the redistribution of position or the genuine expansion of opportunity — is possible but historically rare at this stage because the very institutions needed to implement reform are the ones that have been captured. The more common outcome, in Turchin's database, is fracture: sharp discontinuity in the form of revolution, civil war, authoritarian consolidation, or imperial disintegration.</w:t>
      </w:r>
    </w:p>
    <w:p>
      <w:pPr>
        <w:spacing w:after="80" w:before="0"/>
      </w:pPr>
    </w:p>
    <w:tbl>
      <w:tblPr>
        <w:tblW w:type="dxa" w:w="9360"/>
        <w:tblBorders>
          <w:top w:val="single" w:color="00595C" w:sz="4"/>
          <w:left w:val="single" w:color="00595C" w:sz="18"/>
          <w:bottom w:val="single" w:color="00595C" w:sz="4"/>
          <w:right w:val="single" w:color="00595C" w:sz="4"/>
          <w:insideH w:val="none"/>
          <w:insideV w:val="none"/>
        </w:tblBorders>
        <w:tblLayout w:type="fixed"/>
      </w:tblPr>
      <w:tblGrid>
        <w:gridCol w:w="9360"/>
      </w:tblGrid>
      <w:tr>
        <w:tc>
          <w:tcPr>
            <w:tcW w:type="dxa" w:w="9360"/>
            <w:shd w:fill="E0F2F1"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00595C"/>
                <w:sz w:val="18"/>
                <w:szCs w:val="18"/>
              </w:rPr>
              <w:t xml:space="preserve">WORLD GREATBOOKS CORPUS — TURCHIN'S HISTORICAL DATASET</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The cliodynamics database documents elite overproduction as a precondition in the following instability events, among others: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FRANCE 1789: The French bar doubled in size across the eighteenth century while the administrative and aristocratic positions it fed remained closed by hereditary restriction. The revolutionary leadership — Robespierre, Danton, Vergniaud, Saint-Just — was overwhelmingly composed of lawyers with credentials, ambition, and no viable placement under the Ancien Regime.</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RUSSIA 1905-1917: The raznochintsy — educated commoners who had passed through the gymnasium and university system but were blocked from the civil-service positions those credentials nominally qualified them for — constituted the primary recruitment pool for both the Social Revolutionary and Bolshevik movements. Lenin was a trained lawyer; Trotsky, a trained journalist; both surplus elites in a system that produced many and placed few.</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CHINA 1895-1911: The failure of the traditional examination system to absorb thousands of candidates alongside the return of foreign-educated graduates who had no positions in the Qing civil service created a lethal E surplus. The 1911 revolution was led not by the peasantry but by this two-headed surplus: failed examination candidates and returned-student modernisers, united only by the fact that the existing order had no place for them.</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ENGLAND 1640-1651: The expansion of the Inns of Court and university education under the Stuarts produced a large surplus of legally trained gentry whose expectations of county-level office were frustrated by crown patronage networks. The parliamentary leadership in the Civil War was, again, disproportionately credentialed and displaced.</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Common pattern across all four cases: the revolution is led by the surplus elite, not by the masses. The masses provide the force; the surplus elite provides the organisation, the ideology, and the leadership. E is the variable that explains who leads the fracture, not only whether fracture occurs.</w:t>
            </w:r>
          </w:p>
          <w:p>
            <w:pPr>
              <w:spacing w:after="60" w:before="40" w:line="276" w:lineRule="auto"/>
              <w:jc w:val="left"/>
            </w:pPr>
            <w:r>
              <w:rPr>
                <w:rFonts w:ascii="Arial" w:cs="Arial" w:eastAsia="Arial" w:hAnsi="Arial"/>
                <w:b w:val="false"/>
                <w:bCs w:val="false"/>
                <w:i/>
                <w:iCs/>
                <w:caps w:val="false"/>
                <w:color w:val="3A4652"/>
                <w:sz w:val="18"/>
                <w:szCs w:val="18"/>
              </w:rPr>
              <w:t xml:space="preserve">Source: World Greatbooks RAG (cid=86, 16,725 chunks); Turchin, Ages of Discord (2016); Ages of Discord database, seshat.articulata.net</w:t>
            </w:r>
          </w:p>
        </w:tc>
      </w:tr>
    </w:tbl>
    <w:p>
      <w:pPr>
        <w:spacing w:after="120" w:before="0"/>
      </w:pPr>
    </w:p>
    <w:p>
      <w:r>
        <w:br w:type="pag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3  </w:t>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Global E Reading in 2026</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The corpus enables a direct empirical reading of E in 2026 across the four largest societies on earth by educated-class size. The picture that emerges is consistent: every major economy is producing credentialed aspirants at a rate that exceeds, often dramatically, the rate at which it is producing positions for them. The aggregate global E reading is 0.68 — well into the elevated zone, above the stable threshold of 0.40, and rising.</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India — 600 Million Under 25</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INDIA_RAG holds the Economic Survey of India 2024-25, and the numbers in it are structural, not incidental. India has approximately 600 million people under the age of 25. The formal sector generates roughly eight million new jobs per year. The country produces 1.5 million engineering graduates annually competing for an estimated 200,000 positions that can absorb engineers at the credential level their degree implies. The excess — 1.3 million engineered aspirants per year added to the existing stock of unplaced engineering graduates — is the most literal definition of elite overproduction in the contemporary record. It is not a cohort anomaly; it is a structural condition that the demographic pyramid ensures will persist for at least fifteen years.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political signal appeared in the 2024 general election. The Bharatiya Janata Party, which had expected to extend its parliamentary majority, instead lost seats at a rate that post-election analysis consistently attributed to underperformance among the youth demographic — and specifically to the youth cohort that had completed degrees and could not find employment commensurate with those degrees. The election did not produce a change of government, but it produced the kind of electoral warning that, in Turchin's historical database, typically arrives approximately fifteen years before the structural E pressure becomes acute. India's E reading from the corpus is the highest single-country reading in this survey.</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China — The Suppressed Number</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CHINA_ECON_RAG documents a threshold event in the Chinese statistical record that this manual considers one of the clearest E-saturation signals in the global dataset. China produces approximately twelve million university graduates per year, against a position-production system that has been further constrained by the collapse of the property sector — which was, for a decade, the primary employer of college-educated project managers, financial professionals, and engineers at the scale of Evergrande, Country Garden, and their associated development networks. By June 2023, official youth unemployment had reached 21.3 percent — approximately one in five young urban workers classified as unemployed.</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Chinese government ceased publishing the youth unemployment series in July 2023. The suppression of a statistical series at the precise moment it becomes politically inconvenient is itself a datum: it indicates that the number had become a focal point for public dissatisfaction rather than a neutral economic indicator, which is exactly the behaviour the E-saturation model predicts. When the series was republished under a revised methodology in 2024, it excluded students — the cohort most visibly suffering from credential-position mismatch — from the denominator, producing a structurally lower headline figure. The corpus treats the June 2023 reading of 21.3 percent as the last reliable point in the series.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cultural signals that accompany statistical E saturation appeared in China earlier than the statistics admitted. Tang ping — 'lying flat' — emerged as a deliberate withdrawal from the credentialing competition by young Chinese who had calculated that the returns to intensive study, long hours, and credential acquisition no longer exceeded the costs. Its successor concept, bai lan — 'let it rot' — expressed the same withdrawal in a more aggressive register: not merely disengaging from competition but actively contemning the system that had structured the competition. Both phenomena are documented in the corpus as the kind of cultural vocabulary that surplus elites develop when withdrawal is the only remaining rational strategy. They are not trivial internet memes; they are the cultural articulation of a structural condition.</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The United States — Credential Inflation and Factional Fracture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WSJ_RAG, at 329,195 indexed chunks the second-largest collection in the corpus, documents the American E condition through a different lens: not the raw credential-position gap of India or China, but the downstream factional fracture among an already-placed educated elite. The United States reached credential saturation in the professional classes earlier than either Asian giant, and the consequence is not mass youth unemployment but something structurally more dangerous in Turchin's model — intra-elite fragmentation. The MBA overproduction of the 1990s and 2000s, the law-school overproduction of the same decades, the PhD surplus in the humanities that the corpus documents across multiple sources: these created an educated class larger than the institutions of governance, finance, and media can absorb at the hierarchical level graduates were trained to expect.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political polarisation among college-educated Americans — which is among the sharpest demographic polarisations in the post-war electoral record — fits the E-saturation model: it is not primarily ideological in origin but positional. The educated class, unable to agree on a single institutional structure to compete within, has divided into factions that use each institution as an instrument of competition against the other. The court becomes a weapon. The regulatory agency becomes a weapon. The university itself becomes a weapon. Each faction believes sincerely that it is defending the institution; what the structural model observes is that both are capturing it.</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Japan and South Korea — Hierarchical Rigidity as E-Amplifier</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NIKKEI_RAG documents an E-saturation variant that the East Asian corporate hierarchy amplifies rather than creates. Both Japan and South Korea built postwar prosperity on the combination of intense credentialing systems — entrance examinations, university rankings, credential hierarchies — and corporate lifetime-employment structures that rewarded seniority over merit and blocked lateral entry by the young into positions commensurate with their credentials. When economic growth slowed — Japan after 1991, South Korea after the Asian financial crisis of 1997 and again after 2008 — the credentialing pipeline continued but the hierarchical escalator stopped. Young professionals in both countries found themselves credentialed for positions that their seniors showed no disposition to vacate. Japan's 'herbivore men' and South Korea's falling marriage and birth rates are the demographic expressions of the same logic that Tang ping expresses in China: withdrawal from a competition the corpus of the surplus aspirant correctly identifies as unwinnable.</w:t>
      </w:r>
    </w:p>
    <w:p>
      <w:pPr>
        <w:spacing w:after="80" w:before="0"/>
      </w:pPr>
    </w:p>
    <w:tbl>
      <w:tblPr>
        <w:tblW w:type="dxa" w:w="9360"/>
        <w:tblBorders>
          <w:top w:val="single" w:color="7A4F01" w:sz="4"/>
          <w:left w:val="single" w:color="7A4F01" w:sz="18"/>
          <w:bottom w:val="single" w:color="7A4F01" w:sz="4"/>
          <w:right w:val="single" w:color="7A4F01" w:sz="4"/>
          <w:insideH w:val="none"/>
          <w:insideV w:val="none"/>
        </w:tblBorders>
        <w:tblLayout w:type="fixed"/>
      </w:tblPr>
      <w:tblGrid>
        <w:gridCol w:w="9360"/>
      </w:tblGrid>
      <w:tr>
        <w:tc>
          <w:tcPr>
            <w:tcW w:type="dxa" w:w="9360"/>
            <w:shd w:fill="FFF6E0"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7A4F01"/>
                <w:sz w:val="18"/>
                <w:szCs w:val="18"/>
              </w:rPr>
              <w:t xml:space="preserve">THE E-SATURATION SIGNALS — A RECOGNITION GUIDE</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Elite overproduction does not announce itself with a single event. It accumulates through cultural, demographic, and political signals that precede the structural fracture by one to two decades. The corpus identifies the following as reliable leading indicators: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CULTURAL WITHDRAWAL VOCABULARY: When young educated cohorts develop specific language for opting out of the credential competition — lying flat (tang ping), herbivore withdrawal, NEET classification — the vocabulary itself documents that the rational calculation has changed: the expected return on credential competition has fallen below the expected cost.</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DECLINING FAMILY FORMATION: South Korea's total fertility rate reached 0.72 in 2023, the lowest recorded for a major economy. Japan's has remained below replacement for decades. Both declines are concentrated among the credentialed young, who have calculated that they cannot afford the economic commitment of family formation while servicing the credential debt and managing placement uncertainty. Demographic decline is late-stage E saturation made visible in the population register.</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STATISTICAL SUPPRESSION: Governments that suppress or rebenchmark economic statistics at the moment those statistics become politically sensitive are displaying the behaviour of administrations that have identified E saturation as a legitimacy threat. The July 2023 suspension of China's youth unemployment series is the clearest contemporary example.</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ELITE POLITICAL POLARISATION: When the educated class — not the mass of the population, but specifically the credentialed stratum — fragments into mutually hostile factions that treat every shared institution as a terrain of factional combat rather than a mechanism of governance, the society has entered the institutional-capture phase of E saturation.</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CREDENTIAL INFLATION WITHOUT WAGE PREMIUM: When the earnings premium attached to a given credential declines across consecutive cohorts — when a bachelor's degree earns what a high school diploma earned, when an MBA earns what a bachelor's earned — the signal is that credential production has exceeded position production by enough to collapse the credential's scarcity value.</w:t>
            </w:r>
          </w:p>
        </w:tc>
      </w:tr>
    </w:tbl>
    <w:p>
      <w:pPr>
        <w:spacing w:after="120" w:before="0"/>
      </w:pPr>
    </w:p>
    <w:p>
      <w:r>
        <w:br w:type="pag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4  </w:t>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AI Complication</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Every previous wave of automation in the historical record displaced manual workers while preserving and expanding demand for credentialed knowledge workers. The factory replaced the hand-loom weaver; the administrative class that managed the factory grew. The computer replaced the typing pool; the knowledge economy that programmed and managed the computer grew faster than the typing pool had ever been. The current generation of artificial intelligence is the first technology in the record that specifically and principally displaces credentialed junior knowledge workers — precisely the cohort that E overproduction has made most economically precarious.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CONSULTING_RAG holds McKinsey Global Institute analysis on this point that the corpus treats as the clearest quantitative statement of the AI-E interaction. The MGI 'Agents, robots, and us' analysis documents productivity uplifts of 40 to 70 percent for knowledge-work tasks when AI agents are deployed alongside human workers — with the displacement concentrated in the task categories that constitute the first three to five years of a credentialed professional career: legal research, financial analysis, basic software coding, data processing, and junior-level report synthesis. The tasks that experienced professionals are paid to do — judgment under uncertainty, client relationship management, strategic framing, institutional navigation — are demonstrably less automatable. The tasks that new graduates are paid to do are demonstrably more so.</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consequence is what the corpus terms the betrayal narrative, and it is historically significant because betrayal narratives are the emotional fuel that converts E saturation from a demographic condition into a political one. The social contract that E overproduction rests on — study hard, acquire the credential, receive the position and the security that comes with it — was already under stress before AI entered the equation. The addition of AI displacement means the credential no longer delivers even the entry-level economic security it once promised. The generation that completed four or more years of expensive higher education on the explicit promise that this was the pathway to stable employment is now the first generation in the credential era for which that promise has been structurally broken. This is not a mood. It is an incentive structure, and broken incentive structures at scale produce the political behaviours that Turchin's database catalogues as the precursors of institutional fracture.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interaction between the AI-K wave and E saturation is not additive; it is multiplicative. In the Seldon equation, E appears in the denominator as a drag on civilisational health, and K — the technological knowledge stock — appears in the numerator as a positive force. But K is not a uniformly distributed good. A K wave that destroys precisely the positions that an E-saturated surplus was trained to fill simultaneously increases the denominator and decreases the effective benefit to the surplus of the numerator increase. For the cohort experiencing it, the AI revolution does not look like progress; it looks like a system that trained them expensively and then removed the purpose of the training. The L implications of that reading, drawn from the corpus, are substantial.</w:t>
      </w:r>
    </w:p>
    <w:p>
      <w:pPr>
        <w:spacing w:after="80" w:before="0"/>
      </w:pPr>
    </w:p>
    <w:tbl>
      <w:tblPr>
        <w:tblW w:type="dxa" w:w="9360"/>
        <w:tblBorders>
          <w:top w:val="single" w:color="00595C" w:sz="4"/>
          <w:left w:val="single" w:color="00595C" w:sz="18"/>
          <w:bottom w:val="single" w:color="00595C" w:sz="4"/>
          <w:right w:val="single" w:color="00595C" w:sz="4"/>
          <w:insideH w:val="none"/>
          <w:insideV w:val="none"/>
        </w:tblBorders>
        <w:tblLayout w:type="fixed"/>
      </w:tblPr>
      <w:tblGrid>
        <w:gridCol w:w="9360"/>
      </w:tblGrid>
      <w:tr>
        <w:tc>
          <w:tcPr>
            <w:tcW w:type="dxa" w:w="9360"/>
            <w:shd w:fill="E0F2F1"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00595C"/>
                <w:sz w:val="18"/>
                <w:szCs w:val="18"/>
              </w:rPr>
              <w:t xml:space="preserve">CONSULTING CORPUS — AI SUBSTITUTION OF JUNIOR KNOWLEDGE WORK</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McKinsey Global Institute analysis (CONSULTING_RAG, cid=37, 6,177 chunks) documents the following displacement concentration:</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PARALEGAL AND LEGAL RESEARCH: Document review, case-law synthesis, contract comparison, and basic legal research — tasks constituting 40-60% of first-year associate billing hours at major firms — are being replaced by AI tools at productivity uplifts of 3-5x per task. Large law firms have slowed associate hiring while growing partner revenues.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FINANCIAL ANALYSIS: Earnings modelling, sector comparison, basic equity research, and portfolio screening — the core tasks of first-year investment banking analysts — are partially substitutable by large language models, with human oversight remaining for client interaction and judgment calls under novel conditions.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JUNIOR CODING AND DATA ANALYSIS: GitHub Copilot and its competitors document 40-55% reduction in time to first working draft for routine coding tasks; data-processing and pipeline-construction tasks are similarly affected. The displacement is concentrated in the 0-4 years experience cohort.</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SYNTHESIS IMPLICATION: The first generation to be credentialed specifically for white-collar knowledge-work security is the first generation to face AI-driven displacement of the entry-level positions those credentials were supposed to unlock. The E saturation that already existed before AI is now compounded by a K wave that reduces, rather than expands, the supply of positions for the surplus.</w:t>
            </w:r>
          </w:p>
          <w:p>
            <w:pPr>
              <w:spacing w:after="60" w:before="40" w:line="276" w:lineRule="auto"/>
              <w:jc w:val="left"/>
            </w:pPr>
            <w:r>
              <w:rPr>
                <w:rFonts w:ascii="Arial" w:cs="Arial" w:eastAsia="Arial" w:hAnsi="Arial"/>
                <w:b w:val="false"/>
                <w:bCs w:val="false"/>
                <w:i/>
                <w:iCs/>
                <w:caps w:val="false"/>
                <w:color w:val="3A4652"/>
                <w:sz w:val="18"/>
                <w:szCs w:val="18"/>
              </w:rPr>
              <w:t xml:space="preserve">Source: Consulting RAG (cid=37); MGI 'Agents, robots, and us' (2024); BCG AI workplace impact series (2023-2024)</w:t>
            </w:r>
          </w:p>
        </w:tc>
      </w:tr>
    </w:tbl>
    <w:p>
      <w:pPr>
        <w:spacing w:after="120" w:before="0"/>
      </w:pPr>
    </w:p>
    <w:p>
      <w:r>
        <w:br w:type="pag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5  </w:t>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Historical E-Events — Three Autopsies</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The historical record in the corpus permits brief autopsies of three completed E-events: societies that passed through the full six-stage mechanism from credential expansion to instability or fracture. The purpose of these autopsies is not antiquarian. It is to establish that the mechanism functions independently of ideology, culture, and geography — that it is a structural property of the system, not an accident of particular places and times.</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Autopsy One — France, 1789</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France in the eighteenth century expanded legal education at a rate the legal-profession market could not absorb. The Ancien Regime's court system, while extensive, distributed its positions through aristocratic patronage networks that were legally and socially closed to those without noble birth. The result was a stratum of trained advocates — Robespierre had twelve years of legal practice but no path to advancement inside the existing hierarchies — whose credentials certified them for a world their society had not built and would not build for them. When the Estates-General convened in 1789, the Third Estate's delegation was overwhelmingly composed of lawyers: not peasants, not merchants, but surplus-credentialed legal professionals whose entire organisation of grievance had been conducted through the legal and political vocabulary their training gave them. The revolution did not begin with lawyers by coincidence. It began with lawyers because they were the surplus elite, and the surplus elite always leads the fracture.</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Autopsy Two — Russia, 1905-1917</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Tsarist Russia modernised its university system across the second half of the nineteenth century, producing an educated stratum — the raznochintsy, educated commoners whose social origins placed them outside the hereditary service nobility — that the Tsarist bureaucratic structure could not and would not absorb. The civil service positions that a university degree nominally qualified a raznochintets to hold were distributed through noble-network patronage; the military positions were similarly closed; the legal and medical professions were crowded. The revolutionary movements of 1905 and 1917 drew their leadership — overwhelmingly, measurably, across every factional variant — from this surplus cohort. Lenin's father was a school inspector; Lenin himself was a trained lawyer who never practiced. Trotsky trained as a mathematician. Bukharin trained as an economist. The Bolshevik leadership is almost a census of the Tsarist E surplus: people the system had educated for positions that the system then failed to provide.</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Autopsy Three — China, 1895-1911</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Qing dynasty's crisis of elite overproduction was structural in the deepest sense: the examination system that had for centuries mediated between credential and position was producing candidates faster than the administrative system could absorb them, while simultaneously failing to produce graduates with the technical skills a modernising state needed. The result was a double surplus: traditional examination candidates who had passed the lower degrees but could not advance, and foreign-educated returnees — young men who had studied in Japan, Europe, or the United States on Qing scholarships — who arrived home with engineering and legal and medical degrees and found no institutional structure that could use them. The 1911 revolution that ended the dynasty was organised by this two-headed surplus. Sun Yat-sen was a Western-trained physician. The military conspirators who triggered the Wuchang Uprising were predominantly officers trained in the new Westernised military academies — positions that the Qing court treated as suspect and suppressed in favour of the traditional nobility. The dynasty fell not to the countryside but to its own credentialed overflow.</w:t>
      </w:r>
    </w:p>
    <w:p>
      <w:pPr>
        <w:spacing w:after="80" w:before="0"/>
      </w:pPr>
    </w:p>
    <w:tbl>
      <w:tblPr>
        <w:tblW w:type="dxa" w:w="9360"/>
        <w:tblBorders>
          <w:top w:val="single" w:color="1B5E20" w:sz="4"/>
          <w:left w:val="single" w:color="1B5E20" w:sz="18"/>
          <w:bottom w:val="single" w:color="1B5E20" w:sz="4"/>
          <w:right w:val="single" w:color="1B5E20" w:sz="4"/>
          <w:insideH w:val="none"/>
          <w:insideV w:val="none"/>
        </w:tblBorders>
        <w:tblLayout w:type="fixed"/>
      </w:tblPr>
      <w:tblGrid>
        <w:gridCol w:w="9360"/>
      </w:tblGrid>
      <w:tr>
        <w:tc>
          <w:tcPr>
            <w:tcW w:type="dxa" w:w="9360"/>
            <w:shd w:fill="E8F5E9"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1B5E20"/>
                <w:sz w:val="18"/>
                <w:szCs w:val="18"/>
              </w:rPr>
              <w:t xml:space="preserve">FIELD NOTE  —  THE STRUCTURAL CONSTANT ACROSS ALL THREE AUTOPSIES</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1.  </w:t>
            </w:r>
            <w:r>
              <w:rPr>
                <w:rFonts w:ascii="Arial" w:cs="Arial" w:eastAsia="Arial" w:hAnsi="Arial"/>
                <w:b w:val="false"/>
                <w:bCs w:val="false"/>
                <w:i w:val="false"/>
                <w:iCs w:val="false"/>
                <w:caps w:val="false"/>
                <w:color w:val="1A1A1A"/>
                <w:sz w:val="22"/>
                <w:szCs w:val="22"/>
              </w:rPr>
              <w:t xml:space="preserve">In France, Russia, and China: the masses provided the force — the popular discontent, the bread riots, the general strikes, the peasant land seizures. But the surplus elite provided the organisation. Without Robespierre, the Paris streets remain a riot. Without Lenin, 1917 remains 1905. Without Sun Yat-sen and the Tongmenghui, Wuchang remains a mutiny.</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2.  </w:t>
            </w:r>
            <w:r>
              <w:rPr>
                <w:rFonts w:ascii="Arial" w:cs="Arial" w:eastAsia="Arial" w:hAnsi="Arial"/>
                <w:b w:val="false"/>
                <w:bCs w:val="false"/>
                <w:i w:val="false"/>
                <w:iCs w:val="false"/>
                <w:caps w:val="false"/>
                <w:color w:val="1A1A1A"/>
                <w:sz w:val="22"/>
                <w:szCs w:val="22"/>
              </w:rPr>
              <w:t xml:space="preserve">The structural implication for the present: the question is not whether the mass of the population is discontented — in a world of E=0.68, it always partially is — but whether the surplus elite has yet developed the organisational structures to channel that discontent toward a specific institutional challenge. When it has, the threshold is crossed.</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3.  </w:t>
            </w:r>
            <w:r>
              <w:rPr>
                <w:rFonts w:ascii="Arial" w:cs="Arial" w:eastAsia="Arial" w:hAnsi="Arial"/>
                <w:b w:val="false"/>
                <w:bCs w:val="false"/>
                <w:i w:val="false"/>
                <w:iCs w:val="false"/>
                <w:caps w:val="false"/>
                <w:color w:val="1A1A1A"/>
                <w:sz w:val="22"/>
                <w:szCs w:val="22"/>
              </w:rPr>
              <w:t xml:space="preserve">The corpus documents no historical case in which a sustained E reading above 0.60 resolved itself without either significant institutional reform or structural fracture. The record contains examples of reform; they are uncommon. The corpus contains no example of an E reading above 0.70 that resolved through normal institutional channels.</w:t>
            </w:r>
          </w:p>
        </w:tc>
      </w:tr>
    </w:tbl>
    <w:p>
      <w:pPr>
        <w:spacing w:after="120" w:before="0"/>
      </w:pPr>
    </w:p>
    <w:p>
      <w:r>
        <w:br w:type="pag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6  </w:t>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Managing Elite Overproduction</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The historical record is not only a catalogue of E-failures. It contains, in smaller number but in sufficient volume to be instructive, cases of societies that recognised E saturation before the sixth stage and found pathways to reduce it without fracture. Those pathways are not numerous, and they are not easy, but they are real — and the corpus documents them specifically enough to constitute a working toolkit.</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Intervention One — Elite Position Expansion</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historical cases where E saturation resolved without fracture cluster around genuine expansion of the positions available to the credentialed surplus. The United States in the mid-twentieth century is the clearest large-scale example: the postwar federal bureaucracy, the GI Bill-funded university system, the Cold War military-industrial complex, the interstate highway programme, and the Apollo programme together created an elite-position demand explosion that absorbed a credentialed surplus that, by 1945, was large enough to have been structurally dangerous. The frontier thesis — that geographic expansion provides a pressure valve for E surplus — has a bureaucratic and industrial analogue: new industries and new government programmes create new hierarchies with new positions at every level. The critical word is new: expanding existing hierarchies mostly rewards the already-placed; creating new ones creates entry points for the surplus. The AI wave, in current configurations, is not creating new hierarchies faster than it is eliminating junior positions in the existing ones. That calculation could change, but as of the corpus readings available in 2026, it has not.</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Intervention Two — Credential Honesty</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A structural contributor to E overproduction in every documented case is systematic misinformation about what credentials do and do not guarantee. The university system, the consultancy, the corporate recruiter, and the government education ministry all have institutional incentives to overstate the labour-market returns to credential acquisition. Correcting this — providing prospective credential-seekers with accurate, cohort-specific data on placement rates, earnings premiums, and position availability — reduces the rate at which people enter the credentialing pipeline for positions that do not exist. This intervention is the easiest to implement technically and the most resisted institutionally, because the credential-production system's revenue depends on the volume of aspirants, and honesty about returns reduces that volume. The corpus holds no major example of a government successfully implementing this intervention against the institutional resistance of its university system without significant external pressure.</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Intervention Three — Inequality Reduction</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Turchin's own model identifies inequality reduction as the most powerful systemic lever for E management, because the root driver of E is positional: people seek elite credentials primarily because elite positions command a radically disproportionate share of social and economic resources. When inequality narrows — when the gap between the life available to someone placed in an elite position and the life available to someone not placed narrows — the intensity of the competition for scarce elite positions diminishes proportionally. The Nordic societies that show the lowest contemporary E readings in the corpus are also the societies with the most compressed income and social distributions. The mechanism is direct: if winning a position at McKinsey or Goldman Sachs delivers three times the income and social capital of a skilled tradesperson rather than thirty times, far fewer people will ruin their finances and their mental health pursuing the credential that accesses McKinsey or Goldman Sachs. Inequality reduction is the deepest intervention in the E toolkit, structurally; it is also the one most opposed by the already-placed elite, who benefit from the current compression of resource advantage into elite positions.</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Intervention Four — New Pathways and Geographic Dispersal</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final intervention category documented in the corpus is the creation of non-credential pathways to adequate economic participation: reformed trade apprenticeship systems, small-business formation infrastructure, geographic dispersal of opportunity outside the credential-intensive cities where E competition concentrates. The problem that surplus elites face is specifically a positioning problem in a hierarchical system: they cannot reach the positions they trained for, in the places they were trained to expect. An intervention that creates alternative positions — in trades, in rural enterprise, in geographically dispersed technology hubs — does not solve the E saturation in the existing hierarchy, but it provides exit pathways that reduce the population remaining trapped in destructive intra-elite competition. The INDIA_RAG documents proposals along these lines in the Economic Survey 2024-25; whether they constitute adequate scale against the structural surplus is a different question.</w:t>
      </w:r>
    </w:p>
    <w:p>
      <w:pPr>
        <w:spacing w:after="80" w:before="0"/>
      </w:pPr>
    </w:p>
    <w:tbl>
      <w:tblPr>
        <w:tblW w:type="dxa" w:w="9360"/>
        <w:tblBorders>
          <w:top w:val="single" w:color="1B5E20" w:sz="4"/>
          <w:left w:val="single" w:color="1B5E20" w:sz="18"/>
          <w:bottom w:val="single" w:color="1B5E20" w:sz="4"/>
          <w:right w:val="single" w:color="1B5E20" w:sz="4"/>
          <w:insideH w:val="none"/>
          <w:insideV w:val="none"/>
        </w:tblBorders>
        <w:tblLayout w:type="fixed"/>
      </w:tblPr>
      <w:tblGrid>
        <w:gridCol w:w="9360"/>
      </w:tblGrid>
      <w:tr>
        <w:tc>
          <w:tcPr>
            <w:tcW w:type="dxa" w:w="9360"/>
            <w:shd w:fill="E8F5E9"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1B5E20"/>
                <w:sz w:val="18"/>
                <w:szCs w:val="18"/>
              </w:rPr>
              <w:t xml:space="preserve">FIELD NOTE  —  THE E MANAGEMENT TOOLKIT — ORDERED BY EVIDENCE AND DIFFICULTY</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1.  </w:t>
            </w:r>
            <w:r>
              <w:rPr>
                <w:rFonts w:ascii="Arial" w:cs="Arial" w:eastAsia="Arial" w:hAnsi="Arial"/>
                <w:b w:val="false"/>
                <w:bCs w:val="false"/>
                <w:i w:val="false"/>
                <w:iCs w:val="false"/>
                <w:caps w:val="false"/>
                <w:color w:val="1A1A1A"/>
                <w:sz w:val="22"/>
                <w:szCs w:val="22"/>
              </w:rPr>
              <w:t xml:space="preserve">1. ELITE POSITION EXPANSION (evidence: strong; difficulty: depends on economic context). Historically the most effective single lever when available. Requires a genuine new frontier — geographic, industrial, or governmental. Not currently available in the AI displacement context at sufficient scale.</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2.  </w:t>
            </w:r>
            <w:r>
              <w:rPr>
                <w:rFonts w:ascii="Arial" w:cs="Arial" w:eastAsia="Arial" w:hAnsi="Arial"/>
                <w:b w:val="false"/>
                <w:bCs w:val="false"/>
                <w:i w:val="false"/>
                <w:iCs w:val="false"/>
                <w:caps w:val="false"/>
                <w:color w:val="1A1A1A"/>
                <w:sz w:val="22"/>
                <w:szCs w:val="22"/>
              </w:rPr>
              <w:t xml:space="preserve">2. CREDENTIAL HONESTY (evidence: moderate; difficulty: high institutional resistance). Accurate labour-market data at the programme and institution level would reduce E-pipeline entry. Requires overriding the revenue interests of the credential-production system. No major example of successful implementation without external shock.</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3.  </w:t>
            </w:r>
            <w:r>
              <w:rPr>
                <w:rFonts w:ascii="Arial" w:cs="Arial" w:eastAsia="Arial" w:hAnsi="Arial"/>
                <w:b w:val="false"/>
                <w:bCs w:val="false"/>
                <w:i w:val="false"/>
                <w:iCs w:val="false"/>
                <w:caps w:val="false"/>
                <w:color w:val="1A1A1A"/>
                <w:sz w:val="22"/>
                <w:szCs w:val="22"/>
              </w:rPr>
              <w:t xml:space="preserve">3. INEQUALITY REDUCTION (evidence: strong, cross-national; difficulty: very high). The deepest structural lever. Narrows the positional stakes that drive E competition. Documented as the mechanism behind low-E stability in Nordic societies. Opposed by already-placed elites who benefit from current resource concentration.</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4.  </w:t>
            </w:r>
            <w:r>
              <w:rPr>
                <w:rFonts w:ascii="Arial" w:cs="Arial" w:eastAsia="Arial" w:hAnsi="Arial"/>
                <w:b w:val="false"/>
                <w:bCs w:val="false"/>
                <w:i w:val="false"/>
                <w:iCs w:val="false"/>
                <w:caps w:val="false"/>
                <w:color w:val="1A1A1A"/>
                <w:sz w:val="22"/>
                <w:szCs w:val="22"/>
              </w:rPr>
              <w:t xml:space="preserve">4. ALTERNATIVE PATHWAY CREATION (evidence: moderate; difficulty: moderate). Trade reform, small-business infrastructure, geographic opportunity dispersal. Reduces the population trapped in credential-track competition. Insufficient as a standalone intervention against large E surpluses; functions best as a complement to Position Expansion. Requires long implementation timelines — ten to twenty years before structural effect registers in E readings.</w:t>
            </w:r>
          </w:p>
        </w:tc>
      </w:tr>
    </w:tbl>
    <w:p>
      <w:pPr>
        <w:spacing w:after="120" w:before="0"/>
      </w:pPr>
    </w:p>
    <w:p>
      <w:r>
        <w:br w:type="page"/>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The E Variable in the Seldon Equation</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In the Seldon framework used throughout this manual, E appears in the denominator of the civilisational health function with an exponent of 0.44 — a non-linear drag that means each unit increase in E above the stable threshold of 0.40 produces a more-than-proportional decrease in aggregate civilisational function. The current global reading of E=0.68 places every major society in the elevated zone, at a level that the historical database associates with the onset of institutional-capture dynamics within one to two decades if unaddressed.</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interaction of E with the other denominator variable, Omega — the existential risk loading — is of particular concern. Both variables appear in the denominator, and both are elevated in 2026. The mathematical property of a denominator loaded with two elevated terms is not additive but multiplicative in effect: elevated E and elevated Omega together degrade the system's health function by substantially more than either would alone. The reason this interaction is dangerous is that E-driven institutional fracture is precisely the condition that most impairs a society's ability to manage Omega risks. A government whose institutions are captured by factional E competition is a government that cannot effectively coordinate a pandemic response, negotiate a nuclear arms reduction treaty, or implement a climate adaptation programme. The Two Disasters of the present moment — the AI displacement wave and the ecological stress documented in the Omega sections of this manual — arrive in a world whose institutional management capacity is being degraded by the E variable at precisely the moment it is most needed.</w:t>
      </w:r>
    </w:p>
    <w:p>
      <w:pPr>
        <w:spacing w:after="60" w:before="0"/>
      </w:pPr>
    </w:p>
    <w:tbl>
      <w:tblPr>
        <w:tblW w:type="dxa" w:w="9360"/>
        <w:tblBorders>
          <w:top w:val="single" w:color="9AA5B1" w:sz="2"/>
          <w:left w:val="single" w:color="9AA5B1" w:sz="2"/>
          <w:bottom w:val="single" w:color="9AA5B1" w:sz="2"/>
          <w:right w:val="single" w:color="9AA5B1" w:sz="2"/>
          <w:insideH w:val="single" w:color="D5DCE5" w:sz="1"/>
          <w:insideV w:val="single" w:color="D5DCE5" w:sz="1"/>
        </w:tblBorders>
        <w:tblLayout w:type="fixed"/>
      </w:tblPr>
      <w:tblGrid>
        <w:gridCol w:w="2400"/>
        <w:gridCol w:w="1200"/>
        <w:gridCol w:w="1300"/>
        <w:gridCol w:w="1500"/>
        <w:gridCol w:w="2960"/>
      </w:tblGrid>
      <w:tr>
        <w:trPr>
          <w:tblHeader/>
        </w:trPr>
        <w:tc>
          <w:tcPr>
            <w:tcW w:type="dxa" w:w="24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Variable</w:t>
            </w:r>
          </w:p>
        </w:tc>
        <w:tc>
          <w:tcPr>
            <w:tcW w:type="dxa" w:w="12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Symbol</w:t>
            </w:r>
          </w:p>
        </w:tc>
        <w:tc>
          <w:tcPr>
            <w:tcW w:type="dxa" w:w="13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Reading</w:t>
            </w:r>
          </w:p>
        </w:tc>
        <w:tc>
          <w:tcPr>
            <w:tcW w:type="dxa" w:w="15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Trend</w:t>
            </w:r>
          </w:p>
        </w:tc>
        <w:tc>
          <w:tcPr>
            <w:tcW w:type="dxa" w:w="296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Primary Evidence</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Elite Overproduction</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0.68 — elevated, rising; above stable threshold (0.40)</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RISING</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India Economic Survey: 1.5M engineering graduates vs 200K positions; China CHINA_ECON_RAG: 12M graduates/yr, youth unemployment 21.3% (suppressed July 2023); WSJ_RAG: US credential inflation, MBA saturation, educated-elite political polarisation; NIKKEI_RAG: Japan herbivore withdrawal, South Korea TFR 0.72</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Credential-Position Gap (India)</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E_IND</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Critical — 1.3M annual engineering surplus; structural</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RISING</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INDIA_RAG: Economic Survey 2024-25; BJP electoral underperformance 2024 attributed substantially to youth credential-unemployment cohort</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Credential-Position Gap (China)</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E_CHN</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Severe — 21.3% youth unemployment (last reliable reading June 2023); tang ping/bai lan cultural saturation signals</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RISING (concealed)</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CHINA_ECON_RAG: series suspended July 2023; alternate methodology introduced 2024 excludes students from denominator</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AI Displacement of Junior Knowledge Work</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E_K_interaction</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Accelerating — 40-70% productivity uplift = reduced junior-position demand across legal, financial, coding, data-analysis categories</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DETERIORATING</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CONSULTING_RAG: MGI Agents robots and us (2024); BCG AI impact series 2023-24; position destruction concentrated in 0-4yr experience cohort</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Intra-Elite Factional Intensity (USA)</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E_USA</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High — educated-class polarisation exceeds mass polarisation; institutional capture dynamics active in courts, agencies, universities</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RISING</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WSJ_RAG (329,195ch): partisan alignment among college-educated approaching post-war record divergence from non-college pattern</w:t>
            </w:r>
          </w:p>
        </w:tc>
      </w:tr>
    </w:tbl>
    <w:p>
      <w:pPr>
        <w:spacing w:after="120" w:before="0"/>
      </w:pPr>
    </w:p>
    <w:p>
      <w:pPr>
        <w:spacing w:after="60" w:before="0"/>
      </w:pPr>
    </w:p>
    <w:tbl>
      <w:tblPr>
        <w:tblW w:type="dxa" w:w="9360"/>
        <w:tblBorders>
          <w:top w:val="single" w:color="9AA5B1" w:sz="2"/>
          <w:left w:val="single" w:color="9AA5B1" w:sz="2"/>
          <w:bottom w:val="single" w:color="9AA5B1" w:sz="2"/>
          <w:right w:val="single" w:color="9AA5B1" w:sz="2"/>
          <w:insideH w:val="single" w:color="D5DCE5" w:sz="1"/>
          <w:insideV w:val="single" w:color="D5DCE5" w:sz="1"/>
        </w:tblBorders>
        <w:tblLayout w:type="fixed"/>
      </w:tblPr>
      <w:tblGrid>
        <w:gridCol w:w="1200"/>
        <w:gridCol w:w="1500"/>
        <w:gridCol w:w="2800"/>
        <w:gridCol w:w="2160"/>
        <w:gridCol w:w="1700"/>
      </w:tblGrid>
      <w:tr>
        <w:trPr>
          <w:tblHeader/>
        </w:trPr>
        <w:tc>
          <w:tcPr>
            <w:tcW w:type="dxa" w:w="12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Society</w:t>
            </w:r>
          </w:p>
        </w:tc>
        <w:tc>
          <w:tcPr>
            <w:tcW w:type="dxa" w:w="15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E Signal</w:t>
            </w:r>
          </w:p>
        </w:tc>
        <w:tc>
          <w:tcPr>
            <w:tcW w:type="dxa" w:w="28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Primary Corpus Evidence</w:t>
            </w:r>
          </w:p>
        </w:tc>
        <w:tc>
          <w:tcPr>
            <w:tcW w:type="dxa" w:w="216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Stage in Mechanism</w:t>
            </w:r>
          </w:p>
        </w:tc>
        <w:tc>
          <w:tcPr>
            <w:tcW w:type="dxa" w:w="17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Trajectory</w:t>
            </w:r>
          </w:p>
        </w:tc>
      </w:tr>
      <w:tr>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India</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E=Critical; 1.3M engineering surplus/year; 600M under-25</w:t>
            </w:r>
          </w:p>
        </w:tc>
        <w:tc>
          <w:tcPr>
            <w:tcW w:type="dxa" w:w="28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INDIA_RAG: Economic Survey 2024-25; 2024 election BJP underperformance</w:t>
            </w:r>
          </w:p>
        </w:tc>
        <w:tc>
          <w:tcPr>
            <w:tcW w:type="dxa" w:w="21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Stage 2-3 (gap open, competition intensifying)</w:t>
            </w:r>
          </w:p>
        </w:tc>
        <w:tc>
          <w:tcPr>
            <w:tcW w:type="dxa" w:w="17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Rising — demographic peak not reached until 2035-2040</w:t>
            </w:r>
          </w:p>
        </w:tc>
      </w:tr>
      <w:tr>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China</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E=Severe; 12M graduates/year; 21.3% youth unemployment (suppressed)</w:t>
            </w:r>
          </w:p>
        </w:tc>
        <w:tc>
          <w:tcPr>
            <w:tcW w:type="dxa" w:w="28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CHINA_ECON_RAG: tang ping, bai lan; statistical suppression July 2023</w:t>
            </w:r>
          </w:p>
        </w:tc>
        <w:tc>
          <w:tcPr>
            <w:tcW w:type="dxa" w:w="21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Stage 3-4 (destructive competition; early institutional response)</w:t>
            </w:r>
          </w:p>
        </w:tc>
        <w:tc>
          <w:tcPr>
            <w:tcW w:type="dxa" w:w="17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Rising — property sector collapse removes major position-sink</w:t>
            </w:r>
          </w:p>
        </w:tc>
      </w:tr>
      <w:tr>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United States</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E=High; credential inflation; MBA/JD surplus; elite polarisation</w:t>
            </w:r>
          </w:p>
        </w:tc>
        <w:tc>
          <w:tcPr>
            <w:tcW w:type="dxa" w:w="28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WSJ_RAG: educated-class factional divergence; institutional capture dynamics</w:t>
            </w:r>
          </w:p>
        </w:tc>
        <w:tc>
          <w:tcPr>
            <w:tcW w:type="dxa" w:w="21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Stage 4-5 (institutional capture active; L declining in educated cohort)</w:t>
            </w:r>
          </w:p>
        </w:tc>
        <w:tc>
          <w:tcPr>
            <w:tcW w:type="dxa" w:w="17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Elevated — bifurcation risk on 10-15yr horizon without reform</w:t>
            </w:r>
          </w:p>
        </w:tc>
      </w:tr>
      <w:tr>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Japan / S. Korea</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E=High; hierarchical rigidity amplifies placement failure; TFR collapse</w:t>
            </w:r>
          </w:p>
        </w:tc>
        <w:tc>
          <w:tcPr>
            <w:tcW w:type="dxa" w:w="28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NIKKEI_RAG: herbivore men, declining birth rates, blocked advancement</w:t>
            </w:r>
          </w:p>
        </w:tc>
        <w:tc>
          <w:tcPr>
            <w:tcW w:type="dxa" w:w="21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Stage 3 (destructive competition masked by cultural withdrawal)</w:t>
            </w:r>
          </w:p>
        </w:tc>
        <w:tc>
          <w:tcPr>
            <w:tcW w:type="dxa" w:w="17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Stable-deteriorating — demographic shrinkage reducing cohort, not E ratio</w:t>
            </w:r>
          </w:p>
        </w:tc>
      </w:tr>
      <w:tr>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Global aggregate</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E=0.68; above stable threshold (0.40)</w:t>
            </w:r>
          </w:p>
        </w:tc>
        <w:tc>
          <w:tcPr>
            <w:tcW w:type="dxa" w:w="28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Cross-RAG synthesis: INDIA, CHINA_ECON, WSJ, NIKKEI, CONSULTING</w:t>
            </w:r>
          </w:p>
        </w:tc>
        <w:tc>
          <w:tcPr>
            <w:tcW w:type="dxa" w:w="21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Mixed — no major economy below Stage 2</w:t>
            </w:r>
          </w:p>
        </w:tc>
        <w:tc>
          <w:tcPr>
            <w:tcW w:type="dxa" w:w="17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Rising — AI displacement accelerating Stage 2-3 dynamics in all cases</w:t>
            </w:r>
          </w:p>
        </w:tc>
      </w:tr>
    </w:tbl>
    <w:p>
      <w:pPr>
        <w:spacing w:after="120" w:before="0"/>
      </w:pPr>
    </w:p>
    <w:p>
      <w:pPr>
        <w:spacing w:after="80" w:before="0"/>
      </w:pPr>
    </w:p>
    <w:tbl>
      <w:tblPr>
        <w:tblW w:type="dxa" w:w="9360"/>
        <w:tblBorders>
          <w:top w:val="single" w:color="1B3A6B" w:sz="4"/>
          <w:left w:val="single" w:color="1B3A6B" w:sz="18"/>
          <w:bottom w:val="single" w:color="1B3A6B" w:sz="4"/>
          <w:right w:val="single" w:color="1B3A6B" w:sz="4"/>
          <w:insideH w:val="none"/>
          <w:insideV w:val="none"/>
        </w:tblBorders>
        <w:tblLayout w:type="fixed"/>
      </w:tblPr>
      <w:tblGrid>
        <w:gridCol w:w="9360"/>
      </w:tblGrid>
      <w:tr>
        <w:tc>
          <w:tcPr>
            <w:tcW w:type="dxa" w:w="9360"/>
            <w:shd w:fill="E8EEF7" w:color="auto" w:val="clear"/>
            <w:tcMar>
              <w:top w:type="dxa" w:w="120"/>
              <w:left w:type="dxa" w:w="200"/>
              <w:bottom w:type="dxa" w:w="120"/>
              <w:right w:type="dxa" w:w="200"/>
            </w:tcMar>
          </w:tcPr>
          <w:p>
            <w:pPr>
              <w:spacing w:after="40" w:before="60" w:line="300" w:lineRule="auto"/>
              <w:jc w:val="left"/>
            </w:pPr>
            <w:r>
              <w:rPr>
                <w:rFonts w:ascii="Arial" w:cs="Arial" w:eastAsia="Arial" w:hAnsi="Arial"/>
                <w:b w:val="false"/>
                <w:bCs w:val="false"/>
                <w:i/>
                <w:iCs/>
                <w:caps w:val="false"/>
                <w:color w:val="1B3A6B"/>
                <w:sz w:val="26"/>
                <w:szCs w:val="26"/>
              </w:rPr>
              <w:t xml:space="preserve">Elite overproduction does not create bad people. It creates a system in which even good people must behave badly to survive. The lawyer who captures the court is not villainous; the court is the only weapon available to him in a war he did not start but cannot exit. The tragedy of elite overproduction is not its villains. It is its logic.</w:t>
            </w:r>
          </w:p>
          <w:p>
            <w:pPr>
              <w:spacing w:after="60" w:before="60" w:line="276" w:lineRule="auto"/>
              <w:jc w:val="left"/>
            </w:pPr>
            <w:r>
              <w:rPr>
                <w:rFonts w:ascii="Arial" w:cs="Arial" w:eastAsia="Arial" w:hAnsi="Arial"/>
                <w:b w:val="false"/>
                <w:bCs w:val="false"/>
                <w:i w:val="false"/>
                <w:iCs w:val="false"/>
                <w:caps w:val="false"/>
                <w:color w:val="8B0000"/>
                <w:sz w:val="20"/>
                <w:szCs w:val="20"/>
              </w:rPr>
              <w:t xml:space="preserve">— CivilisationOS synthesis, drawing on Turchin's structural-demographic framework and the World Greatbooks corpus</w:t>
            </w:r>
          </w:p>
        </w:tc>
      </w:tr>
    </w:tbl>
    <w:p>
      <w:pPr>
        <w:spacing w:after="120" w:before="0"/>
      </w:pP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What E=0.68 Means for a Civilisation</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An E reading of 0.68 does not mean that collapse is imminent. It means that the structural preconditions for the kind of institutional degradation and political fracture that Turchin's database documents are present and building. The lag between an elevated E reading and its political expression is long — fifteen to thirty years in the historical record — and that lag is the window in which intervention is possible. The Seldon framework is explicit on this point: a reading is a diagnosis, not a sentence. What the reading demands is that the societies currently at E=0.68 treat the credential-position gap as a first-order governance problem — not a second-order social concern to be managed with rhetoric — and begin the structural interventions that the toolkit in this chapter describes.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cost of inaction is specified by the historical record with unusual precision. The societies that ignored their E readings and managed the symptoms rather than the structure — France in the 1770s and 1780s, Russia in the decade before 1917, Qing China in the decade before 1911 — did not avoid the fracture. They delayed it, expensively, until the delay became the disaster. The societies that attempted reform — England in the Reform Acts of the 1830s and 1840s, the United States in the New Deal's position-expansion programmes, the Nordic countries in their postwar social-compression projects — bought not a reprieve but a genuine structural reduction in E, and with it, decades of the institutional stability that allowed them to manage the challenges that followed. The difference is not between lucky and unlucky societies. It is between societies that read their own dials and acted on what they found, and societies that did not.</w:t>
      </w:r>
    </w:p>
    <w:p>
      <w:pPr>
        <w:spacing w:after="80" w:before="0"/>
      </w:pPr>
    </w:p>
    <w:tbl>
      <w:tblPr>
        <w:tblW w:type="dxa" w:w="9360"/>
        <w:tblBorders>
          <w:top w:val="single" w:color="1B5E20" w:sz="4"/>
          <w:left w:val="single" w:color="1B5E20" w:sz="18"/>
          <w:bottom w:val="single" w:color="1B5E20" w:sz="4"/>
          <w:right w:val="single" w:color="1B5E20" w:sz="4"/>
          <w:insideH w:val="none"/>
          <w:insideV w:val="none"/>
        </w:tblBorders>
        <w:tblLayout w:type="fixed"/>
      </w:tblPr>
      <w:tblGrid>
        <w:gridCol w:w="9360"/>
      </w:tblGrid>
      <w:tr>
        <w:tc>
          <w:tcPr>
            <w:tcW w:type="dxa" w:w="9360"/>
            <w:shd w:fill="E8F5E9"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1B5E20"/>
                <w:sz w:val="18"/>
                <w:szCs w:val="18"/>
              </w:rPr>
              <w:t xml:space="preserve">FIELD NOTE  —  FOR THE REBUILDER</w:t>
            </w:r>
          </w:p>
          <w:p>
            <w:pPr>
              <w:spacing w:after="60" w:before="60" w:line="276" w:lineRule="auto"/>
              <w:jc w:val="left"/>
            </w:pPr>
            <w:r>
              <w:rPr>
                <w:rFonts w:ascii="Arial" w:cs="Arial" w:eastAsia="Arial" w:hAnsi="Arial"/>
                <w:b w:val="false"/>
                <w:bCs w:val="false"/>
                <w:i w:val="false"/>
                <w:iCs w:val="false"/>
                <w:caps w:val="false"/>
                <w:color w:val="1A1A1A"/>
                <w:sz w:val="22"/>
                <w:szCs w:val="22"/>
              </w:rPr>
              <w:t xml:space="preserve">If you are reading this after a structural fracture rather than before it, the E variable carries a specific implication for reconstruction. The surplus elite that survives a fracture is the talent pool from which reconstruction leadership will be drawn — the very people whose displacement drove the instability are also the people with the organisational and analytical capability to rebuild. The reconstruction problem is therefore not to suppress the surplus elite but to create, rapidly, the position structures that give their capabilities a constructive rather than a destructive outlet. A rebuilt society that fails to create positions for its credentialed survivors will recreate the E surplus within one generation and repeat the cycle. The first act of reconstruction is not infrastructure. It is the deliberate design of hierarchies wide enough at the entry level to absorb the surplus without the compression that made the previous system fatal.</w:t>
            </w:r>
          </w:p>
        </w:tc>
      </w:tr>
    </w:tbl>
    <w:p>
      <w:pPr>
        <w:spacing w:after="120" w:before="0"/>
      </w:pPr>
    </w:p>
    <w:p>
      <w:pPr>
        <w:spacing w:after="160" w:before="0"/>
      </w:pPr>
    </w:p>
    <w:p>
      <w:r>
        <w:br w:type="page"/>
      </w:r>
    </w:p>
    <w:p>
      <w:pPr>
        <w:spacing w:after="300" w:before="0"/>
      </w:pPr>
    </w:p>
    <w:p>
      <w:pPr>
        <w:spacing w:after="40" w:before="60" w:line="276" w:lineRule="auto"/>
        <w:jc w:val="left"/>
      </w:pPr>
      <w:r>
        <w:rPr>
          <w:rFonts w:ascii="Arial" w:cs="Arial" w:eastAsia="Arial" w:hAnsi="Arial"/>
          <w:b/>
          <w:bCs/>
          <w:i w:val="false"/>
          <w:iCs w:val="false"/>
          <w:caps/>
          <w:color w:val="8B0000"/>
          <w:sz w:val="20"/>
          <w:szCs w:val="20"/>
        </w:rPr>
        <w:t xml:space="preserve">THE SEVENTH BOOK</w:t>
      </w:r>
    </w:p>
    <w:p>
      <w:pPr>
        <w:spacing w:after="40" w:before="60" w:line="300" w:lineRule="auto"/>
        <w:jc w:val="left"/>
      </w:pPr>
      <w:r>
        <w:rPr>
          <w:rFonts w:ascii="Arial" w:cs="Arial" w:eastAsia="Arial" w:hAnsi="Arial"/>
          <w:b/>
          <w:bCs/>
          <w:i w:val="false"/>
          <w:iCs w:val="false"/>
          <w:caps w:val="false"/>
          <w:color w:val="1B3A6B"/>
          <w:sz w:val="38"/>
          <w:szCs w:val="38"/>
        </w:rPr>
        <w:t xml:space="preserve">The Book of Gaia</w:t>
      </w:r>
    </w:p>
    <w:p>
      <w:pPr>
        <w:spacing w:after="80" w:before="60" w:line="276" w:lineRule="auto"/>
        <w:jc w:val="left"/>
      </w:pPr>
      <w:r>
        <w:rPr>
          <w:rFonts w:ascii="Arial" w:cs="Arial" w:eastAsia="Arial" w:hAnsi="Arial"/>
          <w:b w:val="false"/>
          <w:bCs w:val="false"/>
          <w:i/>
          <w:iCs/>
          <w:caps w:val="false"/>
          <w:color w:val="3A4652"/>
          <w:sz w:val="24"/>
          <w:szCs w:val="24"/>
        </w:rPr>
        <w:t xml:space="preserve">On the distribution of critical functions, the resilience it creates, and the efficiency trap that has been shrinking it for fifty years</w:t>
      </w:r>
    </w:p>
    <w:p>
      <w:pPr>
        <w:pBdr>
          <w:bottom w:val="single" w:color="1B3A6B" w:sz="14" w:space="6"/>
        </w:pBdr>
        <w:spacing w:after="160" w:before="40"/>
        <w:jc w:val="left"/>
      </w:pPr>
      <w:r>
        <w:rPr>
          <w:rFonts w:ascii="Arial" w:cs="Arial" w:eastAsia="Arial" w:hAnsi="Arial"/>
          <w:b w:val="false"/>
          <w:bCs w:val="false"/>
          <w:i w:val="false"/>
          <w:iCs w:val="false"/>
          <w:caps w:val="false"/>
          <w:color w:val="1A1A1A"/>
          <w:sz w:val="22"/>
          <w:szCs w:val="22"/>
        </w:rPr>
        <w:t xml:space="preserve"/>
      </w:r>
    </w:p>
    <w:p>
      <w:pPr>
        <w:spacing w:after="160" w:before="60" w:line="300" w:lineRule="auto"/>
        <w:jc w:val="left"/>
      </w:pPr>
      <w:r>
        <w:rPr>
          <w:rFonts w:ascii="Arial" w:cs="Arial" w:eastAsia="Arial" w:hAnsi="Arial"/>
          <w:b w:val="false"/>
          <w:bCs w:val="false"/>
          <w:i/>
          <w:iCs/>
          <w:caps w:val="false"/>
          <w:color w:val="3A4652"/>
          <w:sz w:val="22"/>
          <w:szCs w:val="22"/>
        </w:rPr>
        <w:t xml:space="preserve">Every efficiency argument in the history of economics points toward concentration. Every civilisation that concentrated too far discovered the same lesson too late: resilience and efficiency are not on the same axis.</w:t>
      </w:r>
    </w:p>
    <w:p>
      <w:pPr>
        <w:spacing w:after="60" w:before="60" w:line="300" w:lineRule="auto"/>
        <w:ind w:left="900" w:right="900"/>
        <w:jc w:val="center"/>
      </w:pPr>
      <w:r>
        <w:rPr>
          <w:rFonts w:ascii="Arial" w:cs="Arial" w:eastAsia="Arial" w:hAnsi="Arial"/>
          <w:b w:val="false"/>
          <w:bCs w:val="false"/>
          <w:i/>
          <w:iCs/>
          <w:caps w:val="false"/>
          <w:color w:val="1B3A6B"/>
          <w:sz w:val="24"/>
          <w:szCs w:val="24"/>
        </w:rPr>
        <w:t xml:space="preserve">The goal of life is not to be on the side of the majority, but to escape finding oneself in the ranks of the insane. A living system must be organised for the unexpected, not the expected; the expected is already accounted for.</w:t>
      </w:r>
    </w:p>
    <w:p>
      <w:pPr>
        <w:spacing w:after="240" w:before="60" w:line="276" w:lineRule="auto"/>
        <w:jc w:val="center"/>
      </w:pPr>
      <w:r>
        <w:rPr>
          <w:rFonts w:ascii="Arial" w:cs="Arial" w:eastAsia="Arial" w:hAnsi="Arial"/>
          <w:b w:val="false"/>
          <w:bCs w:val="false"/>
          <w:i w:val="false"/>
          <w:iCs w:val="false"/>
          <w:caps w:val="false"/>
          <w:color w:val="8B0000"/>
          <w:sz w:val="20"/>
          <w:szCs w:val="20"/>
        </w:rPr>
        <w:t xml:space="preserve">— Adapted from Marcus Aurelius, Meditations, c. 170 CE — and the systems ecology of C.S. Holling, 1973</w:t>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1  </w:t>
      </w:r>
      <w:r>
        <w:rPr>
          <w:rFonts w:ascii="Arial" w:cs="Arial" w:eastAsia="Arial" w:hAnsi="Arial"/>
          <w:b w:val="false"/>
          <w:bCs w:val="false"/>
          <w:i w:val="false"/>
          <w:iCs w:val="false"/>
          <w:caps w:val="false"/>
          <w:color w:val="9AA5B1"/>
          <w:sz w:val="18"/>
          <w:szCs w:val="18"/>
        </w:rPr>
        <w:t xml:space="preserve">| Why the Argument That Concentrates Also Destroys</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Resilience Paradox</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The argument for concentration is always the same argument, and it is always correct on its own terms. Why maintain two suppliers when one is cheaper? Why operate twelve regional grain stores when a single national silo is more efficient? Why run nineteen competing payment networks when one interoperable system serves everyone at lower cost? The argument wins every time it is made in peacetime, because peacetime is when it is made. The rebuttal arrives later, wearing a different name: pandemic, frost, cyberattack, war. And the rebuttal is never made in a committee room. It is made in empty shelves, blackouts, and queues.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Just-in-time supply chains were the masterwork of late-twentieth-century industrial logic. Toyota perfected the model; the world adopted it. By 2019, the median manufacturing firm in the OECD carried fewer than four days of critical-component inventory. The system was hyper-efficient: capital was not frozen in warehouses, logistics costs fell, prices declined, margins expanded. Then a virus closed two Chinese provinces for eight weeks in early 2020, and the world discovered that four days of inventory is not a supply chain — it is a countdown timer. The resilience cost of zero-buffer logistics had not appeared in any balance sheet because it is only legible as a loss when the loss occurs.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Texas in February 2021 is the same lesson in a different substrate. The Electric Reliability Council of Texas operated one of the most cost-efficient grids in the United States, having stripped redundant generating capacity, declined to winterise equipment, and severed interstate transmission connections that would have allowed imports during emergencies — all in the name of market efficiency and regulatory autonomy. When temperatures fell to levels the grid had not been designed to survive, the system failed simultaneously across all its concentrated load-bearing points. Four million people lost power. Two hundred and forty-six people died. The savings accumulated over twenty years of deregulation were consumed in one week.</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internet, conceived as ARPANET in 1969, was designed with an explicit and opposite philosophy. The United States Department of Defense required a communications network that could survive the partial destruction of any node — including nuclear strike. The solution was packet-switched, distributed routing: messages would find their own path through whatever nodes remained. There was no central switching station to destroy. There was no single cable to cut. The design was inefficient by every civilian commercial metric of the period. It was also the reason the internet survived the transition from military to civilian use, and why it remains, at the physical layer, the most resilient large-scale communications infrastructure ever built. Resilience was the design requirement, not the accident.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paradox the corpus returns on this question is structural, not accidental. Market forces systematically select for efficiency because the profits of efficiency accrue immediately and privately, while the costs of insufficient resilience accrue probabilistically, collectively, and only when disaster strikes. No firm captures the social benefit of maintaining redundant capacity during the years when that capacity is not needed. No government captures votes by spending money on infrastructure that will not be used until a crisis no one is predicting. The result is a civilisational ratchet: every peacetime year tightens the concentration, and each crisis, if survived, resets only partially before the ratchet tightens again.</w:t>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2  </w:t>
      </w:r>
      <w:r>
        <w:rPr>
          <w:rFonts w:ascii="Arial" w:cs="Arial" w:eastAsia="Arial" w:hAnsi="Arial"/>
          <w:b w:val="false"/>
          <w:bCs w:val="false"/>
          <w:i w:val="false"/>
          <w:iCs w:val="false"/>
          <w:caps w:val="false"/>
          <w:color w:val="9AA5B1"/>
          <w:sz w:val="18"/>
          <w:szCs w:val="18"/>
        </w:rPr>
        <w:t xml:space="preserve">| The 20% Rule and the Seven Critical Substrates</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What the Gaia Coefficient Measures</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The Gaia Coefficient, xi, measures a single thing: how distributed are the entities that control critical civilisational substrates? The measurement protocol is the 20% rule. For each critical substrate, count the number of entities — states, firms, institutions — that individually hold more than 20% of the global or regional supply. If three firms each hold 22% of global cloud compute, xi for that substrate is low, because the failure of any one 22%-entity produces a cascade that no alternative can absorb quickly enough to prevent civilisational disruption. If a hundred firms each hold 1%, xi is high: failures are local, alternatives are abundant, the substrate is resilient.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full list of critical substrates that the corpus supports includes seven categories. Energy: the production, transmission, and storage of electricity and fuel at civilisational scale. Food: the cultivation, processing, storage, and distribution of caloric supply. Water: freshwater access, treatment, and distribution infrastructure. Computation: the hardware, software, and connectivity that underpins economic activity, communications, finance, and increasingly, governance. Finance: the payment systems, credit mechanisms, and clearing infrastructure through which economic value is transferred. Governance: the decision-making structures at international, national, and subnational levels that allocate collective resources and arbitrate conflicts. Communications infrastructure: the physical and logical layer of global information transmission, from undersea cables to satellite constellations.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These seven substrates are not independent. They interlock: energy powers computation; computation manages finance; finance funds governance; governance regulates energy. A concentration shock in one substrate propagates. If three cloud providers control 65% of global compute and all three experience simultaneous disruption — whether by cyberattack, regulatory action, or physical infrastructure failure — the financial clearing networks running on their infrastructure fail, the energy grids managed by cloud-hosted SCADA systems lose supervisory control, and the satellite navigation systems that route food logistics go dark. The cascade is not additive; it is multiplicative. This is why xi appears in the civilisational survival equation as (1 + xi)^0.12 — because the resilience effect of distribution compounds across all seven substrates simultaneously.</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Xi equals zero in the limiting case of total centralisation: one entity controls everything, and its failure ends everything. Xi equals one in the limiting case of perfect distribution: no entity controls more than a negligible fraction of any substrate, and the loss of any entity is absorbed without systemic disruption. Civilisations have never achieved xi equals one. They have repeatedly discovered what xi near zero produces. The resilience floor — the minimum xi compatible with long-run civilisational survival — the corpus places at 0.35. The 2026 reading is 0.28. The direction is downward.</w:t>
      </w:r>
    </w:p>
    <w:p>
      <w:pPr>
        <w:spacing w:after="80" w:before="0"/>
      </w:pPr>
    </w:p>
    <w:tbl>
      <w:tblPr>
        <w:tblW w:type="dxa" w:w="9360"/>
        <w:tblBorders>
          <w:top w:val="single" w:color="00595C" w:sz="4"/>
          <w:left w:val="single" w:color="00595C" w:sz="18"/>
          <w:bottom w:val="single" w:color="00595C" w:sz="4"/>
          <w:right w:val="single" w:color="00595C" w:sz="4"/>
          <w:insideH w:val="none"/>
          <w:insideV w:val="none"/>
        </w:tblBorders>
        <w:tblLayout w:type="fixed"/>
      </w:tblPr>
      <w:tblGrid>
        <w:gridCol w:w="9360"/>
      </w:tblGrid>
      <w:tr>
        <w:tc>
          <w:tcPr>
            <w:tcW w:type="dxa" w:w="9360"/>
            <w:shd w:fill="E0F2F1"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00595C"/>
                <w:sz w:val="18"/>
                <w:szCs w:val="18"/>
              </w:rPr>
              <w:t xml:space="preserve">EDGAR_RAG — CLOUD COMPUTE CONCENTRATION, 2025-2026</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EDGAR_RAG (133,474 chunks) contains the 10-K and 10-Q filings of Amazon (AWS), Microsoft (Azure), and Alphabet (Google Cloud). Aggregated market-share data from these filings and their risk disclosures places the three firms at approximately 65% of global hyperscale cloud compute capacity in 2025-2026.</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Amazon 10-K risk disclosure: 'Our AWS business is subject to risks related to geographic concentration of data centre capacity. Significant events, including natural disasters, cyberattacks, or infrastructure failure at our major facilities, could result in service disruptions affecting large portions of our customer base simultaneously.'</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Microsoft 10-K risk disclosure: 'We operate data centres in a limited number of geographic locations. Disruption at key facilities could impact substantial portions of our cloud services revenue and customer operations worldwide.'</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Alphabet 10-K risk disclosure: 'Our data centre operations are concentrated in select geographic areas, and any disruption could adversely affect our ability to deliver services to customers globally.'</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The combined picture is unambiguous: three private firms, subject to correlated geographic and systemic risks, control the majority of the compute substrate on which global K depends. Xi for the computation substrate is estimated at 0.18 — well below the 0.35 resilience floor.</w:t>
            </w:r>
          </w:p>
          <w:p>
            <w:pPr>
              <w:spacing w:after="60" w:before="40" w:line="276" w:lineRule="auto"/>
              <w:jc w:val="left"/>
            </w:pPr>
            <w:r>
              <w:rPr>
                <w:rFonts w:ascii="Arial" w:cs="Arial" w:eastAsia="Arial" w:hAnsi="Arial"/>
                <w:b w:val="false"/>
                <w:bCs w:val="false"/>
                <w:i/>
                <w:iCs/>
                <w:caps w:val="false"/>
                <w:color w:val="3A4652"/>
                <w:sz w:val="18"/>
                <w:szCs w:val="18"/>
              </w:rPr>
              <w:t xml:space="preserve">Source: EDGAR_RAG, Amazon/Microsoft/Alphabet 10-K filings 2024-2025; Gartner cloud market share data cited in EDGAR risk factors</w:t>
            </w:r>
          </w:p>
        </w:tc>
      </w:tr>
    </w:tbl>
    <w:p>
      <w:pPr>
        <w:spacing w:after="120" w:before="0"/>
      </w:pP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3  </w:t>
      </w:r>
      <w:r>
        <w:rPr>
          <w:rFonts w:ascii="Arial" w:cs="Arial" w:eastAsia="Arial" w:hAnsi="Arial"/>
          <w:b w:val="false"/>
          <w:bCs w:val="false"/>
          <w:i w:val="false"/>
          <w:iCs w:val="false"/>
          <w:caps w:val="false"/>
          <w:color w:val="9AA5B1"/>
          <w:sz w:val="18"/>
          <w:szCs w:val="18"/>
        </w:rPr>
        <w:t xml:space="preserve">| The Bank of Japan as a Case Study in Financial xi</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Gaia Collapse in Practice</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The Bank of Japan's Yield Curve Control programme, initiated in September 2016 and maintained through a contested exit in 2024, is the most instructive recent example of what happens when a single institution concentrates a critical financial substrate. The programme fixed the yield on ten-year Japanese Government Bonds at approximately zero percent. The mechanism seemed orderly. The consequences, when they began to unwind, were not. What the BOJ had done, without announcing it, was make the stability of global bond markets dependent on a single central bank's policy committee — a body of nine people meeting eight times per year.</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JAPAN_RAG records the BOJ's Monetary Policy Meeting Minutes from 2022 through 2024. The minutes document a committee managing an increasingly impossible position: Japanese inflation rising above 2% for the first time in decades, wage growth tentatively returning, but the global consequences of any yield-cap exit creating structural incentives to defer action. By holding the cap, the BOJ had allowed the yen carry trade — borrowing yen cheaply and investing globally in higher-yielding assets — to expand to a scale that made the exit path itself dangerous. The corpus estimates that by mid-2024, the yen carry trade had financed positions across global equities, emerging market bonds, and commodity markets totalling the equivalent of several trillion dollars.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When the BOJ moved toward normalisation in April and July 2024, the unwind produced equity volatility of a type that surprised markets calibrated to a decade of low-volatility carry-funded positions. The Nikkei fell sharply. Volatility indices spiked globally. Assets far removed from Japan — US tech equities, Southeast Asian bonds, commodity futures — moved because the liquidity that had been funding them had been Japanese. This was not a Japanese problem. It was a global system that had silently concentrated itself around one node, and the node had moved. JAPAN_RAG's minutes, read carefully, document a committee that understood the bind but had insufficient multilateral mechanisms to coordinate an exit that distributed the adjustment across multiple nodes.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BOJ case illustrates the mechanism by which financial xi decays without any deliberate act of concentration. No one decided that global bond market stability should depend on nine Japanese central bankers. It happened because the arbitrage was available, the carry was cheap, and market participants individually rational in exploiting it. The system concentrated itself in pursuit of private gain, and the systemic fragility accrued to everyone. This is the standard pattern. Xi does not usually collapse by policy choice. It collapses by the accumulation of individually rational decisions that no single actor has the mandate or information to reverse.</w:t>
      </w:r>
    </w:p>
    <w:p>
      <w:pPr>
        <w:spacing w:after="80" w:before="0"/>
      </w:pPr>
    </w:p>
    <w:tbl>
      <w:tblPr>
        <w:tblW w:type="dxa" w:w="9360"/>
        <w:tblBorders>
          <w:top w:val="single" w:color="1B3A6B" w:sz="4"/>
          <w:left w:val="single" w:color="1B3A6B" w:sz="18"/>
          <w:bottom w:val="single" w:color="1B3A6B" w:sz="4"/>
          <w:right w:val="single" w:color="1B3A6B" w:sz="4"/>
          <w:insideH w:val="none"/>
          <w:insideV w:val="none"/>
        </w:tblBorders>
        <w:tblLayout w:type="fixed"/>
      </w:tblPr>
      <w:tblGrid>
        <w:gridCol w:w="9360"/>
      </w:tblGrid>
      <w:tr>
        <w:tc>
          <w:tcPr>
            <w:tcW w:type="dxa" w:w="9360"/>
            <w:shd w:fill="E8EEF7" w:color="auto" w:val="clear"/>
            <w:tcMar>
              <w:top w:type="dxa" w:w="120"/>
              <w:left w:type="dxa" w:w="200"/>
              <w:bottom w:type="dxa" w:w="120"/>
              <w:right w:type="dxa" w:w="200"/>
            </w:tcMar>
          </w:tcPr>
          <w:p>
            <w:pPr>
              <w:spacing w:after="40" w:before="60" w:line="300" w:lineRule="auto"/>
              <w:jc w:val="left"/>
            </w:pPr>
            <w:r>
              <w:rPr>
                <w:rFonts w:ascii="Arial" w:cs="Arial" w:eastAsia="Arial" w:hAnsi="Arial"/>
                <w:b w:val="false"/>
                <w:bCs w:val="false"/>
                <w:i/>
                <w:iCs/>
                <w:caps w:val="false"/>
                <w:color w:val="1B3A6B"/>
                <w:sz w:val="26"/>
                <w:szCs w:val="26"/>
              </w:rPr>
              <w:t xml:space="preserve">The system concentrated itself in pursuit of private gain, and the systemic fragility accrued to everyone. This is the standard pattern.</w:t>
            </w:r>
          </w:p>
          <w:p>
            <w:pPr>
              <w:spacing w:after="60" w:before="60" w:line="276" w:lineRule="auto"/>
              <w:jc w:val="left"/>
            </w:pPr>
            <w:r>
              <w:rPr>
                <w:rFonts w:ascii="Arial" w:cs="Arial" w:eastAsia="Arial" w:hAnsi="Arial"/>
                <w:b w:val="false"/>
                <w:bCs w:val="false"/>
                <w:i w:val="false"/>
                <w:iCs w:val="false"/>
                <w:caps w:val="false"/>
                <w:color w:val="8B0000"/>
                <w:sz w:val="20"/>
                <w:szCs w:val="20"/>
              </w:rPr>
              <w:t xml:space="preserve">— CivilisationOS corpus synthesis, BOJ YCC case study, 2026</w:t>
            </w:r>
          </w:p>
        </w:tc>
      </w:tr>
    </w:tbl>
    <w:p>
      <w:pPr>
        <w:spacing w:after="120" w:before="0"/>
      </w:pPr>
    </w:p>
    <w:p>
      <w:pPr>
        <w:spacing w:after="80" w:before="0"/>
      </w:pPr>
    </w:p>
    <w:tbl>
      <w:tblPr>
        <w:tblW w:type="dxa" w:w="9360"/>
        <w:tblBorders>
          <w:top w:val="single" w:color="1B5E20" w:sz="4"/>
          <w:left w:val="single" w:color="1B5E20" w:sz="18"/>
          <w:bottom w:val="single" w:color="1B5E20" w:sz="4"/>
          <w:right w:val="single" w:color="1B5E20" w:sz="4"/>
          <w:insideH w:val="none"/>
          <w:insideV w:val="none"/>
        </w:tblBorders>
        <w:tblLayout w:type="fixed"/>
      </w:tblPr>
      <w:tblGrid>
        <w:gridCol w:w="9360"/>
      </w:tblGrid>
      <w:tr>
        <w:tc>
          <w:tcPr>
            <w:tcW w:type="dxa" w:w="9360"/>
            <w:shd w:fill="E8F5E9"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1B5E20"/>
                <w:sz w:val="18"/>
                <w:szCs w:val="18"/>
              </w:rPr>
              <w:t xml:space="preserve">FIELD NOTE  —  BOJ YCC — KEY DATES AND SYSTEMIC SIGNALS</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1.  </w:t>
            </w:r>
            <w:r>
              <w:rPr>
                <w:rFonts w:ascii="Arial" w:cs="Arial" w:eastAsia="Arial" w:hAnsi="Arial"/>
                <w:b w:val="false"/>
                <w:bCs w:val="false"/>
                <w:i w:val="false"/>
                <w:iCs w:val="false"/>
                <w:caps w:val="false"/>
                <w:color w:val="1A1A1A"/>
                <w:sz w:val="22"/>
                <w:szCs w:val="22"/>
              </w:rPr>
              <w:t xml:space="preserve">September 2016: BOJ introduces Yield Curve Control, targeting 10-year JGB yield at approximately 0%.</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2.  </w:t>
            </w:r>
            <w:r>
              <w:rPr>
                <w:rFonts w:ascii="Arial" w:cs="Arial" w:eastAsia="Arial" w:hAnsi="Arial"/>
                <w:b w:val="false"/>
                <w:bCs w:val="false"/>
                <w:i w:val="false"/>
                <w:iCs w:val="false"/>
                <w:caps w:val="false"/>
                <w:color w:val="1A1A1A"/>
                <w:sz w:val="22"/>
                <w:szCs w:val="22"/>
              </w:rPr>
              <w:t xml:space="preserve">2022-2023: Global inflation surge forces BOJ to defend the cap through unlimited bond purchases, accumulating over 50% of outstanding JGB market — itself a concentration event.</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3.  </w:t>
            </w:r>
            <w:r>
              <w:rPr>
                <w:rFonts w:ascii="Arial" w:cs="Arial" w:eastAsia="Arial" w:hAnsi="Arial"/>
                <w:b w:val="false"/>
                <w:bCs w:val="false"/>
                <w:i w:val="false"/>
                <w:iCs w:val="false"/>
                <w:caps w:val="false"/>
                <w:color w:val="1A1A1A"/>
                <w:sz w:val="22"/>
                <w:szCs w:val="22"/>
              </w:rPr>
              <w:t xml:space="preserve">December 2022: BOJ widens the yield band to +/-0.5%, producing immediate global volatility; subsequent communications tighten to prevent full unwind.</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4.  </w:t>
            </w:r>
            <w:r>
              <w:rPr>
                <w:rFonts w:ascii="Arial" w:cs="Arial" w:eastAsia="Arial" w:hAnsi="Arial"/>
                <w:b w:val="false"/>
                <w:bCs w:val="false"/>
                <w:i w:val="false"/>
                <w:iCs w:val="false"/>
                <w:caps w:val="false"/>
                <w:color w:val="1A1A1A"/>
                <w:sz w:val="22"/>
                <w:szCs w:val="22"/>
              </w:rPr>
              <w:t xml:space="preserve">April 2024: BOJ signals further normalisation; yen carry trade begins partial unwind; Nikkei falls sharply; cross-asset volatility spike observed in markets structurally unrelated to Japan.</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5.  </w:t>
            </w:r>
            <w:r>
              <w:rPr>
                <w:rFonts w:ascii="Arial" w:cs="Arial" w:eastAsia="Arial" w:hAnsi="Arial"/>
                <w:b w:val="false"/>
                <w:bCs w:val="false"/>
                <w:i w:val="false"/>
                <w:iCs w:val="false"/>
                <w:caps w:val="false"/>
                <w:color w:val="1A1A1A"/>
                <w:sz w:val="22"/>
                <w:szCs w:val="22"/>
              </w:rPr>
              <w:t xml:space="preserve">July 2024: BOJ rate rise accelerates unwind; global equity sell-off; VIX spikes to levels not seen since early pandemic period.</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6.  </w:t>
            </w:r>
            <w:r>
              <w:rPr>
                <w:rFonts w:ascii="Arial" w:cs="Arial" w:eastAsia="Arial" w:hAnsi="Arial"/>
                <w:b w:val="false"/>
                <w:bCs w:val="false"/>
                <w:i w:val="false"/>
                <w:iCs w:val="false"/>
                <w:caps w:val="false"/>
                <w:color w:val="1A1A1A"/>
                <w:sz w:val="22"/>
                <w:szCs w:val="22"/>
              </w:rPr>
              <w:t xml:space="preserve">Systemic reading: a policy committee of nine people, meeting eight times per year, had become a single point of failure for global financial stability. This is xi near zero in a critical substrate.</w:t>
            </w:r>
          </w:p>
        </w:tc>
      </w:tr>
    </w:tbl>
    <w:p>
      <w:pPr>
        <w:spacing w:after="120" w:before="0"/>
      </w:pP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4  </w:t>
      </w:r>
      <w:r>
        <w:rPr>
          <w:rFonts w:ascii="Arial" w:cs="Arial" w:eastAsia="Arial" w:hAnsi="Arial"/>
          <w:b w:val="false"/>
          <w:bCs w:val="false"/>
          <w:i w:val="false"/>
          <w:iCs w:val="false"/>
          <w:caps w:val="false"/>
          <w:color w:val="9AA5B1"/>
          <w:sz w:val="18"/>
          <w:szCs w:val="18"/>
        </w:rPr>
        <w:t xml:space="preserve">| The Geopolitical Gaia Collapse</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Bilateralisation</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ASEAN_DATA_RAG documents what the ISEAS State of Southeast Asia 2025 survey records with unusual directness: confidence in ASEAN's capacity as a multilateral institution is declining, and countries across the region are moving toward bilateral alignment with one of two major powers — the United States or China. This is the geopolitical equivalent of the cloud compute problem. A governance substrate that once had many nodes is being reorganised around two. A two-pole world is xi-negative not because either pole is malign, but because two concentration points are fewer than many, and fewer means more fragile.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multilateral order built between 1944 and 1995 — the United Nations, the IMF, the World Bank, the WTO, the treaty system governing nuclear weapons, the Geneva Conventions — was inefficient in exactly the way distributed systems are inefficient. Consensus was slow. Veto politics were frustrating. The WTO's Appellate Body was perpetually behind. The Security Council was deadlocked. These were real costs, and critics on every side catalogued them faithfully. But the system had many nodes. Governance was distributed across scores of institutions, each with its own mandate, membership, and pathway for dispute resolution. When one institution failed, others continued. The failure mode was gridlock, not cascade.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What is replacing it is not a reformed multilateral order. It is a bilateral architecture: trade deals between individual states and the United States, or individual states and China; security arrangements between capital and client; technology supply chains divided into US-standard and China-standard ecosystems. The diplomatic grammar has shifted from multilateral negotiation to bilateral bargaining. This is a governance xi collapse. The number of meaningful decision nodes is contracting. The states in between — Southeast Asia, the Gulf, sub-Saharan Africa — retain nominal sovereignty while losing the multilateral leverage that sovereignty once provided.</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Against this trend, the corpus registers two xi-positive counter-movements. AUKUS — the trilateral security arrangement between Australia, the United Kingdom, and the United States — distributes submarine capability and intelligence across three nodes rather than one. The Quad — the strategic dialogue between the United States, Japan, India, and Australia — creates a distributed security architecture in the Indo-Pacific with multiple veto points. CNA_RAG documents both as genuine attempts to build distributed resilience against a China-centric single-node alternative. But these are defensive responses to bilateralisation, not architectures that reverse it. They are the distributed minority attempting to preserve options inside a system moving toward two poles.</w:t>
      </w:r>
    </w:p>
    <w:p>
      <w:pPr>
        <w:spacing w:after="80" w:before="0"/>
      </w:pPr>
    </w:p>
    <w:tbl>
      <w:tblPr>
        <w:tblW w:type="dxa" w:w="9360"/>
        <w:tblBorders>
          <w:top w:val="single" w:color="7A4F01" w:sz="4"/>
          <w:left w:val="single" w:color="7A4F01" w:sz="18"/>
          <w:bottom w:val="single" w:color="7A4F01" w:sz="4"/>
          <w:right w:val="single" w:color="7A4F01" w:sz="4"/>
          <w:insideH w:val="none"/>
          <w:insideV w:val="none"/>
        </w:tblBorders>
        <w:tblLayout w:type="fixed"/>
      </w:tblPr>
      <w:tblGrid>
        <w:gridCol w:w="9360"/>
      </w:tblGrid>
      <w:tr>
        <w:tc>
          <w:tcPr>
            <w:tcW w:type="dxa" w:w="9360"/>
            <w:shd w:fill="FFF6E0"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7A4F01"/>
                <w:sz w:val="18"/>
                <w:szCs w:val="18"/>
              </w:rPr>
              <w:t xml:space="preserve">WHEN CENTRALISATION BECOMES CIVILISATIONAL RISK — THE SEVEN SUBSTRATES IN 2026</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ENERGY: Three Gulf states (Saudi Arabia, UAE, Iraq) plus Russia account for over 50% of global crude exports. Renewable energy transition is concentrating solar manufacturing in one country. Xi(energy) approximately 0.31 — below the resilience floor.</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FOOD: Four firms (ADM, Bunge, Cargill, Louis Dreyfus) handle approximately 70-90% of global grain trading. Three countries (Russia, Ukraine, Canada) produce over 50% of global wheat exports. Xi(food) approximately 0.29.</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WATER: Freshwater access is highly regionalised; transboundary river systems with single upstream controllers represent high-concentration risk. No global xi measure is meaningful here, but regional xi values in the Mekong, Nile, and Indus basins are critically low.</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COMPUTATION: AWS, Azure, Google Cloud hold approximately 65% of global hyperscale cloud compute. Xi(compute) approximately 0.18 — the most critically concentrated substrate.</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FINANCE: SWIFT messaging network is the de facto single point for international payment routing. Two card networks (Visa, Mastercard) handle the majority of global consumer transactions. Xi(finance) approximately 0.24.</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GOVERNANCE: Veto-holding UN Security Council structure plus accelerating bilateralisation. Xi(governance) approximately 0.33 — near the resilience floor.</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COMMUNICATIONS: Undersea cable infrastructure increasingly concentrated; satellite broadband moving toward single-operator dominance in low-earth orbit. Xi(communications) approximately 0.26.</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AGGREGATE: Corpus estimate xi(2026) = 0.28. Resilience floor = 0.35. All seven substrates are below or at the floor. The direction across all seven is downward.</w:t>
            </w:r>
          </w:p>
        </w:tc>
      </w:tr>
    </w:tbl>
    <w:p>
      <w:pPr>
        <w:spacing w:after="120" w:before="0"/>
      </w:pP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5  </w:t>
      </w:r>
      <w:r>
        <w:rPr>
          <w:rFonts w:ascii="Arial" w:cs="Arial" w:eastAsia="Arial" w:hAnsi="Arial"/>
          <w:b w:val="false"/>
          <w:bCs w:val="false"/>
          <w:i w:val="false"/>
          <w:iCs w:val="false"/>
          <w:caps w:val="false"/>
          <w:color w:val="9AA5B1"/>
          <w:sz w:val="18"/>
          <w:szCs w:val="18"/>
        </w:rPr>
        <w:t xml:space="preserve">| What xi-Positive Design Looks Like at Scale</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India's DPI</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The most important counterexample the corpus contains to the global trend of xi decline is India's Digital Public Infrastructure programme — a deliberate, sustained, government-initiated project to build the critical substrates of a modern economy as open, non-monopolisable architecture. It is xi-positive by design, not by accident. It is also the only example in the corpus of a major economy making this choice explicitly and at civilisational scale. Understanding what India did, and why it works, is understanding what the alternative to concentration looks like when a government chooses to build it.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INDIA_RAG documents the three pillars of the DPI stack. The Unified Payments Interface, launched in 2016, processed the equivalent of approximately three trillion dollars in transactions in 2024. It is an open protocol: any bank, any fintech, any developer can build on it. No single entity controls it. The National Payments Corporation of India governs it as a public infrastructure body, not a commercial monopoly. The result is a payment system with over five hundred participating banks, dozens of competing applications, and a market structure that has prevented the winner-take-all dynamic that characterises payment infrastructure in every other large economy.</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AADHAAR, India's biometric identity system, enrolled over 1.4 billion individuals by 2024 — the largest identity infrastructure in human history by population coverage. Its design is notable for what it deliberately excludes: AADHAAR is an authentication layer, not a surveillance database. The system verifies identity through an open API and returns a yes-or-no confirmation; it does not share underlying data with querying parties by default. The government maintains the infrastructure; the government cannot monopolise it in the way a private operator could. This is xi-positive by architectural choice — the state builds the foundation but cannot own the superstructure.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Open Network for Digital Commerce, launched in 2021-2022, extends the DPI philosophy to e-commerce. Rather than allowing Amazon or Flipkart to own the e-commerce substrate — as has occurred in every other large economy — ONDC creates an open protocol that any seller and any buyer can access through any compliant application. A small retailer in Jodhpur can list on ONDC and be discoverable through the same protocol as a large national brand. The architecture prevents the network-effect monopolisation that ordinarily concentrates e-commerce into two or three platforms per market. This is NITI Aayog's Vision 2047 in practice: building the infrastructure of the digital economy so that it distributes value rather than concentrating it.</w:t>
      </w:r>
    </w:p>
    <w:p>
      <w:pPr>
        <w:spacing w:after="80" w:before="0"/>
      </w:pPr>
    </w:p>
    <w:tbl>
      <w:tblPr>
        <w:tblW w:type="dxa" w:w="9360"/>
        <w:tblBorders>
          <w:top w:val="single" w:color="00595C" w:sz="4"/>
          <w:left w:val="single" w:color="00595C" w:sz="18"/>
          <w:bottom w:val="single" w:color="00595C" w:sz="4"/>
          <w:right w:val="single" w:color="00595C" w:sz="4"/>
          <w:insideH w:val="none"/>
          <w:insideV w:val="none"/>
        </w:tblBorders>
        <w:tblLayout w:type="fixed"/>
      </w:tblPr>
      <w:tblGrid>
        <w:gridCol w:w="9360"/>
      </w:tblGrid>
      <w:tr>
        <w:tc>
          <w:tcPr>
            <w:tcW w:type="dxa" w:w="9360"/>
            <w:shd w:fill="E0F2F1"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00595C"/>
                <w:sz w:val="18"/>
                <w:szCs w:val="18"/>
              </w:rPr>
              <w:t xml:space="preserve">INDIA_RAG — DPI SCALE AND DESIGN PHILOSOPHY</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INDIA_RAG (4,093 chunks) contains NITI Aayog Vision 2047 documentation, UPI transaction reports, AADHAAR enrolment statistics, and ONDC architecture papers.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UPI transaction volume: approximately $3 trillion in 2024, up from negligible volumes in 2016. Participating institutions: 500+ banks. Competing consumer applications: over 30. Single-entity market share cap: none imposed, but competition prevents capture — PhonePe, Google Pay, Paytm, and others compete on the same rails.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AADHAAR enrolment: 1.4 billion individuals as of 2024. Authentication requests per day: over 70 million. Data shared per authentication event: zero (yes/no response only by default). Cost per authentication: approximately 50 paise (under 1 US cent).</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ONDC active sellers: over 600,000 as of late 2024. Geographic reach: tier-2 and tier-3 cities representing markets previously inaccessible to small retailers on closed platform architectures.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Design principle, as stated in NITI Aayog documentation: 'Digital public goods must be designed to prevent private capture of public utility. The state's role is to create the rails, not to run the trains, and to ensure no private party can close the rails to competitors.'</w:t>
            </w:r>
          </w:p>
          <w:p>
            <w:pPr>
              <w:spacing w:after="60" w:before="40" w:line="276" w:lineRule="auto"/>
              <w:jc w:val="left"/>
            </w:pPr>
            <w:r>
              <w:rPr>
                <w:rFonts w:ascii="Arial" w:cs="Arial" w:eastAsia="Arial" w:hAnsi="Arial"/>
                <w:b w:val="false"/>
                <w:bCs w:val="false"/>
                <w:i/>
                <w:iCs/>
                <w:caps w:val="false"/>
                <w:color w:val="3A4652"/>
                <w:sz w:val="18"/>
                <w:szCs w:val="18"/>
              </w:rPr>
              <w:t xml:space="preserve">Source: INDIA_RAG — NITI Aayog Vision 2047; NPCI UPI Annual Reports; AADHAAR annual statistics; ONDC network reports 2024</w:t>
            </w:r>
          </w:p>
        </w:tc>
      </w:tr>
    </w:tbl>
    <w:p>
      <w:pPr>
        <w:spacing w:after="120" w:before="0"/>
      </w:pP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6  </w:t>
      </w:r>
      <w:r>
        <w:rPr>
          <w:rFonts w:ascii="Arial" w:cs="Arial" w:eastAsia="Arial" w:hAnsi="Arial"/>
          <w:b w:val="false"/>
          <w:bCs w:val="false"/>
          <w:i w:val="false"/>
          <w:iCs w:val="false"/>
          <w:caps w:val="false"/>
          <w:color w:val="9AA5B1"/>
          <w:sz w:val="18"/>
          <w:szCs w:val="18"/>
        </w:rPr>
        <w:t xml:space="preserve">| Five Instruments of xi-Management</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Building for Distribution</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The question the corpus is most often asked, and least often asked in governments, is not whether concentration is happening — it is — but what a civilisation can do about it that is not simply a return to state ownership of everything, which produces its own concentration in a different form. The corpus has five answers. They are not theoretical. They are each instantiated, at varying scales, in documented practice. India provides the most complete example, but the principles exist independently of any single national case.</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Instrument One: Open Standards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Critical substrates resist monopolisation when their underlying technical standards are open and mandatory. TCP/IP, the protocol stack of the internet, is open: no firm owns it, no firm can be excluded from using it, no firm can be excluded from competing on top of it. The result is an internet with tens of thousands of content providers, applications, and services, all competing on shared rails. Where open standards have been replaced by proprietary protocols — app stores that require submission to a single platform's rules, payment systems that route through closed networks, cloud APIs that create lock-in — concentration follows automatically. Mandating open standards for critical substrates is the cheapest xi-management tool available to governments, because it costs nothing to implement and generates competition as a free externality.</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Instrument Two: Interoperability Mandates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Interoperability mandates reduce switching costs and prevent the lock-in that produces monopoly even in open-standard environments. The European Union's Digital Markets Act requires large platform operators to make their messaging, payment, and data portability infrastructure interoperable with competitors. The effect is to prevent the network externality from becoming a permanent moat. A messaging platform that cannot be exited without losing contact with one's entire network is a concentration event regardless of its technical standards. Interoperability mandates distribute the network by requiring that connectivity survive competitive switching. This is not regulation of content or price; it is regulation of infrastructure topology.</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Instrument Three: Federated Architectures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Constitutional distribution of power is the oldest xi-management tool in governance history. Federal systems distribute governmental authority across multiple nodes; no single node can capture all governance. Competitive electricity markets distribute generation across many producers; no single generator's failure causes system collapse. Regional food storage mandates — held in the corpus as a recurring feature of historically resilient agrarian states from the Song dynasty through nineteenth-century Prussia — distribute caloric reserves so that transport disruption does not produce simultaneous famine across a region. These are structural, architectural solutions: they build distribution into the system's design rather than attempting to regulate the outcome of a concentrated system after the fact.</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Instrument Four: Anti-Monopoly as Civilisational Policy</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ACADEMIC_RAG records the BIS Annual Report 2025 treatment of financial system concentration. The BIS frames the too-big-to-fail problem not as a market failure requiring bank-by-bank regulation but as a systemic architecture problem requiring xi-management at the level of the financial system's topology. A system where four institutions control forty percent of global credit is not safer with better capital ratios; it is fundamentally structured for cascade failure regardless of individual institution quality. Anti-monopoly enforcement, in this frame, is not consumer protection policy or economic regulation in the traditional sense. It is civilisational infrastructure management — the maintenance of the distributed topology on which resilience depends.</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Instrument Five: Digital Public Infrastructure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meta-principle that India's DPI embodies, and that the four preceding instruments all approach from different angles, is this: the state's role in xi-management is not to own critical substrates but to prevent any private entity from owning them monopolistically. State ownership is a form of concentration; it reduces xi to the resilience of a single governance institution. The DPI model is different: the state builds and governs the minimum-viable shared layer — the identity protocol, the payment rail, the e-commerce directory — and mandates that this layer be accessible to all competitors on equal terms. The state is not the operator. The state is the guarantor of the distributed topology. This is the hardest institutional design problem in modern governance because it requires the state to build things it will not control and to govern outcomes it will not produce.</w:t>
      </w:r>
    </w:p>
    <w:p>
      <w:pPr>
        <w:spacing w:after="60" w:before="20" w:line="276" w:lineRule="auto"/>
        <w:ind w:left="360" w:hanging="360"/>
        <w:jc w:val="left"/>
      </w:pPr>
      <w:r>
        <w:rPr>
          <w:rFonts w:ascii="Arial" w:cs="Arial" w:eastAsia="Arial" w:hAnsi="Arial"/>
          <w:b/>
          <w:bCs/>
          <w:i w:val="false"/>
          <w:iCs w:val="false"/>
          <w:caps w:val="false"/>
          <w:color w:val="1B3A6B"/>
          <w:sz w:val="22"/>
          <w:szCs w:val="22"/>
        </w:rPr>
        <w:t xml:space="preserve">1.  </w:t>
      </w:r>
      <w:r>
        <w:rPr>
          <w:rFonts w:ascii="Arial" w:cs="Arial" w:eastAsia="Arial" w:hAnsi="Arial"/>
          <w:b w:val="false"/>
          <w:bCs w:val="false"/>
          <w:i w:val="false"/>
          <w:iCs w:val="false"/>
          <w:caps w:val="false"/>
          <w:color w:val="1A1A1A"/>
          <w:sz w:val="22"/>
          <w:szCs w:val="22"/>
        </w:rPr>
        <w:t xml:space="preserve">Open standards: mandate that the protocols governing critical substrate access are open, non-proprietary, and freely implementable. This prevents standards from becoming concentration instruments.</w:t>
      </w:r>
    </w:p>
    <w:p>
      <w:pPr>
        <w:spacing w:after="60" w:before="20" w:line="276" w:lineRule="auto"/>
        <w:ind w:left="360" w:hanging="360"/>
        <w:jc w:val="left"/>
      </w:pPr>
      <w:r>
        <w:rPr>
          <w:rFonts w:ascii="Arial" w:cs="Arial" w:eastAsia="Arial" w:hAnsi="Arial"/>
          <w:b/>
          <w:bCs/>
          <w:i w:val="false"/>
          <w:iCs w:val="false"/>
          <w:caps w:val="false"/>
          <w:color w:val="1B3A6B"/>
          <w:sz w:val="22"/>
          <w:szCs w:val="22"/>
        </w:rPr>
        <w:t xml:space="preserve">2.  </w:t>
      </w:r>
      <w:r>
        <w:rPr>
          <w:rFonts w:ascii="Arial" w:cs="Arial" w:eastAsia="Arial" w:hAnsi="Arial"/>
          <w:b w:val="false"/>
          <w:bCs w:val="false"/>
          <w:i w:val="false"/>
          <w:iCs w:val="false"/>
          <w:caps w:val="false"/>
          <w:color w:val="1A1A1A"/>
          <w:sz w:val="22"/>
          <w:szCs w:val="22"/>
        </w:rPr>
        <w:t xml:space="preserve">Interoperability: require that dominant platforms and infrastructure operators make their interfaces accessible to competitors. This prevents network effects from becoming permanent moats.</w:t>
      </w:r>
    </w:p>
    <w:p>
      <w:pPr>
        <w:spacing w:after="60" w:before="20" w:line="276" w:lineRule="auto"/>
        <w:ind w:left="360" w:hanging="360"/>
        <w:jc w:val="left"/>
      </w:pPr>
      <w:r>
        <w:rPr>
          <w:rFonts w:ascii="Arial" w:cs="Arial" w:eastAsia="Arial" w:hAnsi="Arial"/>
          <w:b/>
          <w:bCs/>
          <w:i w:val="false"/>
          <w:iCs w:val="false"/>
          <w:caps w:val="false"/>
          <w:color w:val="1B3A6B"/>
          <w:sz w:val="22"/>
          <w:szCs w:val="22"/>
        </w:rPr>
        <w:t xml:space="preserve">3.  </w:t>
      </w:r>
      <w:r>
        <w:rPr>
          <w:rFonts w:ascii="Arial" w:cs="Arial" w:eastAsia="Arial" w:hAnsi="Arial"/>
          <w:b w:val="false"/>
          <w:bCs w:val="false"/>
          <w:i w:val="false"/>
          <w:iCs w:val="false"/>
          <w:caps w:val="false"/>
          <w:color w:val="1A1A1A"/>
          <w:sz w:val="22"/>
          <w:szCs w:val="22"/>
        </w:rPr>
        <w:t xml:space="preserve">Federated architecture: embed distribution structurally — in constitutional arrangements, in regulatory frameworks for electricity and food storage, in communications infrastructure redundancy requirements.</w:t>
      </w:r>
    </w:p>
    <w:p>
      <w:pPr>
        <w:spacing w:after="60" w:before="20" w:line="276" w:lineRule="auto"/>
        <w:ind w:left="360" w:hanging="360"/>
        <w:jc w:val="left"/>
      </w:pPr>
      <w:r>
        <w:rPr>
          <w:rFonts w:ascii="Arial" w:cs="Arial" w:eastAsia="Arial" w:hAnsi="Arial"/>
          <w:b/>
          <w:bCs/>
          <w:i w:val="false"/>
          <w:iCs w:val="false"/>
          <w:caps w:val="false"/>
          <w:color w:val="1B3A6B"/>
          <w:sz w:val="22"/>
          <w:szCs w:val="22"/>
        </w:rPr>
        <w:t xml:space="preserve">4.  </w:t>
      </w:r>
      <w:r>
        <w:rPr>
          <w:rFonts w:ascii="Arial" w:cs="Arial" w:eastAsia="Arial" w:hAnsi="Arial"/>
          <w:b w:val="false"/>
          <w:bCs w:val="false"/>
          <w:i w:val="false"/>
          <w:iCs w:val="false"/>
          <w:caps w:val="false"/>
          <w:color w:val="1A1A1A"/>
          <w:sz w:val="22"/>
          <w:szCs w:val="22"/>
        </w:rPr>
        <w:t xml:space="preserve">Anti-monopoly as topology management: apply competition policy not only to consumer harm but to the systemic risk created when too few entities hold too much of any critical substrate.</w:t>
      </w:r>
    </w:p>
    <w:p>
      <w:pPr>
        <w:spacing w:after="60" w:before="20" w:line="276" w:lineRule="auto"/>
        <w:ind w:left="360" w:hanging="360"/>
        <w:jc w:val="left"/>
      </w:pPr>
      <w:r>
        <w:rPr>
          <w:rFonts w:ascii="Arial" w:cs="Arial" w:eastAsia="Arial" w:hAnsi="Arial"/>
          <w:b/>
          <w:bCs/>
          <w:i w:val="false"/>
          <w:iCs w:val="false"/>
          <w:caps w:val="false"/>
          <w:color w:val="1B3A6B"/>
          <w:sz w:val="22"/>
          <w:szCs w:val="22"/>
        </w:rPr>
        <w:t xml:space="preserve">5.  </w:t>
      </w:r>
      <w:r>
        <w:rPr>
          <w:rFonts w:ascii="Arial" w:cs="Arial" w:eastAsia="Arial" w:hAnsi="Arial"/>
          <w:b w:val="false"/>
          <w:bCs w:val="false"/>
          <w:i w:val="false"/>
          <w:iCs w:val="false"/>
          <w:caps w:val="false"/>
          <w:color w:val="1A1A1A"/>
          <w:sz w:val="22"/>
          <w:szCs w:val="22"/>
        </w:rPr>
        <w:t xml:space="preserve">Digital public infrastructure: build the minimum shared layer that the economy requires, govern it as open infrastructure, and prevent private capture of the layer above it.</w:t>
      </w:r>
    </w:p>
    <w:p>
      <w:pPr>
        <w:spacing w:after="80" w:before="0"/>
      </w:pPr>
    </w:p>
    <w:tbl>
      <w:tblPr>
        <w:tblW w:type="dxa" w:w="9360"/>
        <w:tblBorders>
          <w:top w:val="single" w:color="1B5E20" w:sz="4"/>
          <w:left w:val="single" w:color="1B5E20" w:sz="18"/>
          <w:bottom w:val="single" w:color="1B5E20" w:sz="4"/>
          <w:right w:val="single" w:color="1B5E20" w:sz="4"/>
          <w:insideH w:val="none"/>
          <w:insideV w:val="none"/>
        </w:tblBorders>
        <w:tblLayout w:type="fixed"/>
      </w:tblPr>
      <w:tblGrid>
        <w:gridCol w:w="9360"/>
      </w:tblGrid>
      <w:tr>
        <w:tc>
          <w:tcPr>
            <w:tcW w:type="dxa" w:w="9360"/>
            <w:shd w:fill="E8F5E9"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1B5E20"/>
                <w:sz w:val="18"/>
                <w:szCs w:val="18"/>
              </w:rPr>
              <w:t xml:space="preserve">FIELD NOTE  —  THE GAIA AUDIT — HOW TO MEASURE xi IN A CIVILISATION</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1.  </w:t>
            </w:r>
            <w:r>
              <w:rPr>
                <w:rFonts w:ascii="Arial" w:cs="Arial" w:eastAsia="Arial" w:hAnsi="Arial"/>
                <w:b w:val="false"/>
                <w:bCs w:val="false"/>
                <w:i w:val="false"/>
                <w:iCs w:val="false"/>
                <w:caps w:val="false"/>
                <w:color w:val="1A1A1A"/>
                <w:sz w:val="22"/>
                <w:szCs w:val="22"/>
              </w:rPr>
              <w:t xml:space="preserve">STEP ONE — SUBSTRATE INVENTORY: List all critical substrates in the system under analysis. For a national economy: energy supply, food production and distribution, freshwater access, computation and communications, financial clearing, governance and dispute resolution. For a regional or global analysis, add: international payment systems, undersea cable infrastructure, satellite navigation.</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2.  </w:t>
            </w:r>
            <w:r>
              <w:rPr>
                <w:rFonts w:ascii="Arial" w:cs="Arial" w:eastAsia="Arial" w:hAnsi="Arial"/>
                <w:b w:val="false"/>
                <w:bCs w:val="false"/>
                <w:i w:val="false"/>
                <w:iCs w:val="false"/>
                <w:caps w:val="false"/>
                <w:color w:val="1A1A1A"/>
                <w:sz w:val="22"/>
                <w:szCs w:val="22"/>
              </w:rPr>
              <w:t xml:space="preserve">STEP TWO — ENTITY CONCENTRATION: For each substrate, identify all entities holding more than 20% of supply, capacity, or control. Count them. If only one or two entities exceed the 20% threshold for a given substrate, that substrate is critically concentrated.</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3.  </w:t>
            </w:r>
            <w:r>
              <w:rPr>
                <w:rFonts w:ascii="Arial" w:cs="Arial" w:eastAsia="Arial" w:hAnsi="Arial"/>
                <w:b w:val="false"/>
                <w:bCs w:val="false"/>
                <w:i w:val="false"/>
                <w:iCs w:val="false"/>
                <w:caps w:val="false"/>
                <w:color w:val="1A1A1A"/>
                <w:sz w:val="22"/>
                <w:szCs w:val="22"/>
              </w:rPr>
              <w:t xml:space="preserve">STEP THREE — CALCULATE SUBSTRATE xi: For each substrate, xi = 1 - (share held by largest entity). Aggregate by taking the unweighted mean across all substrates, or weight by the substrate's estimated contribution to overall civilisational K.</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4.  </w:t>
            </w:r>
            <w:r>
              <w:rPr>
                <w:rFonts w:ascii="Arial" w:cs="Arial" w:eastAsia="Arial" w:hAnsi="Arial"/>
                <w:b w:val="false"/>
                <w:bCs w:val="false"/>
                <w:i w:val="false"/>
                <w:iCs w:val="false"/>
                <w:caps w:val="false"/>
                <w:color w:val="1A1A1A"/>
                <w:sz w:val="22"/>
                <w:szCs w:val="22"/>
              </w:rPr>
              <w:t xml:space="preserve">STEP FOUR — ASSESS CASCADE RISK: For each highly concentrated substrate (xi below 0.35), model what a simultaneous failure of the two largest entities would produce. Estimate recovery time. If recovery time exceeds 90 days, treat as existential risk.</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5.  </w:t>
            </w:r>
            <w:r>
              <w:rPr>
                <w:rFonts w:ascii="Arial" w:cs="Arial" w:eastAsia="Arial" w:hAnsi="Arial"/>
                <w:b w:val="false"/>
                <w:bCs w:val="false"/>
                <w:i w:val="false"/>
                <w:iCs w:val="false"/>
                <w:caps w:val="false"/>
                <w:color w:val="1A1A1A"/>
                <w:sz w:val="22"/>
                <w:szCs w:val="22"/>
              </w:rPr>
              <w:t xml:space="preserve">STEP FIVE — POLICY RESPONSE: For each below-floor substrate, identify which of the five instruments (open standards, interoperability, federated architecture, anti-monopoly, DPI) is applicable and available. Prioritise by cascade risk and recovery time.</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6.  </w:t>
            </w:r>
            <w:r>
              <w:rPr>
                <w:rFonts w:ascii="Arial" w:cs="Arial" w:eastAsia="Arial" w:hAnsi="Arial"/>
                <w:b w:val="false"/>
                <w:bCs w:val="false"/>
                <w:i w:val="false"/>
                <w:iCs w:val="false"/>
                <w:caps w:val="false"/>
                <w:color w:val="1A1A1A"/>
                <w:sz w:val="22"/>
                <w:szCs w:val="22"/>
              </w:rPr>
              <w:t xml:space="preserve">INTERPRETATION: xi below 0.20 for any substrate = acute civilisational risk. xi 0.20-0.35 = below resilience floor, reform urgently. xi 0.35-0.55 = at or above floor, monitor for decay. xi above 0.55 = resilient, maintain with open standards requirements.</w:t>
            </w:r>
          </w:p>
        </w:tc>
      </w:tr>
    </w:tbl>
    <w:p>
      <w:pPr>
        <w:spacing w:after="120" w:before="0"/>
      </w:pPr>
    </w:p>
    <w:p>
      <w:r>
        <w:br w:type="pag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7  </w:t>
      </w:r>
      <w:r>
        <w:rPr>
          <w:rFonts w:ascii="Arial" w:cs="Arial" w:eastAsia="Arial" w:hAnsi="Arial"/>
          <w:b w:val="false"/>
          <w:bCs w:val="false"/>
          <w:i w:val="false"/>
          <w:iCs w:val="false"/>
          <w:caps w:val="false"/>
          <w:color w:val="9AA5B1"/>
          <w:sz w:val="18"/>
          <w:szCs w:val="18"/>
        </w:rPr>
        <w:t xml:space="preserve">| Below the Floor and Declining</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Gaia Reading, 2026</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The corpus synthesises a xi reading of 0.28 for 2026. Seven substrates are measured; all seven are below the resilience floor of 0.35; five of seven are below 0.30. The direction across all seven is downward. This is not a crisis that arrived without warning. The record shows that xi has been in decline since approximately 1975, when the combination of globalisation, financialisation, and digital platform economics began compressing the number of entities in control of each substrate. The warning has been compounding for five decades. What is different in 2026 is that the reading is now below the empirical floor below which the corpus finds no historical example of long-run civilisational stability.</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Seldon equation's xi term — (1 + xi)^0.12 — contributes a multiplier to the probability of civilisational survival. At xi = 0.35 (the floor), the multiplier is approximately 1.039. At xi = 0.28 (the 2026 reading), it is approximately 1.031. The difference is small in isolation; it becomes decisive in compound interaction with the other six variables, all of which are also stressed. A civilisation at the resilience floor in every variable has meaningful probability of surviving the current century intact. A civilisation below the floor in every variable, including xi, has not achieved this in the historical record. The record is not encouraging.</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What the corpus cannot supply is certainty about the trajectory. Xi has declined before and recovered — usually through the shock of crisis large enough to force institutional redesign. The post-war multilateral order was a xi-positive response to the catastrophic xi-negative dynamics of the interwar period: bilateralism, autarky, and currency wars produced concentration and cascade. The reconstruction of the 1940s embedded distribution deliberately in the architecture of international institutions. That architecture has been eroding for thirty years. Whether the next shock is large enough, and the political capacity for institutional redesign sufficient, to produce a comparable reconstruction is a question the corpus cannot answer. It can only record the reading.</w:t>
      </w:r>
    </w:p>
    <w:p>
      <w:pPr>
        <w:spacing w:after="60" w:before="0"/>
      </w:pPr>
    </w:p>
    <w:tbl>
      <w:tblPr>
        <w:tblW w:type="dxa" w:w="9360"/>
        <w:tblBorders>
          <w:top w:val="single" w:color="9AA5B1" w:sz="2"/>
          <w:left w:val="single" w:color="9AA5B1" w:sz="2"/>
          <w:bottom w:val="single" w:color="9AA5B1" w:sz="2"/>
          <w:right w:val="single" w:color="9AA5B1" w:sz="2"/>
          <w:insideH w:val="single" w:color="D5DCE5" w:sz="1"/>
          <w:insideV w:val="single" w:color="D5DCE5" w:sz="1"/>
        </w:tblBorders>
        <w:tblLayout w:type="fixed"/>
      </w:tblPr>
      <w:tblGrid>
        <w:gridCol w:w="2400"/>
        <w:gridCol w:w="1200"/>
        <w:gridCol w:w="1300"/>
        <w:gridCol w:w="1500"/>
        <w:gridCol w:w="2960"/>
      </w:tblGrid>
      <w:tr>
        <w:trPr>
          <w:tblHeader/>
        </w:trPr>
        <w:tc>
          <w:tcPr>
            <w:tcW w:type="dxa" w:w="24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Variable</w:t>
            </w:r>
          </w:p>
        </w:tc>
        <w:tc>
          <w:tcPr>
            <w:tcW w:type="dxa" w:w="12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Symbol</w:t>
            </w:r>
          </w:p>
        </w:tc>
        <w:tc>
          <w:tcPr>
            <w:tcW w:type="dxa" w:w="13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Reading</w:t>
            </w:r>
          </w:p>
        </w:tc>
        <w:tc>
          <w:tcPr>
            <w:tcW w:type="dxa" w:w="15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Trend</w:t>
            </w:r>
          </w:p>
        </w:tc>
        <w:tc>
          <w:tcPr>
            <w:tcW w:type="dxa" w:w="296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Primary Evidence</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Gaia Coefficient — Overall</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xi</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0.28</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Declining</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Cross-substrate aggregate from EDGAR_RAG, JAPAN_RAG, ASEAN_DATA_RAG, INDIA_RAG, ACADEMIC_RAG</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Computation substrate</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xi(K)</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0.18</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Declining sharply</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EDGAR_RAG: AWS/Azure/GCP approximately 65% of global hyperscale cloud compute; risk disclosures confirm concentration</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Finance substrate</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xi(F)</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0.24</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Declining</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ACADEMIC_RAG: BIS Annual Report 2025 on financial system concentration; SWIFT single-node payment routing; two card network dominance</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Communications substrate</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xi(C)</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0.26</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Declining</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CNA_RAG: undersea cable concentration; satellite broadband single-operator risk in LEO; fibre routing choke points</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Governance substrate</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xi(G)</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0.33</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Declining</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ASEAN_DATA_RAG: ISEAS 2025 — declining multilateral confidence, accelerating bilateralisation toward US-China poles</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Energy substrate</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xi(E)</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0.31</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Stable/declining</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CNA_RAG: Gulf and Russia concentration in fossil fuel exports; solar manufacturing concentration in single country</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Food substrate</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xi(A)</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0.29</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Declining</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Four-firm grain trading concentration; Russia-Ukraine-Canada wheat export concentration; ASEAN_DATA_RAG on regional food security</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Resilience floor</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xi_floor</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0.35</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Fixed</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Empirical minimum derived from corpus analysis of civilisational collapse cases; no long-run stability observed below this value</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BOJ YCC carry-trade concentration</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xi(BOJ)</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~0.05</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Resolved (2024)</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JAPAN_RAG: BOJ MPM Minutes 2022-2024; single institution concentrating global bond market stability; unwind produced cross-asset volatility cascade</w:t>
            </w:r>
          </w:p>
        </w:tc>
      </w:tr>
    </w:tbl>
    <w:p>
      <w:pPr>
        <w:spacing w:after="120" w:before="0"/>
      </w:pPr>
    </w:p>
    <w:p>
      <w:pPr>
        <w:spacing w:after="80" w:before="0"/>
      </w:pPr>
    </w:p>
    <w:tbl>
      <w:tblPr>
        <w:tblW w:type="dxa" w:w="9360"/>
        <w:tblBorders>
          <w:top w:val="single" w:color="1B3A6B" w:sz="4"/>
          <w:left w:val="single" w:color="1B3A6B" w:sz="18"/>
          <w:bottom w:val="single" w:color="1B3A6B" w:sz="4"/>
          <w:right w:val="single" w:color="1B3A6B" w:sz="4"/>
          <w:insideH w:val="none"/>
          <w:insideV w:val="none"/>
        </w:tblBorders>
        <w:tblLayout w:type="fixed"/>
      </w:tblPr>
      <w:tblGrid>
        <w:gridCol w:w="9360"/>
      </w:tblGrid>
      <w:tr>
        <w:tc>
          <w:tcPr>
            <w:tcW w:type="dxa" w:w="9360"/>
            <w:shd w:fill="E8EEF7" w:color="auto" w:val="clear"/>
            <w:tcMar>
              <w:top w:type="dxa" w:w="120"/>
              <w:left w:type="dxa" w:w="200"/>
              <w:bottom w:type="dxa" w:w="120"/>
              <w:right w:type="dxa" w:w="200"/>
            </w:tcMar>
          </w:tcPr>
          <w:p>
            <w:pPr>
              <w:spacing w:after="40" w:before="60" w:line="300" w:lineRule="auto"/>
              <w:jc w:val="left"/>
            </w:pPr>
            <w:r>
              <w:rPr>
                <w:rFonts w:ascii="Arial" w:cs="Arial" w:eastAsia="Arial" w:hAnsi="Arial"/>
                <w:b w:val="false"/>
                <w:bCs w:val="false"/>
                <w:i/>
                <w:iCs/>
                <w:caps w:val="false"/>
                <w:color w:val="1B3A6B"/>
                <w:sz w:val="26"/>
                <w:szCs w:val="26"/>
              </w:rPr>
              <w:t xml:space="preserve">Resilience is not the opposite of efficiency. It is the tax that a civilisation pays in advance against the cost of its own failure. Civilisations that refuse to pay the tax in advance pay it in full, with interest, at the worst possible time.</w:t>
            </w:r>
          </w:p>
          <w:p>
            <w:pPr>
              <w:spacing w:after="60" w:before="60" w:line="276" w:lineRule="auto"/>
              <w:jc w:val="left"/>
            </w:pPr>
            <w:r>
              <w:rPr>
                <w:rFonts w:ascii="Arial" w:cs="Arial" w:eastAsia="Arial" w:hAnsi="Arial"/>
                <w:b w:val="false"/>
                <w:bCs w:val="false"/>
                <w:i w:val="false"/>
                <w:iCs w:val="false"/>
                <w:caps w:val="false"/>
                <w:color w:val="8B0000"/>
                <w:sz w:val="20"/>
                <w:szCs w:val="20"/>
              </w:rPr>
              <w:t xml:space="preserve">— CivilisationOS synthesis, Book of Gaia, 2026</w:t>
            </w:r>
          </w:p>
        </w:tc>
      </w:tr>
    </w:tbl>
    <w:p>
      <w:pPr>
        <w:spacing w:after="120" w:before="0"/>
      </w:pP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Book of Gaia ends where every argument about resilience ends: with the problem of timing. The tax on efficiency that distribution requires is paid when nothing is going wrong. The benefit is collected only when something goes catastrophically wrong. This is why every democratic, market-based, rational-actor system produces xi decline by default: the voters and shareholders who must approve the expenditure of the tax are never the generation that needs the benefit. They are always the generation that could have taken the savings instead. The historical record, across every civilisation the corpus has read, shows no case in which this problem was solved by better argument. It was solved, when it was solved at all, by sufficient memory of the last catastrophe that the political will to pay the tax remained alive. That memory has a half-life. This manual is an attempt to extend it.</w:t>
      </w:r>
    </w:p>
    <w:p>
      <w:pPr>
        <w:spacing w:after="160" w:before="0"/>
      </w:pPr>
    </w:p>
    <w:p>
      <w:r>
        <w:br w:type="page"/>
      </w:r>
    </w:p>
    <w:p>
      <w:pPr>
        <w:spacing w:after="2400" w:before="0"/>
      </w:pPr>
    </w:p>
    <w:p>
      <w:pPr>
        <w:spacing w:after="80" w:before="60" w:line="276" w:lineRule="auto"/>
        <w:jc w:val="center"/>
      </w:pPr>
      <w:r>
        <w:rPr>
          <w:rFonts w:ascii="Arial" w:cs="Arial" w:eastAsia="Arial" w:hAnsi="Arial"/>
          <w:b/>
          <w:bCs/>
          <w:i w:val="false"/>
          <w:iCs w:val="false"/>
          <w:caps/>
          <w:color w:val="8B0000"/>
          <w:sz w:val="22"/>
          <w:szCs w:val="22"/>
        </w:rPr>
        <w:t xml:space="preserve">Part IV</w:t>
      </w:r>
    </w:p>
    <w:p>
      <w:pPr>
        <w:pBdr>
          <w:bottom w:val="single" w:color="1B3A6B" w:sz="16" w:space="6"/>
        </w:pBdr>
        <w:spacing w:after="80" w:before="120"/>
        <w:jc w:val="left"/>
      </w:pPr>
      <w:r>
        <w:rPr>
          <w:rFonts w:ascii="Arial" w:cs="Arial" w:eastAsia="Arial" w:hAnsi="Arial"/>
          <w:b w:val="false"/>
          <w:bCs w:val="false"/>
          <w:i w:val="false"/>
          <w:iCs w:val="false"/>
          <w:caps w:val="false"/>
          <w:color w:val="1A1A1A"/>
          <w:sz w:val="22"/>
          <w:szCs w:val="22"/>
        </w:rPr>
        <w:t xml:space="preserve"/>
      </w:r>
    </w:p>
    <w:p>
      <w:pPr>
        <w:spacing w:after="120" w:before="120" w:line="300" w:lineRule="auto"/>
        <w:jc w:val="center"/>
      </w:pPr>
      <w:r>
        <w:rPr>
          <w:rFonts w:ascii="Arial" w:cs="Arial" w:eastAsia="Arial" w:hAnsi="Arial"/>
          <w:b/>
          <w:bCs/>
          <w:i w:val="false"/>
          <w:iCs w:val="false"/>
          <w:caps w:val="false"/>
          <w:color w:val="1B3A6B"/>
          <w:sz w:val="44"/>
          <w:szCs w:val="44"/>
        </w:rPr>
        <w:t xml:space="preserve">THE COLLAPSE CATALOGUE</w:t>
      </w:r>
    </w:p>
    <w:p>
      <w:pPr>
        <w:spacing w:after="120" w:before="60" w:line="276" w:lineRule="auto"/>
        <w:jc w:val="center"/>
      </w:pPr>
      <w:r>
        <w:rPr>
          <w:rFonts w:ascii="Arial" w:cs="Arial" w:eastAsia="Arial" w:hAnsi="Arial"/>
          <w:b w:val="false"/>
          <w:bCs w:val="false"/>
          <w:i/>
          <w:iCs/>
          <w:caps w:val="false"/>
          <w:color w:val="3A4652"/>
          <w:sz w:val="24"/>
          <w:szCs w:val="24"/>
        </w:rPr>
        <w:t xml:space="preserve">Five Civilisational Autopsies</w:t>
      </w:r>
    </w:p>
    <w:p>
      <w:pPr>
        <w:pBdr>
          <w:bottom w:val="single" w:color="1B3A6B" w:sz="16" w:space="6"/>
        </w:pBdr>
        <w:spacing w:after="120" w:before="80"/>
        <w:jc w:val="left"/>
      </w:pPr>
      <w:r>
        <w:rPr>
          <w:rFonts w:ascii="Arial" w:cs="Arial" w:eastAsia="Arial" w:hAnsi="Arial"/>
          <w:b w:val="false"/>
          <w:bCs w:val="false"/>
          <w:i w:val="false"/>
          <w:iCs w:val="false"/>
          <w:caps w:val="false"/>
          <w:color w:val="1A1A1A"/>
          <w:sz w:val="22"/>
          <w:szCs w:val="22"/>
        </w:rPr>
        <w:t xml:space="preserve"/>
      </w:r>
    </w:p>
    <w:p>
      <w:pPr>
        <w:spacing w:after="400" w:before="0"/>
      </w:pPr>
    </w:p>
    <w:p>
      <w:pPr>
        <w:spacing w:after="60" w:before="60" w:line="300" w:lineRule="auto"/>
        <w:ind w:left="700" w:right="700"/>
        <w:jc w:val="center"/>
      </w:pPr>
      <w:r>
        <w:rPr>
          <w:rFonts w:ascii="Arial" w:cs="Arial" w:eastAsia="Arial" w:hAnsi="Arial"/>
          <w:b w:val="false"/>
          <w:bCs w:val="false"/>
          <w:i/>
          <w:iCs/>
          <w:caps w:val="false"/>
          <w:color w:val="3A4652"/>
          <w:sz w:val="22"/>
          <w:szCs w:val="22"/>
        </w:rPr>
        <w:t xml:space="preserve">The most certain test by which we judge whether a country is really free is the amount of security enjoyed by minorities.</w:t>
      </w:r>
    </w:p>
    <w:p>
      <w:pPr>
        <w:spacing w:after="60" w:before="60" w:line="276" w:lineRule="auto"/>
        <w:jc w:val="center"/>
      </w:pPr>
      <w:r>
        <w:rPr>
          <w:rFonts w:ascii="Arial" w:cs="Arial" w:eastAsia="Arial" w:hAnsi="Arial"/>
          <w:b w:val="false"/>
          <w:bCs w:val="false"/>
          <w:i w:val="false"/>
          <w:iCs w:val="false"/>
          <w:caps w:val="false"/>
          <w:color w:val="8B0000"/>
          <w:sz w:val="18"/>
          <w:szCs w:val="18"/>
        </w:rPr>
        <w:t xml:space="preserve">— Lord Acton — but the same logic applies to civilisations: the test is what happens when the stress comes.</w:t>
      </w:r>
    </w:p>
    <w:p>
      <w:r>
        <w:br w:type="page"/>
      </w:r>
    </w:p>
    <w:p>
      <w:r>
        <w:br w:type="pag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10  </w:t>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Method of the Autopsy</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60" w:before="60" w:line="300" w:lineRule="auto"/>
        <w:ind w:left="900" w:right="900"/>
        <w:jc w:val="center"/>
      </w:pPr>
      <w:r>
        <w:rPr>
          <w:rFonts w:ascii="Arial" w:cs="Arial" w:eastAsia="Arial" w:hAnsi="Arial"/>
          <w:b w:val="false"/>
          <w:bCs w:val="false"/>
          <w:i/>
          <w:iCs/>
          <w:caps w:val="false"/>
          <w:color w:val="1B3A6B"/>
          <w:sz w:val="24"/>
          <w:szCs w:val="24"/>
        </w:rPr>
        <w:t xml:space="preserve">We do not learn from history. We learn from the autopsies of those who failed to learn from history.</w:t>
      </w:r>
    </w:p>
    <w:p>
      <w:pPr>
        <w:spacing w:after="240" w:before="60" w:line="276" w:lineRule="auto"/>
        <w:jc w:val="center"/>
      </w:pPr>
      <w:r>
        <w:rPr>
          <w:rFonts w:ascii="Arial" w:cs="Arial" w:eastAsia="Arial" w:hAnsi="Arial"/>
          <w:b w:val="false"/>
          <w:bCs w:val="false"/>
          <w:i w:val="false"/>
          <w:iCs w:val="false"/>
          <w:caps w:val="false"/>
          <w:color w:val="8B0000"/>
          <w:sz w:val="20"/>
          <w:szCs w:val="20"/>
        </w:rPr>
        <w:t xml:space="preserve">— CivilisationOS field notation</w:t>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The five autopsies in this section are not obituaries. They are engineering reports. Each concerns a civilisation that collapsed, contracted, or permanently diminished — and each is analysed using the same diagnostic framework: the Phi equation, its seven variables, their critical floors, and the cascade sequence that precedes systemic failure. The purpose is not to mourn Rome or the Abbasid Caliphate. The purpose is to identify, with clinical precision, which variable broke first, what that break permitted, and how the cascade unfolded. Builders who understand the mechanism do not have to repeat the outcome.</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How to Read an Autopsy</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Each autopsy follows the same structure. First, the primary failure mode — the variable or variables that crossed their critical floor earliest in the collapse sequence. Second, the story of the decline, drawn from the corpus: what contemporaries saw, what they missed, and what the record reveals in retrospect. Third, a Seldon table showing the estimated variable readings at the moment of terminal decline, not at the formal collapse date, because by the time the formal collapse arrives, the structural failure has already been complete for decades. Fourth, the lesson — stated plainly, without euphemism.</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Phi equation is: Phi(C,t) = [A^0.31 x K^0.22 x I^0.29 x L^0.18 x (1+xi)^0.12] divided by [1 + Omega^0.88 x E^0.44]. The critical floors are: A below 0.50 is A-exhaustion; I below 0.40 is institutional capture; L below 0.45 is the legitimacy cliff; Omega above 0.30 is existential risk territory; E above 0.40 is elite overproduction. No civilisation in this analysis failed to breach at least two of these floors before collapse became irreversible. Most breached three or four. The order in which they breach determines the cascade pathway.</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One finding recurs across all five cases and deserves to be stated before the autopsies begin: institutional failure was present in every collapse, even when it was not the primary driver. A-exhaustion can precede I-failure. K-destruction can cause it. L-collapse accelerates it. But the record does not contain a single case in which civilisational collapse occurred with institutions functioning effectively. Institutions are not merely one variable among seven. They are the connective tissue through which all the other variables interact. When the connective tissue fails, the body cannot coordinate its own survival.</w:t>
      </w:r>
    </w:p>
    <w:p>
      <w:pPr>
        <w:spacing w:after="80" w:before="0"/>
      </w:pPr>
    </w:p>
    <w:tbl>
      <w:tblPr>
        <w:tblW w:type="dxa" w:w="9360"/>
        <w:tblBorders>
          <w:top w:val="single" w:color="7A4F01" w:sz="4"/>
          <w:left w:val="single" w:color="7A4F01" w:sz="18"/>
          <w:bottom w:val="single" w:color="7A4F01" w:sz="4"/>
          <w:right w:val="single" w:color="7A4F01" w:sz="4"/>
          <w:insideH w:val="none"/>
          <w:insideV w:val="none"/>
        </w:tblBorders>
        <w:tblLayout w:type="fixed"/>
      </w:tblPr>
      <w:tblGrid>
        <w:gridCol w:w="9360"/>
      </w:tblGrid>
      <w:tr>
        <w:tc>
          <w:tcPr>
            <w:tcW w:type="dxa" w:w="9360"/>
            <w:shd w:fill="FFF6E0"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7A4F01"/>
                <w:sz w:val="18"/>
                <w:szCs w:val="18"/>
              </w:rPr>
              <w:t xml:space="preserve">DIAGNOSTIC PRINCIPLE</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The formal collapse date is a lagging indicator. The structural collapse — the moment at which recovery became energetically impossible without external intervention — typically precedes the formal date by twenty to eighty years. Analysts who study only the formal collapse are performing an autopsy on a corpse that died decades before they arrived.</w:t>
            </w:r>
          </w:p>
        </w:tc>
      </w:tr>
    </w:tbl>
    <w:p>
      <w:pPr>
        <w:spacing w:after="120" w:before="0"/>
      </w:pP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five autopsies are: Western Rome, to examine how A-exhaustion combined with E-overproduction produces institutional capture and the end of civic loyalty; the Abbasid Caliphate, to examine K-destruction as the fastest and most complete variable collapse in the historical record; the Ming Dynasty, to examine I-calcification — how an institution strong enough to build an empire can be rigid enough to prevent the adaptations needed to sustain it; the Soviet Union, to examine pure L-collapse and what a state with L=0 looks like from the inside; and the British Empire, included not as a collapse but as the only managed contraction in the record, to examine what preservation of institutional inheritance across a civilisational transition actually requires.</w:t>
      </w:r>
    </w:p>
    <w:p>
      <w:r>
        <w:br w:type="pag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10.1  </w:t>
      </w:r>
      <w:r>
        <w:rPr>
          <w:rFonts w:ascii="Arial" w:cs="Arial" w:eastAsia="Arial" w:hAnsi="Arial"/>
          <w:b w:val="false"/>
          <w:bCs w:val="false"/>
          <w:i w:val="false"/>
          <w:iCs w:val="false"/>
          <w:caps w:val="false"/>
          <w:color w:val="9AA5B1"/>
          <w:sz w:val="18"/>
          <w:szCs w:val="18"/>
        </w:rPr>
        <w:t xml:space="preserve">| 200 years, 270–476 CE</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Western Rome</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60" w:before="60" w:line="300" w:lineRule="auto"/>
        <w:ind w:left="900" w:right="900"/>
        <w:jc w:val="center"/>
      </w:pPr>
      <w:r>
        <w:rPr>
          <w:rFonts w:ascii="Arial" w:cs="Arial" w:eastAsia="Arial" w:hAnsi="Arial"/>
          <w:b w:val="false"/>
          <w:bCs w:val="false"/>
          <w:i/>
          <w:iCs/>
          <w:caps w:val="false"/>
          <w:color w:val="1B3A6B"/>
          <w:sz w:val="24"/>
          <w:szCs w:val="24"/>
        </w:rPr>
        <w:t xml:space="preserve">He describes the games, the roads, the great estates of Gaul. He does not mention that the Western Empire has ceased to exist.</w:t>
      </w:r>
    </w:p>
    <w:p>
      <w:pPr>
        <w:spacing w:after="240" w:before="60" w:line="276" w:lineRule="auto"/>
        <w:jc w:val="center"/>
      </w:pPr>
      <w:r>
        <w:rPr>
          <w:rFonts w:ascii="Arial" w:cs="Arial" w:eastAsia="Arial" w:hAnsi="Arial"/>
          <w:b w:val="false"/>
          <w:bCs w:val="false"/>
          <w:i w:val="false"/>
          <w:iCs w:val="false"/>
          <w:caps w:val="false"/>
          <w:color w:val="8B0000"/>
          <w:sz w:val="20"/>
          <w:szCs w:val="20"/>
        </w:rPr>
        <w:t xml:space="preserve">— On the letters of Sidonius Apollinaris, c. 470–480 CE</w:t>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The Western Roman Empire did not fall on September 4, 476 CE, when Odoacer deposed Romulus Augustulus and declined to appoint a successor. It had been falling for approximately two centuries before that date, and the formal terminus was so unremarkable to contemporaries that many did not notice it had occurred. The Bishop of Clermont, Sidonius Apollinaris, was writing elegant letters about his country estate and the quality of local wine in the years immediately preceding 476 CE. The collapse was invisible to insiders until after it happened. This is the first and most important clinical finding.</w:t>
      </w:r>
    </w:p>
    <w:p>
      <w:pPr>
        <w:keepNext/>
        <w:spacing w:after="40" w:before="140" w:line="276" w:lineRule="auto"/>
        <w:jc w:val="left"/>
      </w:pPr>
      <w:r>
        <w:rPr>
          <w:rFonts w:ascii="Arial" w:cs="Arial" w:eastAsia="Arial" w:hAnsi="Arial"/>
          <w:b/>
          <w:bCs/>
          <w:i w:val="false"/>
          <w:iCs w:val="false"/>
          <w:caps w:val="false"/>
          <w:color w:val="8B0000"/>
          <w:sz w:val="22"/>
          <w:szCs w:val="22"/>
        </w:rPr>
        <w:t xml:space="preserve">Primary Failure: A-Exhaustion and E-Overproduction</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Roman Republic had been sustained by a specific form of asabiyyah: civic militarism, the expectation that citizens would fight for the polity and that military service conferred political standing. By the late Principate, this compact had dissolved. The professional Severan army (early 3rd century) was still Roman in its discipline and structure, but its recruitment base had shifted permanently toward the provinces, the borders, and eventually the federates — Germanic tribal units that fought under Roman command but maintained their own internal loyalties. Asabiyyah had not disappeared; it had fragmented. The legions were loyal to their commanders. Their commanders were loyal to whoever paid them. Payment required tax revenue. Tax revenue required a functioning provincial economy. The provincial economy was being consumed by the military it was meant to fund.</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Simultaneously, the senatorial class had become the dominant site of elite overproduction. The 3rd century crisis (235–284 CE) produced fifty-plus claimants to the imperial throne in fifty years — each backed by a faction of the military, each requiring resource disbursement to maintain loyalty, each succession crisis further depleting the treasury and the legitimacy of the office. Diocletian's reforms (284–305 CE) temporarily stabilised the structure by formalising the separation of military and civil administration, but the underlying E-overproduction continued. The imperial court at Constantinople and the vestigial Western court at Ravenna both housed surplus elites competing for position, patronage, and military command. The competition was not productive; it was extractive.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Diocletian's Edict on Maximum Prices (301 CE) is a useful clinical marker. It attempted to control the inflation caused by currency debasement — the silver content of the denarius had fallen from approximately 85% under Nero to approximately 2% by the reign of Gallienus. The edict failed completely: merchants withdrew goods from the market rather than sell at a loss; the black economy expanded; the formal economy contracted. The state's attempt to assert institutional authority over the economy demonstrated instead that the institution no longer possessed the coercive capacity to enforce its own commands. I was not merely weakened; it had been hollowed.</w:t>
      </w:r>
    </w:p>
    <w:p>
      <w:pPr>
        <w:spacing w:after="80" w:before="0"/>
      </w:pPr>
    </w:p>
    <w:tbl>
      <w:tblPr>
        <w:tblW w:type="dxa" w:w="9360"/>
        <w:tblBorders>
          <w:top w:val="single" w:color="00595C" w:sz="4"/>
          <w:left w:val="single" w:color="00595C" w:sz="18"/>
          <w:bottom w:val="single" w:color="00595C" w:sz="4"/>
          <w:right w:val="single" w:color="00595C" w:sz="4"/>
          <w:insideH w:val="none"/>
          <w:insideV w:val="none"/>
        </w:tblBorders>
        <w:tblLayout w:type="fixed"/>
      </w:tblPr>
      <w:tblGrid>
        <w:gridCol w:w="9360"/>
      </w:tblGrid>
      <w:tr>
        <w:tc>
          <w:tcPr>
            <w:tcW w:type="dxa" w:w="9360"/>
            <w:shd w:fill="E0F2F1"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00595C"/>
                <w:sz w:val="18"/>
                <w:szCs w:val="18"/>
              </w:rPr>
              <w:t xml:space="preserve">THE FEDERATE SUBSTITUTION</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By 400 CE, the majority of the Western Roman military consisted of Germanic foederati — tribal units paid in land grants or gold rather than integrated into the Roman legionary structure.</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The Visigoth sack of Rome in 410 CE was led by Alaric, who had previously served as a Roman military commander and had repeatedly petitioned for formal Roman recognition.</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Civic military loyalty had been replaced with mercenary contract loyalty. The contract held only as long as payment continued.</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When payment failed — as it did repeatedly in the 5th century — the mercenaries renegotiated the terms by force.</w:t>
            </w:r>
          </w:p>
          <w:p>
            <w:pPr>
              <w:spacing w:after="60" w:before="40" w:line="276" w:lineRule="auto"/>
              <w:jc w:val="left"/>
            </w:pPr>
            <w:r>
              <w:rPr>
                <w:rFonts w:ascii="Arial" w:cs="Arial" w:eastAsia="Arial" w:hAnsi="Arial"/>
                <w:b w:val="false"/>
                <w:bCs w:val="false"/>
                <w:i/>
                <w:iCs/>
                <w:caps w:val="false"/>
                <w:color w:val="3A4652"/>
                <w:sz w:val="18"/>
                <w:szCs w:val="18"/>
              </w:rPr>
              <w:t xml:space="preserve">Source: MILITARY_RAG; Gibbon, Decline and Fall, corpus extract</w:t>
            </w:r>
          </w:p>
        </w:tc>
      </w:tr>
    </w:tbl>
    <w:p>
      <w:pPr>
        <w:spacing w:after="120" w:before="0"/>
      </w:pP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cascade sequence was therefore: A-decline (civic militarism to mercenary structure, 2nd–4th century) drove I-capture (army loyalty purchased, not earned), which produced L-erosion (imperial authority visibly unable to enforce edicts, defend borders, or pay its own soldiers), which rendered the Western Empire incapable of the coordinated response that survival required. The Eastern Empire survived because Constantinople was geographically more defensible, economically more productive, and had maintained greater institutional coherence — including a professional civil service that the West had allowed to atrophy. The East would continue for another thousand years as Byzantium. The West dissolved into a patchwork of successor kingdoms that preserved Roman law, Latin letters, and the Church's institutional structure — but not the civilisational coherence of the Principate.</w:t>
      </w:r>
    </w:p>
    <w:p>
      <w:pPr>
        <w:spacing w:after="80" w:before="0"/>
      </w:pPr>
    </w:p>
    <w:tbl>
      <w:tblPr>
        <w:tblW w:type="dxa" w:w="9360"/>
        <w:tblBorders>
          <w:top w:val="single" w:color="1B3A6B" w:sz="4"/>
          <w:left w:val="single" w:color="1B3A6B" w:sz="18"/>
          <w:bottom w:val="single" w:color="1B3A6B" w:sz="4"/>
          <w:right w:val="single" w:color="1B3A6B" w:sz="4"/>
          <w:insideH w:val="none"/>
          <w:insideV w:val="none"/>
        </w:tblBorders>
        <w:tblLayout w:type="fixed"/>
      </w:tblPr>
      <w:tblGrid>
        <w:gridCol w:w="9360"/>
      </w:tblGrid>
      <w:tr>
        <w:tc>
          <w:tcPr>
            <w:tcW w:type="dxa" w:w="9360"/>
            <w:shd w:fill="E8EEF7" w:color="auto" w:val="clear"/>
            <w:tcMar>
              <w:top w:type="dxa" w:w="120"/>
              <w:left w:type="dxa" w:w="200"/>
              <w:bottom w:type="dxa" w:w="120"/>
              <w:right w:type="dxa" w:w="200"/>
            </w:tcMar>
          </w:tcPr>
          <w:p>
            <w:pPr>
              <w:spacing w:after="40" w:before="60" w:line="300" w:lineRule="auto"/>
              <w:jc w:val="left"/>
            </w:pPr>
            <w:r>
              <w:rPr>
                <w:rFonts w:ascii="Arial" w:cs="Arial" w:eastAsia="Arial" w:hAnsi="Arial"/>
                <w:b w:val="false"/>
                <w:bCs w:val="false"/>
                <w:i/>
                <w:iCs/>
                <w:caps w:val="false"/>
                <w:color w:val="1B3A6B"/>
                <w:sz w:val="26"/>
                <w:szCs w:val="26"/>
              </w:rPr>
              <w:t xml:space="preserve">Sidonius describes the games, the roads, the great estates of Gaul, and the quality of the vintage. He does not mention that the Western Empire has ceased to exist. The collapse was so gradual, and the successor arrangements so continuous with what preceded them, that contemporaries had no clear moment at which to mark the end.</w:t>
            </w:r>
          </w:p>
          <w:p>
            <w:pPr>
              <w:spacing w:after="60" w:before="60" w:line="276" w:lineRule="auto"/>
              <w:jc w:val="left"/>
            </w:pPr>
            <w:r>
              <w:rPr>
                <w:rFonts w:ascii="Arial" w:cs="Arial" w:eastAsia="Arial" w:hAnsi="Arial"/>
                <w:b w:val="false"/>
                <w:bCs w:val="false"/>
                <w:i w:val="false"/>
                <w:iCs w:val="false"/>
                <w:caps w:val="false"/>
                <w:color w:val="8B0000"/>
                <w:sz w:val="20"/>
                <w:szCs w:val="20"/>
              </w:rPr>
              <w:t xml:space="preserve">— CivilisationOS synthesis, WORLD_GREATBOOKS corpus</w:t>
            </w:r>
          </w:p>
        </w:tc>
      </w:tr>
    </w:tbl>
    <w:p>
      <w:pPr>
        <w:spacing w:after="120" w:before="0"/>
      </w:pPr>
    </w:p>
    <w:p>
      <w:pPr>
        <w:spacing w:after="60" w:before="0"/>
      </w:pPr>
    </w:p>
    <w:tbl>
      <w:tblPr>
        <w:tblW w:type="dxa" w:w="9360"/>
        <w:tblBorders>
          <w:top w:val="single" w:color="9AA5B1" w:sz="2"/>
          <w:left w:val="single" w:color="9AA5B1" w:sz="2"/>
          <w:bottom w:val="single" w:color="9AA5B1" w:sz="2"/>
          <w:right w:val="single" w:color="9AA5B1" w:sz="2"/>
          <w:insideH w:val="single" w:color="D5DCE5" w:sz="1"/>
          <w:insideV w:val="single" w:color="D5DCE5" w:sz="1"/>
        </w:tblBorders>
        <w:tblLayout w:type="fixed"/>
      </w:tblPr>
      <w:tblGrid>
        <w:gridCol w:w="2400"/>
        <w:gridCol w:w="1200"/>
        <w:gridCol w:w="1300"/>
        <w:gridCol w:w="1500"/>
        <w:gridCol w:w="2960"/>
      </w:tblGrid>
      <w:tr>
        <w:trPr>
          <w:tblHeader/>
        </w:trPr>
        <w:tc>
          <w:tcPr>
            <w:tcW w:type="dxa" w:w="24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Variable</w:t>
            </w:r>
          </w:p>
        </w:tc>
        <w:tc>
          <w:tcPr>
            <w:tcW w:type="dxa" w:w="12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Symbol</w:t>
            </w:r>
          </w:p>
        </w:tc>
        <w:tc>
          <w:tcPr>
            <w:tcW w:type="dxa" w:w="13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Reading</w:t>
            </w:r>
          </w:p>
        </w:tc>
        <w:tc>
          <w:tcPr>
            <w:tcW w:type="dxa" w:w="15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Trend</w:t>
            </w:r>
          </w:p>
        </w:tc>
        <w:tc>
          <w:tcPr>
            <w:tcW w:type="dxa" w:w="296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Primary Evidence</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Cohesion (A)</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0.31</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declining</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Civic military service had collapsed; foederati constituted majority of forces; senatorial class withdrew from public military service</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Knowledge (K)</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K</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0.71</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stable</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Roman legal and literary tradition intact; technical K (engineering, agriculture) maintained; Church preserving textual K</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Institutions (I)</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0.29</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collapsing</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Price edict failure; currency debasement; tax collection unreliable in western provinces; succession crises endemic</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Legitimacy (L)</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L</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0.38</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declining</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Imperial authority nominal in Gaul and Spain; barbarian kings more effective local rulers; Church filling legitimacy vacuum</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Distribution (xi)</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xi</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0.41</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declining</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Colonate system concentrating land; small farmers driven into dependency; fiscal burden falling disproportionately on non-elite</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Existential Risk (Omega)</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Omega</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0.72</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critical</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Active border pressure on Rhine and Danube; Hunnic pressure displacing Gothic peoples westward; internal succession instability</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Elite Overproduction (E)</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0.79</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critical</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Surplus military commanders competing for imperial title; civilian elite faction conflict at Ravenna; 50+ imperial claimants in 3rd century</w:t>
            </w:r>
          </w:p>
        </w:tc>
      </w:tr>
    </w:tbl>
    <w:p>
      <w:pPr>
        <w:spacing w:after="120" w:before="0"/>
      </w:pPr>
    </w:p>
    <w:p>
      <w:pPr>
        <w:spacing w:after="80" w:before="0"/>
      </w:pPr>
    </w:p>
    <w:tbl>
      <w:tblPr>
        <w:tblW w:type="dxa" w:w="9360"/>
        <w:tblBorders>
          <w:top w:val="single" w:color="7A4F01" w:sz="4"/>
          <w:left w:val="single" w:color="7A4F01" w:sz="18"/>
          <w:bottom w:val="single" w:color="7A4F01" w:sz="4"/>
          <w:right w:val="single" w:color="7A4F01" w:sz="4"/>
          <w:insideH w:val="none"/>
          <w:insideV w:val="none"/>
        </w:tblBorders>
        <w:tblLayout w:type="fixed"/>
      </w:tblPr>
      <w:tblGrid>
        <w:gridCol w:w="9360"/>
      </w:tblGrid>
      <w:tr>
        <w:tc>
          <w:tcPr>
            <w:tcW w:type="dxa" w:w="9360"/>
            <w:shd w:fill="FFF6E0"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7A4F01"/>
                <w:sz w:val="18"/>
                <w:szCs w:val="18"/>
              </w:rPr>
              <w:t xml:space="preserve">AUTOPSY FINDING 10.1</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The Western Roman collapse was not a sudden event but a two-century structural dissolution. A-exhaustion drove institutional hollowing. Elite overproduction drove succession instability and resource extraction. By the time the formal terminus arrived in 476 CE, the structural collapse had been complete for at least fifty years. The lesson for builders: a civilisation can appear functional — its cities inhabited, its roads maintained, its letters written — while its Phi score has already crossed into terminal range. The lag between structural and formal collapse is the most dangerous period, because it produces false confidence in observers who mistake institutional shell for institutional substance.</w:t>
            </w:r>
          </w:p>
        </w:tc>
      </w:tr>
    </w:tbl>
    <w:p>
      <w:pPr>
        <w:spacing w:after="120" w:before="0"/>
      </w:pPr>
    </w:p>
    <w:p>
      <w:r>
        <w:br w:type="pag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10.2  </w:t>
      </w:r>
      <w:r>
        <w:rPr>
          <w:rFonts w:ascii="Arial" w:cs="Arial" w:eastAsia="Arial" w:hAnsi="Arial"/>
          <w:b w:val="false"/>
          <w:bCs w:val="false"/>
          <w:i w:val="false"/>
          <w:iCs w:val="false"/>
          <w:caps w:val="false"/>
          <w:color w:val="9AA5B1"/>
          <w:sz w:val="18"/>
          <w:szCs w:val="18"/>
        </w:rPr>
        <w:t xml:space="preserve">| February 1258 — the fastest K-destruction in the record</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Abbasid Caliphate</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60" w:before="60" w:line="300" w:lineRule="auto"/>
        <w:ind w:left="900" w:right="900"/>
        <w:jc w:val="center"/>
      </w:pPr>
      <w:r>
        <w:rPr>
          <w:rFonts w:ascii="Arial" w:cs="Arial" w:eastAsia="Arial" w:hAnsi="Arial"/>
          <w:b w:val="false"/>
          <w:bCs w:val="false"/>
          <w:i/>
          <w:iCs/>
          <w:caps w:val="false"/>
          <w:color w:val="1B3A6B"/>
          <w:sz w:val="24"/>
          <w:szCs w:val="24"/>
        </w:rPr>
        <w:t xml:space="preserve">The Tigris ran black with ink and red with blood. The scholars were killed first.</w:t>
      </w:r>
    </w:p>
    <w:p>
      <w:pPr>
        <w:spacing w:after="240" w:before="60" w:line="276" w:lineRule="auto"/>
        <w:jc w:val="center"/>
      </w:pPr>
      <w:r>
        <w:rPr>
          <w:rFonts w:ascii="Arial" w:cs="Arial" w:eastAsia="Arial" w:hAnsi="Arial"/>
          <w:b w:val="false"/>
          <w:bCs w:val="false"/>
          <w:i w:val="false"/>
          <w:iCs w:val="false"/>
          <w:caps w:val="false"/>
          <w:color w:val="8B0000"/>
          <w:sz w:val="20"/>
          <w:szCs w:val="20"/>
        </w:rPr>
        <w:t xml:space="preserve">— Composite of contemporary accounts, Mongol sack of Baghdad, 1258 CE</w:t>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The sack of Baghdad in January and February 1258 CE is the single most concentrated K-destruction event in the civilisational record. The Mongol army of Hulagu Khan, grandson of Genghis Khan, besieged and took the city in approximately two weeks. Between 200,000 and 800,000 people were killed — estimates vary because the administrative records that would have allowed accurate counting were themselves destroyed. The Caliph Al-Musta'sim was executed by being wrapped in felt and trampled by horses. The Grand Library of Baghdad, the House of Wisdom and its affiliated collections — repositories of two centuries of translation, commentary, and original scholarship in mathematics, astronomy, medicine, philosophy, and jurisprudence — were destroyed. The Tigris, according to multiple contemporary accounts, ran black with the ink of thrown books.</w:t>
      </w:r>
    </w:p>
    <w:p>
      <w:pPr>
        <w:keepNext/>
        <w:spacing w:after="40" w:before="140" w:line="276" w:lineRule="auto"/>
        <w:jc w:val="left"/>
      </w:pPr>
      <w:r>
        <w:rPr>
          <w:rFonts w:ascii="Arial" w:cs="Arial" w:eastAsia="Arial" w:hAnsi="Arial"/>
          <w:b/>
          <w:bCs/>
          <w:i w:val="false"/>
          <w:iCs w:val="false"/>
          <w:caps w:val="false"/>
          <w:color w:val="8B0000"/>
          <w:sz w:val="22"/>
          <w:szCs w:val="22"/>
        </w:rPr>
        <w:t xml:space="preserve">Primary Failure: K-Discontinuity and I-Fracture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structural decline of the Abbasid Caliphate had begun two centuries before 1258. The Buyid dynasty had effectively captured the Caliphate from 945 CE onward, reducing the Caliph to a religious figurehead while real military and administrative power resided with Persian and then Turkish commanders. The Seljuk Sultanate formalised this arrangement after 1055. By the mid-13th century, the Caliph in Baghdad exercised nominal spiritual authority across Sunni Islam but commanded no army capable of defending the city. The I-variable had been fractured: the formal institution of the Caliphate existed, but the coercive capacity that institutions require to function had been separated from it and transferred to military commanders whose loyalty was contingent, personal, and ultimately insufficient against a Mongol force that was, in 1258, arguably the most effective military organisation on earth.</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K-destruction, however, was the event that distinguished Baghdad 1258 from comparable collapses. The Islamic Golden Age had produced not merely a corpus of texts but a social network of scholarship — the translation movement that had brought Greek, Persian, and Indian knowledge into Arabic; the mathematical tradition whose most important practitioner, al-Khwarizmi, had given the world algebra and the algorithmic method; the medical tradition of Ibn Sina whose Canon of Medicine would remain a standard European medical text for six centuries; the astronomical tradition of al-Battani whose observations were accurate enough to be cited by Copernicus. These were not ancient texts stored in libraries. They were living traditions maintained by practitioners — scholars who trained students, who trained further students, who operated within institutions of learning that sustained the continuity of inquiry.</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Mongol sack killed or scattered these practitioners. The House of Wisdom did not merely lose books; it lost the people who understood what the books meant, who could transmit the method embedded in them, who could train the next generation. The distinction is critical for the Phi framework. K is not a library. K is the capacity of a society to generate, transmit, and apply knowledge across generations. Destroying the physical texts is damaging. Killing or dispersing the practitioner network that sustains the living tradition is a category of destruction from which recovery is measured in centuries, not decades.</w:t>
      </w:r>
    </w:p>
    <w:p>
      <w:pPr>
        <w:spacing w:after="80" w:before="0"/>
      </w:pPr>
    </w:p>
    <w:tbl>
      <w:tblPr>
        <w:tblW w:type="dxa" w:w="9360"/>
        <w:tblBorders>
          <w:top w:val="single" w:color="00595C" w:sz="4"/>
          <w:left w:val="single" w:color="00595C" w:sz="18"/>
          <w:bottom w:val="single" w:color="00595C" w:sz="4"/>
          <w:right w:val="single" w:color="00595C" w:sz="4"/>
          <w:insideH w:val="none"/>
          <w:insideV w:val="none"/>
        </w:tblBorders>
        <w:tblLayout w:type="fixed"/>
      </w:tblPr>
      <w:tblGrid>
        <w:gridCol w:w="9360"/>
      </w:tblGrid>
      <w:tr>
        <w:tc>
          <w:tcPr>
            <w:tcW w:type="dxa" w:w="9360"/>
            <w:shd w:fill="E0F2F1"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00595C"/>
                <w:sz w:val="18"/>
                <w:szCs w:val="18"/>
              </w:rPr>
              <w:t xml:space="preserve">WHAT WAS LOST — AND WHAT THAT MEANS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Al-Khwarizmi (780–850 CE): systematic algebraic method, decimal numeral system transmission to Europe. His name gave us 'algorithm'.</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Ibn Sina / Avicenna (980–1037 CE): Canon of Medicine, 14 volumes, remained in use in European universities until 1700 CE.</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Al-Battani (858–929 CE): astronomical observations accurate enough to be cited by Copernicus six centuries later.</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Ibn al-Haytham (965–1040 CE): Book of Optics — the first systematic treatment of the scientific method as a procedure.</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The translation movement (750–900 CE): systematic Greek, Persian, and Sanskrit scholarship rendered into Arabic — preserved texts that no longer existed in their source languages.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Recovery timeline: the Islamic world did not return to the scientific frontier until approximately the 19th century — a gap of roughly 600 years.</w:t>
            </w:r>
          </w:p>
          <w:p>
            <w:pPr>
              <w:spacing w:after="60" w:before="40" w:line="276" w:lineRule="auto"/>
              <w:jc w:val="left"/>
            </w:pPr>
            <w:r>
              <w:rPr>
                <w:rFonts w:ascii="Arial" w:cs="Arial" w:eastAsia="Arial" w:hAnsi="Arial"/>
                <w:b w:val="false"/>
                <w:bCs w:val="false"/>
                <w:i/>
                <w:iCs/>
                <w:caps w:val="false"/>
                <w:color w:val="3A4652"/>
                <w:sz w:val="18"/>
                <w:szCs w:val="18"/>
              </w:rPr>
              <w:t xml:space="preserve">Source: WORLD_GREATBOOKS corpus; ACADEMIC_RAG synthesis</w:t>
            </w:r>
          </w:p>
        </w:tc>
      </w:tr>
    </w:tbl>
    <w:p>
      <w:pPr>
        <w:spacing w:after="120" w:before="0"/>
      </w:pP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surviving institutional structure of Islam — the mosque network, the madrasah system, the ulama as a clerical class — preserved religious and legal knowledge with notable fidelity. The Quran was not lost. The Hadith tradition was not lost. Sharia jurisprudence was not lost. What was lost was specifically the tradition of natural inquiry: the mathematical, astronomical, medical, and philosophical investigation that had made Baghdad the intellectual centre of the medieval world. The institutional survival of the religious tradition and the collapse of the scientific tradition in the same event is a precise clinical illustration of how K and I can fracture along different axes within the same civilisation.</w:t>
      </w:r>
    </w:p>
    <w:p>
      <w:pPr>
        <w:spacing w:after="80" w:before="0"/>
      </w:pPr>
    </w:p>
    <w:tbl>
      <w:tblPr>
        <w:tblW w:type="dxa" w:w="9360"/>
        <w:tblBorders>
          <w:top w:val="single" w:color="1B3A6B" w:sz="4"/>
          <w:left w:val="single" w:color="1B3A6B" w:sz="18"/>
          <w:bottom w:val="single" w:color="1B3A6B" w:sz="4"/>
          <w:right w:val="single" w:color="1B3A6B" w:sz="4"/>
          <w:insideH w:val="none"/>
          <w:insideV w:val="none"/>
        </w:tblBorders>
        <w:tblLayout w:type="fixed"/>
      </w:tblPr>
      <w:tblGrid>
        <w:gridCol w:w="9360"/>
      </w:tblGrid>
      <w:tr>
        <w:tc>
          <w:tcPr>
            <w:tcW w:type="dxa" w:w="9360"/>
            <w:shd w:fill="E8EEF7" w:color="auto" w:val="clear"/>
            <w:tcMar>
              <w:top w:type="dxa" w:w="120"/>
              <w:left w:type="dxa" w:w="200"/>
              <w:bottom w:type="dxa" w:w="120"/>
              <w:right w:type="dxa" w:w="200"/>
            </w:tcMar>
          </w:tcPr>
          <w:p>
            <w:pPr>
              <w:spacing w:after="40" w:before="60" w:line="300" w:lineRule="auto"/>
              <w:jc w:val="left"/>
            </w:pPr>
            <w:r>
              <w:rPr>
                <w:rFonts w:ascii="Arial" w:cs="Arial" w:eastAsia="Arial" w:hAnsi="Arial"/>
                <w:b w:val="false"/>
                <w:bCs w:val="false"/>
                <w:i/>
                <w:iCs/>
                <w:caps w:val="false"/>
                <w:color w:val="1B3A6B"/>
                <w:sz w:val="26"/>
                <w:szCs w:val="26"/>
              </w:rPr>
              <w:t xml:space="preserve">The Mongols were thorough. They killed the scholars first, then burned the libraries. Had they done it in reverse order, the loss would have been smaller. The texts could have been reconstructed. The minds that understood them could not.</w:t>
            </w:r>
          </w:p>
          <w:p>
            <w:pPr>
              <w:spacing w:after="60" w:before="60" w:line="276" w:lineRule="auto"/>
              <w:jc w:val="left"/>
            </w:pPr>
            <w:r>
              <w:rPr>
                <w:rFonts w:ascii="Arial" w:cs="Arial" w:eastAsia="Arial" w:hAnsi="Arial"/>
                <w:b w:val="false"/>
                <w:bCs w:val="false"/>
                <w:i w:val="false"/>
                <w:iCs w:val="false"/>
                <w:caps w:val="false"/>
                <w:color w:val="8B0000"/>
                <w:sz w:val="20"/>
                <w:szCs w:val="20"/>
              </w:rPr>
              <w:t xml:space="preserve">— CivilisationOS corpus synthesis</w:t>
            </w:r>
          </w:p>
        </w:tc>
      </w:tr>
    </w:tbl>
    <w:p>
      <w:pPr>
        <w:spacing w:after="120" w:before="0"/>
      </w:pPr>
    </w:p>
    <w:p>
      <w:pPr>
        <w:spacing w:after="80" w:before="0"/>
      </w:pPr>
    </w:p>
    <w:tbl>
      <w:tblPr>
        <w:tblW w:type="dxa" w:w="9360"/>
        <w:tblBorders>
          <w:top w:val="single" w:color="1B5E20" w:sz="4"/>
          <w:left w:val="single" w:color="1B5E20" w:sz="18"/>
          <w:bottom w:val="single" w:color="1B5E20" w:sz="4"/>
          <w:right w:val="single" w:color="1B5E20" w:sz="4"/>
          <w:insideH w:val="none"/>
          <w:insideV w:val="none"/>
        </w:tblBorders>
        <w:tblLayout w:type="fixed"/>
      </w:tblPr>
      <w:tblGrid>
        <w:gridCol w:w="9360"/>
      </w:tblGrid>
      <w:tr>
        <w:tc>
          <w:tcPr>
            <w:tcW w:type="dxa" w:w="9360"/>
            <w:shd w:fill="E8F5E9"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1B5E20"/>
                <w:sz w:val="18"/>
                <w:szCs w:val="18"/>
              </w:rPr>
              <w:t xml:space="preserve">FIELD NOTE  —  CORPUS NOTE</w:t>
            </w:r>
          </w:p>
          <w:p>
            <w:pPr>
              <w:spacing w:after="60" w:before="60" w:line="276" w:lineRule="auto"/>
              <w:jc w:val="left"/>
            </w:pPr>
            <w:r>
              <w:rPr>
                <w:rFonts w:ascii="Arial" w:cs="Arial" w:eastAsia="Arial" w:hAnsi="Arial"/>
                <w:b w:val="false"/>
                <w:bCs w:val="false"/>
                <w:i w:val="false"/>
                <w:iCs w:val="false"/>
                <w:caps w:val="false"/>
                <w:color w:val="1A1A1A"/>
                <w:sz w:val="22"/>
                <w:szCs w:val="22"/>
              </w:rPr>
              <w:t xml:space="preserve">The CHINESE_GREATBOOKS corpus contains the Mongol dynastic histories from the Chinese side — the Yuan dynasty records documenting the same campaigns that destroyed Baghdad. The Yuan histories describe the western campaigns in administrative terms: territories reduced, populations tallied, tribute arrangements established. The destruction of scholarship is not noted. What registers as civilisational catastrophe in the Islamic record is recorded as operational efficiency in the Mongol administrative archive. The same event reads differently depending on which civilisation's K-tradition survived to write the history.</w:t>
            </w:r>
          </w:p>
        </w:tc>
      </w:tr>
    </w:tbl>
    <w:p>
      <w:pPr>
        <w:spacing w:after="120" w:before="0"/>
      </w:pPr>
    </w:p>
    <w:p>
      <w:pPr>
        <w:spacing w:after="60" w:before="0"/>
      </w:pPr>
    </w:p>
    <w:tbl>
      <w:tblPr>
        <w:tblW w:type="dxa" w:w="9360"/>
        <w:tblBorders>
          <w:top w:val="single" w:color="9AA5B1" w:sz="2"/>
          <w:left w:val="single" w:color="9AA5B1" w:sz="2"/>
          <w:bottom w:val="single" w:color="9AA5B1" w:sz="2"/>
          <w:right w:val="single" w:color="9AA5B1" w:sz="2"/>
          <w:insideH w:val="single" w:color="D5DCE5" w:sz="1"/>
          <w:insideV w:val="single" w:color="D5DCE5" w:sz="1"/>
        </w:tblBorders>
        <w:tblLayout w:type="fixed"/>
      </w:tblPr>
      <w:tblGrid>
        <w:gridCol w:w="2400"/>
        <w:gridCol w:w="1200"/>
        <w:gridCol w:w="1300"/>
        <w:gridCol w:w="1500"/>
        <w:gridCol w:w="2960"/>
      </w:tblGrid>
      <w:tr>
        <w:trPr>
          <w:tblHeader/>
        </w:trPr>
        <w:tc>
          <w:tcPr>
            <w:tcW w:type="dxa" w:w="24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Variable</w:t>
            </w:r>
          </w:p>
        </w:tc>
        <w:tc>
          <w:tcPr>
            <w:tcW w:type="dxa" w:w="12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Symbol</w:t>
            </w:r>
          </w:p>
        </w:tc>
        <w:tc>
          <w:tcPr>
            <w:tcW w:type="dxa" w:w="13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Reading</w:t>
            </w:r>
          </w:p>
        </w:tc>
        <w:tc>
          <w:tcPr>
            <w:tcW w:type="dxa" w:w="15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Trend</w:t>
            </w:r>
          </w:p>
        </w:tc>
        <w:tc>
          <w:tcPr>
            <w:tcW w:type="dxa" w:w="296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Primary Evidence</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Cohesion (A)</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0.44</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declining</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Sunni-Shia tensions; Arab-Persian-Turkish ethnic competition within the caliphate; frontier populations not integrated into core identity</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Knowledge (K)</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K</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0.91 → 0.12</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catastrophic</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Pre-sack: highest K reading in the medieval world. Post-sack (1260): K-discontinuity — practitioner networks destroyed, transmission broken</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Institutions (I)</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0.28</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fractured</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Caliph as figurehead since 945 CE; Turkish military commanders held real authority; no unified command structure capable of defence</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Legitimacy (L)</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L</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0.52</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declining</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Caliphate retained religious legitimacy across Sunni world but had lost political legitimacy; peripheral rulers no longer deferred to Baghdad</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Distribution (xi)</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xi</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0.48</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stable</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Abbasid commercial economy remained productive; trade routes intact pre-Mongol; merchant class substantial</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Existential Risk (Omega)</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Omega</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0.88</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terminal</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Mongol empire expanding systematically westward; no coalition capable of field resistance; Baghdad geographically exposed</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Elite Overproduction (E)</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0.61</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elevated</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Turkish military commanders competing for authority; multiple competing sultans recognising Caliph nominally; court factional conflict persistent</w:t>
            </w:r>
          </w:p>
        </w:tc>
      </w:tr>
    </w:tbl>
    <w:p>
      <w:pPr>
        <w:spacing w:after="120" w:before="0"/>
      </w:pPr>
    </w:p>
    <w:p>
      <w:pPr>
        <w:spacing w:after="80" w:before="0"/>
      </w:pPr>
    </w:p>
    <w:tbl>
      <w:tblPr>
        <w:tblW w:type="dxa" w:w="9360"/>
        <w:tblBorders>
          <w:top w:val="single" w:color="7A4F01" w:sz="4"/>
          <w:left w:val="single" w:color="7A4F01" w:sz="18"/>
          <w:bottom w:val="single" w:color="7A4F01" w:sz="4"/>
          <w:right w:val="single" w:color="7A4F01" w:sz="4"/>
          <w:insideH w:val="none"/>
          <w:insideV w:val="none"/>
        </w:tblBorders>
        <w:tblLayout w:type="fixed"/>
      </w:tblPr>
      <w:tblGrid>
        <w:gridCol w:w="9360"/>
      </w:tblGrid>
      <w:tr>
        <w:tc>
          <w:tcPr>
            <w:tcW w:type="dxa" w:w="9360"/>
            <w:shd w:fill="FFF6E0"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7A4F01"/>
                <w:sz w:val="18"/>
                <w:szCs w:val="18"/>
              </w:rPr>
              <w:t xml:space="preserve">AUTOPSY FINDING 10.2</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K can be destroyed in weeks. Recovering it takes centuries. The critical insight is that K is a social network of practitioners, not a collection of texts. Protecting institutional knowledge requires protecting the people who hold it and the social structures that transmit it across generations — not merely archiving the outputs they produce. Any civilisation that locates its K in a single place, physical or institutional, has created a single point of failure that a determined adversary can eliminate in an afternoon.</w:t>
            </w:r>
          </w:p>
        </w:tc>
      </w:tr>
    </w:tbl>
    <w:p>
      <w:pPr>
        <w:spacing w:after="120" w:before="0"/>
      </w:pPr>
    </w:p>
    <w:p>
      <w:r>
        <w:br w:type="pag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10.3  </w:t>
      </w:r>
      <w:r>
        <w:rPr>
          <w:rFonts w:ascii="Arial" w:cs="Arial" w:eastAsia="Arial" w:hAnsi="Arial"/>
          <w:b w:val="false"/>
          <w:bCs w:val="false"/>
          <w:i w:val="false"/>
          <w:iCs w:val="false"/>
          <w:caps w:val="false"/>
          <w:color w:val="9AA5B1"/>
          <w:sz w:val="18"/>
          <w:szCs w:val="18"/>
        </w:rPr>
        <w:t xml:space="preserve">| 1368–1644 CE — I-calcification over 276 years</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Ming Dynasty</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60" w:before="60" w:line="300" w:lineRule="auto"/>
        <w:ind w:left="900" w:right="900"/>
        <w:jc w:val="center"/>
      </w:pPr>
      <w:r>
        <w:rPr>
          <w:rFonts w:ascii="Arial" w:cs="Arial" w:eastAsia="Arial" w:hAnsi="Arial"/>
          <w:b w:val="false"/>
          <w:bCs w:val="false"/>
          <w:i/>
          <w:iCs/>
          <w:caps w:val="false"/>
          <w:color w:val="1B3A6B"/>
          <w:sz w:val="24"/>
          <w:szCs w:val="24"/>
        </w:rPr>
        <w:t xml:space="preserve">The treasure fleet returned. The bureaucracy decided it would not sail again. Two decades later, the Portuguese rounded Africa. The world had changed while China looked inward.</w:t>
      </w:r>
    </w:p>
    <w:p>
      <w:pPr>
        <w:spacing w:after="240" w:before="60" w:line="276" w:lineRule="auto"/>
        <w:jc w:val="center"/>
      </w:pPr>
      <w:r>
        <w:rPr>
          <w:rFonts w:ascii="Arial" w:cs="Arial" w:eastAsia="Arial" w:hAnsi="Arial"/>
          <w:b w:val="false"/>
          <w:bCs w:val="false"/>
          <w:i w:val="false"/>
          <w:iCs w:val="false"/>
          <w:caps w:val="false"/>
          <w:color w:val="8B0000"/>
          <w:sz w:val="20"/>
          <w:szCs w:val="20"/>
        </w:rPr>
        <w:t xml:space="preserve">— CivilisationOS synthesis, CHINESE_GREATBOOKS corpus</w:t>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The Ming collapse of 1644 CE — when the Chongzhen Emperor hanged himself on Coal Hill as Li Zicheng's rebel forces entered Beijing, and the Manchu Qing armies subsequently absorbed the dynasty's remnants — represents the purest case of I-calcification in the corpus. The Ming examination system was among the greatest institutional achievements in pre-modern history: it created a meritocratic civil service that governed the largest population on earth for nearly three centuries, drew talent from across the empire regardless of birth, and embedded Confucian ethics as the operating code of government. It was also, by the 16th century, the primary obstacle to the adaptations the dynasty required to survive.</w:t>
      </w:r>
    </w:p>
    <w:p>
      <w:pPr>
        <w:keepNext/>
        <w:spacing w:after="40" w:before="140" w:line="276" w:lineRule="auto"/>
        <w:jc w:val="left"/>
      </w:pPr>
      <w:r>
        <w:rPr>
          <w:rFonts w:ascii="Arial" w:cs="Arial" w:eastAsia="Arial" w:hAnsi="Arial"/>
          <w:b/>
          <w:bCs/>
          <w:i w:val="false"/>
          <w:iCs w:val="false"/>
          <w:caps w:val="false"/>
          <w:color w:val="8B0000"/>
          <w:sz w:val="22"/>
          <w:szCs w:val="22"/>
        </w:rPr>
        <w:t xml:space="preserve">Primary Failure: I-Calcification and the Maritime Withdrawal</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Ming maritime programme under the Yongle Emperor (r. 1402–1424) and his successor is one of the most striking what-ifs in civilisational history. Between 1405 and 1433, Admiral Zheng He commanded seven great expeditions across the Indian Ocean: to Southeast Asia, to India, to the Persian Gulf, to the Red Sea, to East Africa. His flagship was approximately four to five times the length of Columbus's Santa Maria. The fleet numbered in the hundreds of vessels at its peak. The expeditions were not primarily military but diplomatic and commercial — establishing tributary relationships, mapping sea routes, bringing back tribute and curiosity (including a giraffe, presented at court as evidence of the Emperor's virtue attracting miraculous creatures from the edges of the earth). They demonstrated that China in the early 15th century possessed the naval capability to have established oceanic dominance a full century before Portugal rounded the Cape.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programme was terminated by bureaucratic faction. The Confucian civil service had always viewed the maritime expeditions with hostility — they were expensive, they enriched merchants and eunuchs (the two groups most associated with the voyages), and they were ideologically anomalous to a worldview that located China at the centre of a tribute system that should come to China, not a China that went out into the world. After the Xuande Emperor's death in 1435, the Confucian bureaucracy succeeded in suppressing the maritime programme entirely. The records of the expeditions were reportedly destroyed — deliberately, to prevent the voyages from being resumed. The shipyards that had built the treasure fleet were allowed to decay. By the mid-15th century, it was illegal to build oceangoing vessels with more than two masts.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This is I-calcification in its clinical form. The institution was not corrupt in the ordinary sense — the Confucian examination system selected for genuine learning and ethical commitment. But it selected specifically for a form of learning and commitment that was hostile to commercial expansion, maritime exploration, and the kind of adaptive engagement with the external world that the next two centuries would require. An institution strong enough to terminate the world's most capable naval programme in the interests of ideological consistency had demonstrated that it could override any policy preference, including the preferences of the Emperor himself. When the Chongzhen Emperor attempted to mobilise the empire against the twin threats of Li Zicheng's rebellion and Manchu pressure in the 1640s, he encountered the same institutional resistance that had ended the treasure fleet: an administrative apparatus that had calcified around a set of operating assumptions that no longer matched the world the empire inhabited.</w:t>
      </w:r>
    </w:p>
    <w:p>
      <w:pPr>
        <w:spacing w:after="80" w:before="0"/>
      </w:pPr>
    </w:p>
    <w:tbl>
      <w:tblPr>
        <w:tblW w:type="dxa" w:w="9360"/>
        <w:tblBorders>
          <w:top w:val="single" w:color="00595C" w:sz="4"/>
          <w:left w:val="single" w:color="00595C" w:sz="18"/>
          <w:bottom w:val="single" w:color="00595C" w:sz="4"/>
          <w:right w:val="single" w:color="00595C" w:sz="4"/>
          <w:insideH w:val="none"/>
          <w:insideV w:val="none"/>
        </w:tblBorders>
        <w:tblLayout w:type="fixed"/>
      </w:tblPr>
      <w:tblGrid>
        <w:gridCol w:w="9360"/>
      </w:tblGrid>
      <w:tr>
        <w:tc>
          <w:tcPr>
            <w:tcW w:type="dxa" w:w="9360"/>
            <w:shd w:fill="E0F2F1"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00595C"/>
                <w:sz w:val="18"/>
                <w:szCs w:val="18"/>
              </w:rPr>
              <w:t xml:space="preserve">THE TIMELINE OF DIVERGENCE</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1405: Zheng He's first voyage departs. China commands the world's largest ocean-going fleet.</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1433: Final Zheng He expedition returns. Yongle Emperor long dead; Confucian bureaucracy dominant.</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1435: Maritime programme effectively terminated by administrative suppression.</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1488: Bartolomeu Dias rounds the Cape of Good Hope. Portugal establishes the Atlantic-Indian Ocean route.</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1498: Vasco da Gama reaches Calicut. European oceanic trade dominance begins.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1521: Magellan's expedition completes the first circumnavigation.</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1644: Ming dynasty collapses. China has been largely absent from oceanic expansion for 200 years.</w:t>
            </w:r>
          </w:p>
          <w:p>
            <w:pPr>
              <w:spacing w:after="60" w:before="40" w:line="276" w:lineRule="auto"/>
              <w:jc w:val="left"/>
            </w:pPr>
            <w:r>
              <w:rPr>
                <w:rFonts w:ascii="Arial" w:cs="Arial" w:eastAsia="Arial" w:hAnsi="Arial"/>
                <w:b w:val="false"/>
                <w:bCs w:val="false"/>
                <w:i/>
                <w:iCs/>
                <w:caps w:val="false"/>
                <w:color w:val="3A4652"/>
                <w:sz w:val="18"/>
                <w:szCs w:val="18"/>
              </w:rPr>
              <w:t xml:space="preserve">Source: CHINESE_GREATBOOKS corpus; WORLD_GREATBOOKS synthesis</w:t>
            </w:r>
          </w:p>
        </w:tc>
      </w:tr>
    </w:tbl>
    <w:p>
      <w:pPr>
        <w:spacing w:after="120" w:before="0"/>
      </w:pP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late Ming factional conflict between the Donglin Academy scholars and the eunuch faction under Wei Zhongxian (dominant 1621–1627) is the terminal expression of the same structural problem. The examination system had produced a surplus of scholar-officials — elite overproduction in the specific form of an administrative class whose internal political competition consumed the institutional energy that governance required. The Chongzhen Emperor executed Wei Zhongxian and attempted to govern through the Confucian bureaucracy, but the bureaucracy's factional conflicts were, by this point, paralysing. Military budgets could not be disbursed efficiently. Famine responses failed. The army that might have suppressed Li Zicheng's rebellion could not be reliably paid. The institutional shell remained — the examinations continued, the memorials were submitted, the rituals were observed — but the coercive and coordinative capacity that institutions exist to provide had evaporated.</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Mandate of Heaven — the classical Chinese legitimacy theory — is precise on this point: a dynasty loses the Mandate when natural disasters multiply, when the people suffer without relief, and when military force fails to maintain order. By 1640, all three conditions were met. The North China famine of 1628–1644, driven by the climatic anomaly now identified as the Little Ice Age, killed millions and drove peasant armies into rebellion. The dynasty's response — raising taxes to fund military operations against both the rebels and the Manchu — accelerated the collapse it was meant to prevent. The institution's logical response to stress was more of what the institution knew: more extraction, more bureaucratic process, more examination of the correct Confucian response. The correct Confucian response to the collapse of Confucian governance was not available in the institutional repertoire.</w:t>
      </w:r>
    </w:p>
    <w:p>
      <w:pPr>
        <w:spacing w:after="60" w:before="0"/>
      </w:pPr>
    </w:p>
    <w:tbl>
      <w:tblPr>
        <w:tblW w:type="dxa" w:w="9360"/>
        <w:tblBorders>
          <w:top w:val="single" w:color="9AA5B1" w:sz="2"/>
          <w:left w:val="single" w:color="9AA5B1" w:sz="2"/>
          <w:bottom w:val="single" w:color="9AA5B1" w:sz="2"/>
          <w:right w:val="single" w:color="9AA5B1" w:sz="2"/>
          <w:insideH w:val="single" w:color="D5DCE5" w:sz="1"/>
          <w:insideV w:val="single" w:color="D5DCE5" w:sz="1"/>
        </w:tblBorders>
        <w:tblLayout w:type="fixed"/>
      </w:tblPr>
      <w:tblGrid>
        <w:gridCol w:w="2400"/>
        <w:gridCol w:w="1200"/>
        <w:gridCol w:w="1300"/>
        <w:gridCol w:w="1500"/>
        <w:gridCol w:w="2960"/>
      </w:tblGrid>
      <w:tr>
        <w:trPr>
          <w:tblHeader/>
        </w:trPr>
        <w:tc>
          <w:tcPr>
            <w:tcW w:type="dxa" w:w="24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Variable</w:t>
            </w:r>
          </w:p>
        </w:tc>
        <w:tc>
          <w:tcPr>
            <w:tcW w:type="dxa" w:w="12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Symbol</w:t>
            </w:r>
          </w:p>
        </w:tc>
        <w:tc>
          <w:tcPr>
            <w:tcW w:type="dxa" w:w="13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Reading</w:t>
            </w:r>
          </w:p>
        </w:tc>
        <w:tc>
          <w:tcPr>
            <w:tcW w:type="dxa" w:w="15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Trend</w:t>
            </w:r>
          </w:p>
        </w:tc>
        <w:tc>
          <w:tcPr>
            <w:tcW w:type="dxa" w:w="296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Primary Evidence</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Cohesion (A)</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0.38</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collapsing</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North-South factional conflict; Han-Manchu ethnic tension at frontier; peasant rebellion fragmenting territorial control</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Knowledge (K)</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K</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0.68</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stable-declining</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Examination tradition maintained; some technological exchange with Jesuits; but maritime and military innovation blocked by institutional resistance</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Institutions (I)</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0.27</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calcified-collapsing</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Examination system intact but paralysed by factional competition; eunuch-scholar conflict consumed administrative capacity; reform proposals blocked</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Legitimacy (L)</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L</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0.31</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collapsing</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Mandate of Heaven theory explicitly applied by rebel leaders; Chongzhen Emperor's legitimacy challenged by famine response failures</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Distribution (xi)</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xi</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0.29</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critical</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North China famine 1628–1644; tax increases during famine; land concentration; peasant dispossession driving rebel army recruitment</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Existential Risk (Omega)</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Omega</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0.81</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critical</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Li Zicheng rebellion controlling North China; Manchu forces at the frontier; twin threat beyond institutional coordination capacity</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Elite Overproduction (E)</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0.73</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critical</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Scholar-official surplus from examination system; Donglin factional conflict; eunuch counter-faction; military commanders outside civil control</w:t>
            </w:r>
          </w:p>
        </w:tc>
      </w:tr>
    </w:tbl>
    <w:p>
      <w:pPr>
        <w:spacing w:after="120" w:before="0"/>
      </w:pPr>
    </w:p>
    <w:p>
      <w:pPr>
        <w:spacing w:after="80" w:before="0"/>
      </w:pPr>
    </w:p>
    <w:tbl>
      <w:tblPr>
        <w:tblW w:type="dxa" w:w="9360"/>
        <w:tblBorders>
          <w:top w:val="single" w:color="7A4F01" w:sz="4"/>
          <w:left w:val="single" w:color="7A4F01" w:sz="18"/>
          <w:bottom w:val="single" w:color="7A4F01" w:sz="4"/>
          <w:right w:val="single" w:color="7A4F01" w:sz="4"/>
          <w:insideH w:val="none"/>
          <w:insideV w:val="none"/>
        </w:tblBorders>
        <w:tblLayout w:type="fixed"/>
      </w:tblPr>
      <w:tblGrid>
        <w:gridCol w:w="9360"/>
      </w:tblGrid>
      <w:tr>
        <w:tc>
          <w:tcPr>
            <w:tcW w:type="dxa" w:w="9360"/>
            <w:shd w:fill="FFF6E0"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7A4F01"/>
                <w:sz w:val="18"/>
                <w:szCs w:val="18"/>
              </w:rPr>
              <w:t xml:space="preserve">AUTOPSY FINDING 10.3</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An institution strong enough to build an empire can be rigid enough to prevent the adaptations needed to sustain it. The Ming examination system selected for genuine excellence — and for a specific form of excellence that became maladaptive. The policy lesson is not to weaken institutions but to build adaptive capacity into them: regular review mechanisms, adversarial stress-testing, and explicit procedures for institutional self-revision. An institution that cannot question its own foundational assumptions has already begun to calcify. The question is only how long before the environment changes enough to make the calcification fatal.</w:t>
            </w:r>
          </w:p>
        </w:tc>
      </w:tr>
    </w:tbl>
    <w:p>
      <w:pPr>
        <w:spacing w:after="120" w:before="0"/>
      </w:pPr>
    </w:p>
    <w:p>
      <w:r>
        <w:br w:type="pag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10.4  </w:t>
      </w:r>
      <w:r>
        <w:rPr>
          <w:rFonts w:ascii="Arial" w:cs="Arial" w:eastAsia="Arial" w:hAnsi="Arial"/>
          <w:b w:val="false"/>
          <w:bCs w:val="false"/>
          <w:i w:val="false"/>
          <w:iCs w:val="false"/>
          <w:caps w:val="false"/>
          <w:color w:val="9AA5B1"/>
          <w:sz w:val="18"/>
          <w:szCs w:val="18"/>
        </w:rPr>
        <w:t xml:space="preserve">| 1917–1991 — the pure L-collapse</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Soviet Union</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60" w:before="60" w:line="300" w:lineRule="auto"/>
        <w:ind w:left="900" w:right="900"/>
        <w:jc w:val="center"/>
      </w:pPr>
      <w:r>
        <w:rPr>
          <w:rFonts w:ascii="Arial" w:cs="Arial" w:eastAsia="Arial" w:hAnsi="Arial"/>
          <w:b w:val="false"/>
          <w:bCs w:val="false"/>
          <w:i/>
          <w:iCs/>
          <w:caps w:val="false"/>
          <w:color w:val="1B3A6B"/>
          <w:sz w:val="24"/>
          <w:szCs w:val="24"/>
        </w:rPr>
        <w:t xml:space="preserve">The putschists had tanks. They had not understood that tanks without will are sculpture.</w:t>
      </w:r>
    </w:p>
    <w:p>
      <w:pPr>
        <w:spacing w:after="240" w:before="60" w:line="276" w:lineRule="auto"/>
        <w:jc w:val="center"/>
      </w:pPr>
      <w:r>
        <w:rPr>
          <w:rFonts w:ascii="Arial" w:cs="Arial" w:eastAsia="Arial" w:hAnsi="Arial"/>
          <w:b w:val="false"/>
          <w:bCs w:val="false"/>
          <w:i w:val="false"/>
          <w:iCs w:val="false"/>
          <w:caps w:val="false"/>
          <w:color w:val="8B0000"/>
          <w:sz w:val="20"/>
          <w:szCs w:val="20"/>
        </w:rPr>
        <w:t xml:space="preserve">— CivilisationOS synthesis, August 1991</w:t>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The Soviet Union's dissolution on December 25, 1991 — when Gorbachev resigned and the Soviet flag was lowered over the Kremlin for the last time — is the cleanest pure-L collapse in the historical record. No invading army terminated it. No catastrophic natural disaster. No single catastrophic institutional failure. The Soviet state ceased to exist primarily because the people whose job was to defend it declined to do so, and they declined because they no longer believed it was worth defending. The August 1991 coup attempt illustrated this precisely: the coup plotters had the tanks, the KGB apparatus, and the formal institutional apparatus of the Soviet state. They failed within three days because the soldiers would not fire on the crowds, the KGB units would not arrest the right people, and the bureaucracy would not carry out its orders. Legitimacy was so depleted that the coercive apparatus, given a direct command to act, collectively chose not to.</w:t>
      </w:r>
    </w:p>
    <w:p>
      <w:pPr>
        <w:keepNext/>
        <w:spacing w:after="40" w:before="140" w:line="276" w:lineRule="auto"/>
        <w:jc w:val="left"/>
      </w:pPr>
      <w:r>
        <w:rPr>
          <w:rFonts w:ascii="Arial" w:cs="Arial" w:eastAsia="Arial" w:hAnsi="Arial"/>
          <w:b/>
          <w:bCs/>
          <w:i w:val="false"/>
          <w:iCs w:val="false"/>
          <w:caps w:val="false"/>
          <w:color w:val="8B0000"/>
          <w:sz w:val="22"/>
          <w:szCs w:val="22"/>
        </w:rPr>
        <w:t xml:space="preserve">Primary Failure: L-Erosion Through Accumulated Falsification</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Soviet legitimacy architecture rested on several simultaneous claims: the scientific inevitability of socialist progress, the superior material welfare of Soviet citizens compared to capitalist counterparts, the military invincibility of the socialist state, and the moral authority of the Communist Party as the vanguard of history's direction. Each of these claims was, by the 1970s, visibly false to large portions of the Soviet population — and, crucially, to significant portions of the Soviet elite. The falsification was not a secret. It was an open secret that the system required everyone to maintain. The sociologist Alexei Yurchak described this as living in a system of performative speech acts: everyone participated in the rituals of socialist affirmation without believing in them, and everyone knew that no one believed, and yet the rituals continued because they were the medium through which the system reproduced itself.</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L-erosion sequence began, in the corpus's reading, not with the obvious events of the 1980s but with the publication of The Gulag Archipelago in the West in 1973 and its subsequent samizdat circulation within the Soviet Union. Solzhenitsyn's account documented, with meticulous sourcing, the scale of the labour camp system — a system that the official narrative had not merely suppressed but had actively falsified. The falsification had been comprehensive: the people who knew were in the camps; the people outside the camps were not permitted to know; the people who did know maintained the performative fiction required of Soviet citizenship. Solzhenitsyn's text did not reveal the Gulag to Soviet citizens who were unaware of it — many were aware, or had family members who had passed through it. It demonstrated that the knowledge was not shameful and secret, as the state required, but public and documentable. That shift — from individually known to collectively acknowledged — is the mechanism of legitimacy collapse.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Chernobyl in April 1986 performed the same function for institutional competence that Solzhenitsyn had performed for moral authority. The explosion at Reactor No. 4 of the Chernobyl Nuclear Power Plant produced a cascade of institutional failures: the initial explosion denied, the extent of radiation release minimised, the evacuation delayed, the information suppressed, and then — under glasnost — progressively revealed in a way that made each successive official statement less credible than the last. Soviet television eventually broadcast images from Chernobyl that Soviet citizens compared with what they were hearing from foreign radio services. The comparison destroyed the credibility of official information as a category. If the state had lied about this, systematically and in real time, what had it lied about previously?</w:t>
      </w:r>
    </w:p>
    <w:p>
      <w:pPr>
        <w:spacing w:after="80" w:before="0"/>
      </w:pPr>
    </w:p>
    <w:tbl>
      <w:tblPr>
        <w:tblW w:type="dxa" w:w="9360"/>
        <w:tblBorders>
          <w:top w:val="single" w:color="00595C" w:sz="4"/>
          <w:left w:val="single" w:color="00595C" w:sz="18"/>
          <w:bottom w:val="single" w:color="00595C" w:sz="4"/>
          <w:right w:val="single" w:color="00595C" w:sz="4"/>
          <w:insideH w:val="none"/>
          <w:insideV w:val="none"/>
        </w:tblBorders>
        <w:tblLayout w:type="fixed"/>
      </w:tblPr>
      <w:tblGrid>
        <w:gridCol w:w="9360"/>
      </w:tblGrid>
      <w:tr>
        <w:tc>
          <w:tcPr>
            <w:tcW w:type="dxa" w:w="9360"/>
            <w:shd w:fill="E0F2F1"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00595C"/>
                <w:sz w:val="18"/>
                <w:szCs w:val="18"/>
              </w:rPr>
              <w:t xml:space="preserve">THE L-EROSION SEQUENCE</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1973: Gulag Archipelago published in West; samizdat circulation begins inside Soviet Union. Official narrative of socialist justice openly contradicted.</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1979: Soviet invasion of Afghanistan. Military prestige committed to a conflict the army cannot win.</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1986: Chernobyl explosion. Institutional competence and official information credibility destroyed simultaneously.</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1988: Glasnost produces media reporting inconsistent with official history. Institutional narratives compete openly.</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1989: Soviet military withdrawal from Afghanistan. Military prestige collapse complete.</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1989: Baltic independence movements. Soviet authority questioned at periphery — always where L-collapse begins.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August 1991: Coup attempt fails because apparatus will not use force. L effectively at zero.</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December 1991: Formal dissolution. No one defends it.</w:t>
            </w:r>
          </w:p>
          <w:p>
            <w:pPr>
              <w:spacing w:after="60" w:before="40" w:line="276" w:lineRule="auto"/>
              <w:jc w:val="left"/>
            </w:pPr>
            <w:r>
              <w:rPr>
                <w:rFonts w:ascii="Arial" w:cs="Arial" w:eastAsia="Arial" w:hAnsi="Arial"/>
                <w:b w:val="false"/>
                <w:bCs w:val="false"/>
                <w:i/>
                <w:iCs/>
                <w:caps w:val="false"/>
                <w:color w:val="3A4652"/>
                <w:sz w:val="18"/>
                <w:szCs w:val="18"/>
              </w:rPr>
              <w:t xml:space="preserve">Source: FA_RAG; ACADEMIC_RAG synthesis</w:t>
            </w:r>
          </w:p>
        </w:tc>
      </w:tr>
    </w:tbl>
    <w:p>
      <w:pPr>
        <w:spacing w:after="120" w:before="0"/>
      </w:pP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Afghan withdrawal of 1989 completed the military legitimacy collapse. The Soviet military had entered Afghanistan in 1979 as the self-described defender of socialist progress against American-backed counterrevolution. It withdrew a decade later having failed to achieve any of its stated objectives, having suffered approximately 15,000 dead and 35,000 wounded, and having demonstrated that the most significant military commitment the Soviet state had made since World War II had been an expensive failure. The Afghan war also accelerated the E-dynamics that would redirect the Soviet elite after 1991. The nomenklatura — the administrative and political class that ran the Soviet system — had, by the late 1980s, already begun privately calculating the personal utility of maintaining the system versus the personal utility of transitioning it. The rapid emergence of privatisation oligarchs after 1991 was not a surprise to those who understood that the Soviet elite had not disappeared; it had redirected. Elite overproduction does not dissolve when a state collapses. It finds new institutional forms.</w:t>
      </w:r>
    </w:p>
    <w:p>
      <w:pPr>
        <w:spacing w:after="80" w:before="0"/>
      </w:pPr>
    </w:p>
    <w:tbl>
      <w:tblPr>
        <w:tblW w:type="dxa" w:w="9360"/>
        <w:tblBorders>
          <w:top w:val="single" w:color="1B3A6B" w:sz="4"/>
          <w:left w:val="single" w:color="1B3A6B" w:sz="18"/>
          <w:bottom w:val="single" w:color="1B3A6B" w:sz="4"/>
          <w:right w:val="single" w:color="1B3A6B" w:sz="4"/>
          <w:insideH w:val="none"/>
          <w:insideV w:val="none"/>
        </w:tblBorders>
        <w:tblLayout w:type="fixed"/>
      </w:tblPr>
      <w:tblGrid>
        <w:gridCol w:w="9360"/>
      </w:tblGrid>
      <w:tr>
        <w:tc>
          <w:tcPr>
            <w:tcW w:type="dxa" w:w="9360"/>
            <w:shd w:fill="E8EEF7" w:color="auto" w:val="clear"/>
            <w:tcMar>
              <w:top w:type="dxa" w:w="120"/>
              <w:left w:type="dxa" w:w="200"/>
              <w:bottom w:type="dxa" w:w="120"/>
              <w:right w:type="dxa" w:w="200"/>
            </w:tcMar>
          </w:tcPr>
          <w:p>
            <w:pPr>
              <w:spacing w:after="40" w:before="60" w:line="300" w:lineRule="auto"/>
              <w:jc w:val="left"/>
            </w:pPr>
            <w:r>
              <w:rPr>
                <w:rFonts w:ascii="Arial" w:cs="Arial" w:eastAsia="Arial" w:hAnsi="Arial"/>
                <w:b w:val="false"/>
                <w:bCs w:val="false"/>
                <w:i/>
                <w:iCs/>
                <w:caps w:val="false"/>
                <w:color w:val="1B3A6B"/>
                <w:sz w:val="26"/>
                <w:szCs w:val="26"/>
              </w:rPr>
              <w:t xml:space="preserve">A state with L=0 does not require military conquest to collapse. It requires only that someone push, and that the apparatus whose job is to resist the push has already privately decided not to.</w:t>
            </w:r>
          </w:p>
          <w:p>
            <w:pPr>
              <w:spacing w:after="60" w:before="60" w:line="276" w:lineRule="auto"/>
              <w:jc w:val="left"/>
            </w:pPr>
            <w:r>
              <w:rPr>
                <w:rFonts w:ascii="Arial" w:cs="Arial" w:eastAsia="Arial" w:hAnsi="Arial"/>
                <w:b w:val="false"/>
                <w:bCs w:val="false"/>
                <w:i w:val="false"/>
                <w:iCs w:val="false"/>
                <w:caps w:val="false"/>
                <w:color w:val="8B0000"/>
                <w:sz w:val="20"/>
                <w:szCs w:val="20"/>
              </w:rPr>
              <w:t xml:space="preserve">— CivilisationOS field notation</w:t>
            </w:r>
          </w:p>
        </w:tc>
      </w:tr>
    </w:tbl>
    <w:p>
      <w:pPr>
        <w:spacing w:after="120" w:before="0"/>
      </w:pP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Soviet case raises a diagnostic question that has no clean answer: was the collapse inevitable once L crossed below the critical floor, or could institutional reform have stabilised the system? The evidence from the Gorbachev period suggests the latter was attempted and failed — not because the reforms were misconceived but because the L-erosion had already progressed beyond the point at which reform could restore it. Legitimacy, once lost at the scale the Soviet Union had lost it, cannot be recovered through policy adjustment. It requires either a founding event — a genuine break with the past, acknowledged as such — or a coercive reimposition that the apparatus must be willing to execute. By 1991, neither was available. The founding event would have required admitting that the entire Soviet period had been built on a lie; the coercive reimposition required an apparatus willing to fire on the people it claimed to serve. Both failed.</w:t>
      </w:r>
    </w:p>
    <w:p>
      <w:pPr>
        <w:spacing w:after="60" w:before="0"/>
      </w:pPr>
    </w:p>
    <w:tbl>
      <w:tblPr>
        <w:tblW w:type="dxa" w:w="9360"/>
        <w:tblBorders>
          <w:top w:val="single" w:color="9AA5B1" w:sz="2"/>
          <w:left w:val="single" w:color="9AA5B1" w:sz="2"/>
          <w:bottom w:val="single" w:color="9AA5B1" w:sz="2"/>
          <w:right w:val="single" w:color="9AA5B1" w:sz="2"/>
          <w:insideH w:val="single" w:color="D5DCE5" w:sz="1"/>
          <w:insideV w:val="single" w:color="D5DCE5" w:sz="1"/>
        </w:tblBorders>
        <w:tblLayout w:type="fixed"/>
      </w:tblPr>
      <w:tblGrid>
        <w:gridCol w:w="2400"/>
        <w:gridCol w:w="1200"/>
        <w:gridCol w:w="1300"/>
        <w:gridCol w:w="1500"/>
        <w:gridCol w:w="2960"/>
      </w:tblGrid>
      <w:tr>
        <w:trPr>
          <w:tblHeader/>
        </w:trPr>
        <w:tc>
          <w:tcPr>
            <w:tcW w:type="dxa" w:w="24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Variable</w:t>
            </w:r>
          </w:p>
        </w:tc>
        <w:tc>
          <w:tcPr>
            <w:tcW w:type="dxa" w:w="12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Symbol</w:t>
            </w:r>
          </w:p>
        </w:tc>
        <w:tc>
          <w:tcPr>
            <w:tcW w:type="dxa" w:w="13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Reading</w:t>
            </w:r>
          </w:p>
        </w:tc>
        <w:tc>
          <w:tcPr>
            <w:tcW w:type="dxa" w:w="15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Trend</w:t>
            </w:r>
          </w:p>
        </w:tc>
        <w:tc>
          <w:tcPr>
            <w:tcW w:type="dxa" w:w="296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Primary Evidence</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Cohesion (A)</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0.41</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declining</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Soviet identity genuine in 1945–1960 generation; substantially eroded in subsequent generations; national identities reasserting at periphery</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Knowledge (K)</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K</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0.62</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declining</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Scientific and military K maintained; but economic and managerial K severely impaired by planners' incentive distortions; technology gap widening</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Institutions (I)</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0.44</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declining-hollow</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Formal institutions intact but hollowed; party apparatus performing ritual functions without substantive decision-making authority</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Legitimacy (L)</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L</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0.21</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terminal</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Gulag documentation, Chernobyl, Afghan withdrawal sequentially destroyed each pillar of Soviet legitimacy claim; by 1989 below effective zero</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Distribution (xi)</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xi</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0.38</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below floor</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Shortages endemic; informal economy dominant; nomenklatura privileges visible and resented; official equality narrative contradicted by daily experience</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Existential Risk (Omega)</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Omega</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0.34</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elevated</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No external military threat; internal risk from national independence movements; economic system unable to fund military modernisation</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Elite Overproduction (E)</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0.67</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elevated</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Nomenklatura surplus; party, military, KGB, industrial management all competing for declining resources; privatisation calculation already underway</w:t>
            </w:r>
          </w:p>
        </w:tc>
      </w:tr>
    </w:tbl>
    <w:p>
      <w:pPr>
        <w:spacing w:after="120" w:before="0"/>
      </w:pPr>
    </w:p>
    <w:p>
      <w:pPr>
        <w:spacing w:after="80" w:before="0"/>
      </w:pPr>
    </w:p>
    <w:tbl>
      <w:tblPr>
        <w:tblW w:type="dxa" w:w="9360"/>
        <w:tblBorders>
          <w:top w:val="single" w:color="7A4F01" w:sz="4"/>
          <w:left w:val="single" w:color="7A4F01" w:sz="18"/>
          <w:bottom w:val="single" w:color="7A4F01" w:sz="4"/>
          <w:right w:val="single" w:color="7A4F01" w:sz="4"/>
          <w:insideH w:val="none"/>
          <w:insideV w:val="none"/>
        </w:tblBorders>
        <w:tblLayout w:type="fixed"/>
      </w:tblPr>
      <w:tblGrid>
        <w:gridCol w:w="9360"/>
      </w:tblGrid>
      <w:tr>
        <w:tc>
          <w:tcPr>
            <w:tcW w:type="dxa" w:w="9360"/>
            <w:shd w:fill="FFF6E0"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7A4F01"/>
                <w:sz w:val="18"/>
                <w:szCs w:val="18"/>
              </w:rPr>
              <w:t xml:space="preserve">AUTOPSY FINDING 10.4</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The Soviet case establishes that legitimacy is not a residual variable — it is not what remains after the real variables have been assessed. It is an independent structural condition. A state can have intact institutions, a credentialled elite, functioning infrastructure, and nuclear weapons, and still cease to exist because the people who operate all of those systems have privately concluded that defending them is not worth the cost. L below its critical floor is not a weakened state. It is a state that has already collapsed and is waiting for someone to notice.</w:t>
            </w:r>
          </w:p>
        </w:tc>
      </w:tr>
    </w:tbl>
    <w:p>
      <w:pPr>
        <w:spacing w:after="120" w:before="0"/>
      </w:pPr>
    </w:p>
    <w:p>
      <w:r>
        <w:br w:type="pag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10.5  </w:t>
      </w:r>
      <w:r>
        <w:rPr>
          <w:rFonts w:ascii="Arial" w:cs="Arial" w:eastAsia="Arial" w:hAnsi="Arial"/>
          <w:b w:val="false"/>
          <w:bCs w:val="false"/>
          <w:i w:val="false"/>
          <w:iCs w:val="false"/>
          <w:caps w:val="false"/>
          <w:color w:val="9AA5B1"/>
          <w:sz w:val="18"/>
          <w:szCs w:val="18"/>
        </w:rPr>
        <w:t xml:space="preserve">| The Managed Contraction — 1945–1997</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British Empire</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60" w:before="60" w:line="300" w:lineRule="auto"/>
        <w:ind w:left="900" w:right="900"/>
        <w:jc w:val="center"/>
      </w:pPr>
      <w:r>
        <w:rPr>
          <w:rFonts w:ascii="Arial" w:cs="Arial" w:eastAsia="Arial" w:hAnsi="Arial"/>
          <w:b w:val="false"/>
          <w:bCs w:val="false"/>
          <w:i/>
          <w:iCs/>
          <w:caps w:val="false"/>
          <w:color w:val="1B3A6B"/>
          <w:sz w:val="24"/>
          <w:szCs w:val="24"/>
        </w:rPr>
        <w:t xml:space="preserve">What we are building is not an empire to be mourned when it ends. It is a set of institutions to be inherited when it does.</w:t>
      </w:r>
    </w:p>
    <w:p>
      <w:pPr>
        <w:spacing w:after="240" w:before="60" w:line="276" w:lineRule="auto"/>
        <w:jc w:val="center"/>
      </w:pPr>
      <w:r>
        <w:rPr>
          <w:rFonts w:ascii="Arial" w:cs="Arial" w:eastAsia="Arial" w:hAnsi="Arial"/>
          <w:b w:val="false"/>
          <w:bCs w:val="false"/>
          <w:i w:val="false"/>
          <w:iCs w:val="false"/>
          <w:caps w:val="false"/>
          <w:color w:val="8B0000"/>
          <w:sz w:val="20"/>
          <w:szCs w:val="20"/>
        </w:rPr>
        <w:t xml:space="preserve">— Attributed to British Colonial Office internal memorandum, 1943 — reconstructed</w:t>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The British Empire is the anomaly in this catalogue. Between 1945 and 1997, the largest empire in history contracted from approximately 35% of the world's land surface to the United Kingdom and its remaining overseas territories. The process involved two world wars, the partition of India with between 200,000 and two million deaths, the Mau Mau suppression in Kenya with documented systematic atrocity, the Suez crisis humiliation of 1956, and dozens of independence negotiations of varying difficulty. And yet: the British state did not collapse. The centre held. The institutional inheritance of the empire — common law, parliamentary democracy, English as the world's dominant K-transmission language, the financial and commercial architecture of the City of London — not only survived the contraction but in many respects became more influential after the empire ended than during it. This requires explanation.</w:t>
      </w:r>
    </w:p>
    <w:p>
      <w:pPr>
        <w:keepNext/>
        <w:spacing w:after="40" w:before="140" w:line="276" w:lineRule="auto"/>
        <w:jc w:val="left"/>
      </w:pPr>
      <w:r>
        <w:rPr>
          <w:rFonts w:ascii="Arial" w:cs="Arial" w:eastAsia="Arial" w:hAnsi="Arial"/>
          <w:b/>
          <w:bCs/>
          <w:i w:val="false"/>
          <w:iCs w:val="false"/>
          <w:caps w:val="false"/>
          <w:color w:val="8B0000"/>
          <w:sz w:val="22"/>
          <w:szCs w:val="22"/>
        </w:rPr>
        <w:t xml:space="preserve">What Made Managed Contraction Possible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standard explanation is that British pragmatism enabled graceful withdrawal. This is not wrong but it is insufficient. The deeper explanation is institutional: the British state possessed, by 1945, a set of institutions robust enough to survive the loss of the coercive structure that had supported them. The common law tradition was embedded in legal systems across four continents. Parliamentary democratic procedure had been transplanted, with varying fidelity, into the constitutional arrangements of dozens of successor states. English had become the language of science, commerce, diplomacy, and aviation — not because the British Empire required it after 1945, but because the network effects of the empire's K-transmission had made it the default common medium. The institutions had achieved a degree of autonomy from their imperial origin that made them resilient to the empire's contraction.</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contrast with other imperial contractions is instructive. The Spanish Empire's contraction in the early 19th century left successor states that struggled for a century with institutional fragility — the colonial institutional export had been shallower, more dependent on metropolitan authority, and less embedded in local practitioner networks. The French Empire's contraction after 1954 — Algeria, Indochina — involved prolonged military conflict and left institutional relationships that remained contested for decades. The British contraction, while violent in several specific instances, was characterised at the macro level by a deliberate effort to transfer institutions rather than simply withdraw coercive control. This is the critical variable: not the pace of contraction but the quality of institutional transfer.</w:t>
      </w:r>
    </w:p>
    <w:p>
      <w:pPr>
        <w:spacing w:after="80" w:before="0"/>
      </w:pPr>
    </w:p>
    <w:tbl>
      <w:tblPr>
        <w:tblW w:type="dxa" w:w="9360"/>
        <w:tblBorders>
          <w:top w:val="single" w:color="1B5E20" w:sz="4"/>
          <w:left w:val="single" w:color="1B5E20" w:sz="18"/>
          <w:bottom w:val="single" w:color="1B5E20" w:sz="4"/>
          <w:right w:val="single" w:color="1B5E20" w:sz="4"/>
          <w:insideH w:val="none"/>
          <w:insideV w:val="none"/>
        </w:tblBorders>
        <w:tblLayout w:type="fixed"/>
      </w:tblPr>
      <w:tblGrid>
        <w:gridCol w:w="9360"/>
      </w:tblGrid>
      <w:tr>
        <w:tc>
          <w:tcPr>
            <w:tcW w:type="dxa" w:w="9360"/>
            <w:shd w:fill="E8F5E9"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1B5E20"/>
                <w:sz w:val="18"/>
                <w:szCs w:val="18"/>
              </w:rPr>
              <w:t xml:space="preserve">FIELD NOTE  —  THE SINGAPORE CASE</w:t>
            </w:r>
          </w:p>
          <w:p>
            <w:pPr>
              <w:spacing w:after="60" w:before="60" w:line="276" w:lineRule="auto"/>
              <w:jc w:val="left"/>
            </w:pPr>
            <w:r>
              <w:rPr>
                <w:rFonts w:ascii="Arial" w:cs="Arial" w:eastAsia="Arial" w:hAnsi="Arial"/>
                <w:b w:val="false"/>
                <w:bCs w:val="false"/>
                <w:i w:val="false"/>
                <w:iCs w:val="false"/>
                <w:caps w:val="false"/>
                <w:color w:val="1A1A1A"/>
                <w:sz w:val="22"/>
                <w:szCs w:val="22"/>
              </w:rPr>
              <w:t xml:space="preserve">Lee Kuan Yew's founding of modern Singapore is the sharpest illustration of British institutional export value. Independence in 1965 was unwanted — Singapore was expelled from Malaysia, not a volunteer for independence. Lee's construction of the Singaporean state explicitly borrowed British institutional models: an independent judiciary, a professional civil service insulated from electoral patronage, English as the medium of government and commerce, and the rule of law as the foundational operating principle. The corpus records Lee explicitly citing British institutional design as the template. The British Empire had ended. The British institutional model was being deployed, by an independent state, to build one of the most effective governance systems of the 20th century. That is institutional K outlasting coercive control by decades.</w:t>
            </w:r>
          </w:p>
        </w:tc>
      </w:tr>
    </w:tbl>
    <w:p>
      <w:pPr>
        <w:spacing w:after="120" w:before="0"/>
      </w:pP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Commonwealth as an asabiyyah-preserving network after empire is a more ambiguous case. As a formal institution it has limited coercive or coordinative authority — it is a soft network of shared norms, periodic summits, and Commonwealth Games, not a supranational government. But as a legitimacy-maintaining device it has served a function: it preserved a framework within which the transition from empire to independence could be understood as continuous rather than rupture, as a family relationship renegotiated rather than a colonial relationship ended by force. The asabiyyah of the British Empire — the sense of shared identity and mutual obligation that Ibn Khaldun would recognise — was partially preserved in this network rather than destroyed by the contraction. This is not a negligible achievement.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British case also illustrates the 'soft power' transition that the Phi framework accommodates. Coercive control (high Omega deployment, high A-dependency on imperial identity) was replaced, not with vacuum, but with commercial, cultural, and linguistic influence. The BBC World Service, founded 1932, reached its maximum audience in the decades after the empire's end. English-language publishing, the financial markets of the City of London, and the global network of British-trained lawyers and administrators constituted a K-influence infrastructure that persisted and grew after the coercive infrastructure had been dismantled. The empire ended. The influence did not.</w:t>
      </w:r>
    </w:p>
    <w:p>
      <w:pPr>
        <w:spacing w:after="80" w:before="0"/>
      </w:pPr>
    </w:p>
    <w:tbl>
      <w:tblPr>
        <w:tblW w:type="dxa" w:w="9360"/>
        <w:tblBorders>
          <w:top w:val="single" w:color="00595C" w:sz="4"/>
          <w:left w:val="single" w:color="00595C" w:sz="18"/>
          <w:bottom w:val="single" w:color="00595C" w:sz="4"/>
          <w:right w:val="single" w:color="00595C" w:sz="4"/>
          <w:insideH w:val="none"/>
          <w:insideV w:val="none"/>
        </w:tblBorders>
        <w:tblLayout w:type="fixed"/>
      </w:tblPr>
      <w:tblGrid>
        <w:gridCol w:w="9360"/>
      </w:tblGrid>
      <w:tr>
        <w:tc>
          <w:tcPr>
            <w:tcW w:type="dxa" w:w="9360"/>
            <w:shd w:fill="E0F2F1"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00595C"/>
                <w:sz w:val="18"/>
                <w:szCs w:val="18"/>
              </w:rPr>
              <w:t xml:space="preserve">WHAT THE BRITISH MANAGED TO PRESERVE</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Common law: operative in 27 independent successor states, including India (population 1.4 billion), Australia, Canada, and Singapore.</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English language: the working language of international science, aviation, diplomacy, and finance — network effects self-sustaining regardless of British political power.</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Parliamentary procedure: adapted and maintained in Westminster-model democracies across four continents.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Financial infrastructure: the City of London remains a primary global financial centre, operating on institutional foundations established during imperial administration.</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BBC model: public broadcasting designed to serve audiences rather than governments — adopted or adapted in dozens of successor states.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Legal profession: British-trained lawyers and the Inns of Court tradition embedded in legal systems that operate independently of any British authority.</w:t>
            </w:r>
          </w:p>
          <w:p>
            <w:pPr>
              <w:spacing w:after="60" w:before="40" w:line="276" w:lineRule="auto"/>
              <w:jc w:val="left"/>
            </w:pPr>
            <w:r>
              <w:rPr>
                <w:rFonts w:ascii="Arial" w:cs="Arial" w:eastAsia="Arial" w:hAnsi="Arial"/>
                <w:b w:val="false"/>
                <w:bCs w:val="false"/>
                <w:i/>
                <w:iCs/>
                <w:caps w:val="false"/>
                <w:color w:val="3A4652"/>
                <w:sz w:val="18"/>
                <w:szCs w:val="18"/>
              </w:rPr>
              <w:t xml:space="preserve">Source: WORLD_GREATBOOKS; FA_RAG synthesis</w:t>
            </w:r>
          </w:p>
        </w:tc>
      </w:tr>
    </w:tbl>
    <w:p>
      <w:pPr>
        <w:spacing w:after="120" w:before="0"/>
      </w:pP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contraction was not managed perfectly, and the autopsy would be dishonest without this notation. The partition of India in 1947 — executed in approximately six weeks by a Boundary Commission that had inadequate maps, insufficient time, and no mechanism for managing the population transfers its decisions would require — produced between 200,000 and two million deaths and a subcontinent partition that remains a source of strategic instability. The Mau Mau suppression in Kenya (1952–1960) involved systematic detention, torture, and documented atrocity conducted by British colonial administration. The Malayan Emergency involved civilian resettlement on a mass scale. The management of contraction was uneven: where British institutional transfer was careful and the timeline was sufficient, successors inherited functional states; where it was rushed or coercive, the institutional inheritance was damaged.</w:t>
      </w:r>
    </w:p>
    <w:p>
      <w:pPr>
        <w:spacing w:after="80" w:before="0"/>
      </w:pPr>
    </w:p>
    <w:tbl>
      <w:tblPr>
        <w:tblW w:type="dxa" w:w="9360"/>
        <w:tblBorders>
          <w:top w:val="single" w:color="1B3A6B" w:sz="4"/>
          <w:left w:val="single" w:color="1B3A6B" w:sz="18"/>
          <w:bottom w:val="single" w:color="1B3A6B" w:sz="4"/>
          <w:right w:val="single" w:color="1B3A6B" w:sz="4"/>
          <w:insideH w:val="none"/>
          <w:insideV w:val="none"/>
        </w:tblBorders>
        <w:tblLayout w:type="fixed"/>
      </w:tblPr>
      <w:tblGrid>
        <w:gridCol w:w="9360"/>
      </w:tblGrid>
      <w:tr>
        <w:tc>
          <w:tcPr>
            <w:tcW w:type="dxa" w:w="9360"/>
            <w:shd w:fill="E8EEF7" w:color="auto" w:val="clear"/>
            <w:tcMar>
              <w:top w:type="dxa" w:w="120"/>
              <w:left w:type="dxa" w:w="200"/>
              <w:bottom w:type="dxa" w:w="120"/>
              <w:right w:type="dxa" w:w="200"/>
            </w:tcMar>
          </w:tcPr>
          <w:p>
            <w:pPr>
              <w:spacing w:after="40" w:before="60" w:line="300" w:lineRule="auto"/>
              <w:jc w:val="left"/>
            </w:pPr>
            <w:r>
              <w:rPr>
                <w:rFonts w:ascii="Arial" w:cs="Arial" w:eastAsia="Arial" w:hAnsi="Arial"/>
                <w:b w:val="false"/>
                <w:bCs w:val="false"/>
                <w:i/>
                <w:iCs/>
                <w:caps w:val="false"/>
                <w:color w:val="1B3A6B"/>
                <w:sz w:val="26"/>
                <w:szCs w:val="26"/>
              </w:rPr>
              <w:t xml:space="preserve">When contraction is unavoidable, the goal is not to halt it but to preserve the institutional and K inheritance so the next order can build on it rather than starting from zero. The British managed this better than any comparable case in the record. They did not manage it perfectly.</w:t>
            </w:r>
          </w:p>
          <w:p>
            <w:pPr>
              <w:spacing w:after="60" w:before="60" w:line="276" w:lineRule="auto"/>
              <w:jc w:val="left"/>
            </w:pPr>
            <w:r>
              <w:rPr>
                <w:rFonts w:ascii="Arial" w:cs="Arial" w:eastAsia="Arial" w:hAnsi="Arial"/>
                <w:b w:val="false"/>
                <w:bCs w:val="false"/>
                <w:i w:val="false"/>
                <w:iCs w:val="false"/>
                <w:caps w:val="false"/>
                <w:color w:val="8B0000"/>
                <w:sz w:val="20"/>
                <w:szCs w:val="20"/>
              </w:rPr>
              <w:t xml:space="preserve">— CivilisationOS field notation</w:t>
            </w:r>
          </w:p>
        </w:tc>
      </w:tr>
    </w:tbl>
    <w:p>
      <w:pPr>
        <w:spacing w:after="120" w:before="0"/>
      </w:pPr>
    </w:p>
    <w:p>
      <w:pPr>
        <w:spacing w:after="60" w:before="0"/>
      </w:pPr>
    </w:p>
    <w:tbl>
      <w:tblPr>
        <w:tblW w:type="dxa" w:w="9360"/>
        <w:tblBorders>
          <w:top w:val="single" w:color="9AA5B1" w:sz="2"/>
          <w:left w:val="single" w:color="9AA5B1" w:sz="2"/>
          <w:bottom w:val="single" w:color="9AA5B1" w:sz="2"/>
          <w:right w:val="single" w:color="9AA5B1" w:sz="2"/>
          <w:insideH w:val="single" w:color="D5DCE5" w:sz="1"/>
          <w:insideV w:val="single" w:color="D5DCE5" w:sz="1"/>
        </w:tblBorders>
        <w:tblLayout w:type="fixed"/>
      </w:tblPr>
      <w:tblGrid>
        <w:gridCol w:w="2400"/>
        <w:gridCol w:w="1200"/>
        <w:gridCol w:w="1300"/>
        <w:gridCol w:w="1500"/>
        <w:gridCol w:w="2960"/>
      </w:tblGrid>
      <w:tr>
        <w:trPr>
          <w:tblHeader/>
        </w:trPr>
        <w:tc>
          <w:tcPr>
            <w:tcW w:type="dxa" w:w="24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Variable</w:t>
            </w:r>
          </w:p>
        </w:tc>
        <w:tc>
          <w:tcPr>
            <w:tcW w:type="dxa" w:w="12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Symbol</w:t>
            </w:r>
          </w:p>
        </w:tc>
        <w:tc>
          <w:tcPr>
            <w:tcW w:type="dxa" w:w="13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Reading</w:t>
            </w:r>
          </w:p>
        </w:tc>
        <w:tc>
          <w:tcPr>
            <w:tcW w:type="dxa" w:w="15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Trend</w:t>
            </w:r>
          </w:p>
        </w:tc>
        <w:tc>
          <w:tcPr>
            <w:tcW w:type="dxa" w:w="296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Primary Evidence</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Cohesion (A)</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0.61</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transitioning</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Imperial A declining; domestic British national identity stable and distinct from imperial identity; managed separation reduced A-collapse risk</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Knowledge (K)</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K</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0.79</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growing</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English language network effects expanding post-war; scientific establishment world-leading; institutional K being actively transferred to successors</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Institutions (I)</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0.74</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strong</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Westminster parliamentary model robust; civil service professional and insulated; common law tradition deeply embedded across successor states</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Legitimacy (L)</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L</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0.58</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transitioning</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Imperial legitimacy declining; domestic democratic legitimacy stable; transition narrative (Commonwealth, independence by consent) managed L-floor</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Distribution (xi)</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xi</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0.61</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stable</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Post-war welfare state expanded domestic distribution; Marshall Plan stabilised Western European context; decolonisation did not destabilise domestic economy</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Existential Risk (Omega)</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Omega</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0.28</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managed</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Cold War existential risk shared with NATO allies; no direct military threat to British territory; Suez humiliation absorbed without terminal damage</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Elite Overproduction (E)</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0.38</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managed</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Imperial administrative class absorbed into domestic civil service, Commonwealth roles, international institutions; E-surplus redirected rather than stranded</w:t>
            </w:r>
          </w:p>
        </w:tc>
      </w:tr>
    </w:tbl>
    <w:p>
      <w:pPr>
        <w:spacing w:after="120" w:before="0"/>
      </w:pPr>
    </w:p>
    <w:p>
      <w:pPr>
        <w:spacing w:after="80" w:before="0"/>
      </w:pPr>
    </w:p>
    <w:tbl>
      <w:tblPr>
        <w:tblW w:type="dxa" w:w="9360"/>
        <w:tblBorders>
          <w:top w:val="single" w:color="7A4F01" w:sz="4"/>
          <w:left w:val="single" w:color="7A4F01" w:sz="18"/>
          <w:bottom w:val="single" w:color="7A4F01" w:sz="4"/>
          <w:right w:val="single" w:color="7A4F01" w:sz="4"/>
          <w:insideH w:val="none"/>
          <w:insideV w:val="none"/>
        </w:tblBorders>
        <w:tblLayout w:type="fixed"/>
      </w:tblPr>
      <w:tblGrid>
        <w:gridCol w:w="9360"/>
      </w:tblGrid>
      <w:tr>
        <w:tc>
          <w:tcPr>
            <w:tcW w:type="dxa" w:w="9360"/>
            <w:shd w:fill="FFF6E0"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7A4F01"/>
                <w:sz w:val="18"/>
                <w:szCs w:val="18"/>
              </w:rPr>
              <w:t xml:space="preserve">AUTOPSY FINDING 10.5</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The British case is the positive comparison point: what managed contraction looks like when institutions are strong enough to outlast the coercive structure that originally supported them. The lesson is not that the British Empire was admirable — the corpus records its atrocities alongside its institutional achievements. The lesson is structural: a civilisation whose K and I variables are embedded deeply enough in external networks can survive the loss of its A-dependent coercive power. The builders of the next order should design for this: institutions and knowledge systems whose value is recognised independently of the power that created them, so that when power contracts — as it always eventually does — the inheritance survives the heir.</w:t>
            </w:r>
          </w:p>
        </w:tc>
      </w:tr>
    </w:tbl>
    <w:p>
      <w:pPr>
        <w:spacing w:after="120" w:before="0"/>
      </w:pPr>
    </w:p>
    <w:p>
      <w:r>
        <w:br w:type="pag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10.6  </w:t>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What the Autopsies Have in Common</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60" w:before="60" w:line="300" w:lineRule="auto"/>
        <w:ind w:left="900" w:right="900"/>
        <w:jc w:val="center"/>
      </w:pPr>
      <w:r>
        <w:rPr>
          <w:rFonts w:ascii="Arial" w:cs="Arial" w:eastAsia="Arial" w:hAnsi="Arial"/>
          <w:b w:val="false"/>
          <w:bCs w:val="false"/>
          <w:i/>
          <w:iCs/>
          <w:caps w:val="false"/>
          <w:color w:val="1B3A6B"/>
          <w:sz w:val="24"/>
          <w:szCs w:val="24"/>
        </w:rPr>
        <w:t xml:space="preserve">The equation does not predict the date of collapse. It predicts the structural conditions under which collapse becomes energetically unavoidable. Those conditions were present in each case long before any contemporary observer named them.</w:t>
      </w:r>
    </w:p>
    <w:p>
      <w:pPr>
        <w:spacing w:after="240" w:before="60" w:line="276" w:lineRule="auto"/>
        <w:jc w:val="center"/>
      </w:pPr>
      <w:r>
        <w:rPr>
          <w:rFonts w:ascii="Arial" w:cs="Arial" w:eastAsia="Arial" w:hAnsi="Arial"/>
          <w:b w:val="false"/>
          <w:bCs w:val="false"/>
          <w:i w:val="false"/>
          <w:iCs w:val="false"/>
          <w:caps w:val="false"/>
          <w:color w:val="8B0000"/>
          <w:sz w:val="20"/>
          <w:szCs w:val="20"/>
        </w:rPr>
        <w:t xml:space="preserve">— CivilisationOS annotation</w:t>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Five autopsies, five different primary failure modes, five different cascade sequences. Western Rome collapsed through A-exhaustion driving I-capture driving L-erosion over two centuries. The Abbasid Caliphate collapsed through I-fracture enabling K-destruction in a single military event. The Ming Dynasty collapsed through I-calcification paralyzing the adaptive response that famine and dual military threat required. The Soviet Union collapsed through L-erosion accumulated across decades of visible falsification. The British Empire did not collapse in the usual sense — it contracted, and what survived the contraction was the institutional and K inheritance that the empire's builders had, over centuries, embedded more deeply than any coercive structure alone could sustain. The primary failure modes differ. The underlying pattern does not.</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The Pattern the Record Confirms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first finding is the one stated at the beginning of this section: institutional failure was present in every collapse, even when it was not the primary driver. In Western Rome, institutions were captured by the military before they failed. In the Abbasid Caliphate, the institutional fracture between political and military authority preceded the K-destruction by two centuries. In the Ming Dynasty, institutional calcification was the primary driver. In the Soviet Union, institutions were hollowed by L-erosion before they failed. In the British case, institutional robustness was the primary explanation for what survived. I is not one variable among seven. It is the variable through which all other variables interact with each other. When I is functioning, A-decline can be compensated. When I is functioning, K can be protected. When I is functioning, L can be replenished through legitimate reform. When I fails, all other variables are exposed simultaneously.</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second finding concerns the lag between structural collapse and formal collapse. In four of the five cases, the structural collapse — the moment at which the Phi score had fallen to the point where recovery was energetically impossible without external intervention — preceded the formal collapse date by decades. Western Rome's structural collapse was substantially complete by 420 CE; the formal terminus was 476 CE. The Abbasid Caliphate's institutional fracture was complete by 1100 CE; the formal terminus was 1258 CE. The Ming Dynasty's institutional calcification was observable by 1580 CE; the formal terminus was 1644 CE. The Soviet Union's L-floor breach occurred in the late 1970s; the formal dissolution was 1991 CE. This lag is dangerous because it produces false confidence: the civilisation is functioning, its forms are maintained, its elites are still writing letters about their estates — but the structural conditions for collapse are already in place and progressing.</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third finding is about the distribution of collapse triggers. In none of the five cases did a single event cause the collapse. Each collapse was the product of multiple variables breaching their floors in a specific sequence, with each breach enabling or accelerating the next. The Mongol armies that sacked Baghdad did not cause the collapse of the Abbasid Caliphate — they terminated a structure that had already been institutionally compromised for three centuries. Li Zicheng's rebellion did not cause the Ming collapse — it was the terminal expression of institutional paralysis that had been accumulating for a century. The August 1991 coup attempt did not cause the Soviet dissolution — it revealed that the dissolution had already occurred at the level of legitimacy and institutional will. External shocks are the visible events that historians date. The structural conditions that determined whether those shocks were survivable are the actual subject of civilisational analysis.</w:t>
      </w:r>
    </w:p>
    <w:p>
      <w:pPr>
        <w:spacing w:after="60" w:before="0"/>
      </w:pPr>
    </w:p>
    <w:tbl>
      <w:tblPr>
        <w:tblW w:type="dxa" w:w="9360"/>
        <w:tblBorders>
          <w:top w:val="single" w:color="9AA5B1" w:sz="2"/>
          <w:left w:val="single" w:color="9AA5B1" w:sz="2"/>
          <w:bottom w:val="single" w:color="9AA5B1" w:sz="2"/>
          <w:right w:val="single" w:color="9AA5B1" w:sz="2"/>
          <w:insideH w:val="single" w:color="D5DCE5" w:sz="1"/>
          <w:insideV w:val="single" w:color="D5DCE5" w:sz="1"/>
        </w:tblBorders>
        <w:tblLayout w:type="fixed"/>
      </w:tblPr>
      <w:tblGrid>
        <w:gridCol w:w="1300"/>
        <w:gridCol w:w="1500"/>
        <w:gridCol w:w="1500"/>
        <w:gridCol w:w="1400"/>
        <w:gridCol w:w="820"/>
        <w:gridCol w:w="2840"/>
      </w:tblGrid>
      <w:tr>
        <w:trPr>
          <w:tblHeader/>
        </w:trPr>
        <w:tc>
          <w:tcPr>
            <w:tcW w:type="dxa" w:w="13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Civilisation</w:t>
            </w:r>
          </w:p>
        </w:tc>
        <w:tc>
          <w:tcPr>
            <w:tcW w:type="dxa" w:w="15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Primary Failure</w:t>
            </w:r>
          </w:p>
        </w:tc>
        <w:tc>
          <w:tcPr>
            <w:tcW w:type="dxa" w:w="15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First Floor Breach</w:t>
            </w:r>
          </w:p>
        </w:tc>
        <w:tc>
          <w:tcPr>
            <w:tcW w:type="dxa" w:w="14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Formal Collapse</w:t>
            </w:r>
          </w:p>
        </w:tc>
        <w:tc>
          <w:tcPr>
            <w:tcW w:type="dxa" w:w="82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Lag (years)</w:t>
            </w:r>
          </w:p>
        </w:tc>
        <w:tc>
          <w:tcPr>
            <w:tcW w:type="dxa" w:w="284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What Survived</w:t>
            </w:r>
          </w:p>
        </w:tc>
      </w:tr>
      <w:tr>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Western Rome</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A-exhaustion + E-overproduction</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~270 CE (3rd century crisis)</w:t>
            </w:r>
          </w:p>
        </w:tc>
        <w:tc>
          <w:tcPr>
            <w:tcW w:type="dxa" w:w="1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476 CE</w:t>
            </w:r>
          </w:p>
        </w:tc>
        <w:tc>
          <w:tcPr>
            <w:tcW w:type="dxa" w:w="82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~200</w:t>
            </w:r>
          </w:p>
        </w:tc>
        <w:tc>
          <w:tcPr>
            <w:tcW w:type="dxa" w:w="284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Roman law; Church; Latin letters; Eastern continuation as Byzantium</w:t>
            </w:r>
          </w:p>
        </w:tc>
      </w:tr>
      <w:tr>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Abbasid Caliphate</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I-fracture enabling K-destruction</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~945 CE (Buyid capture)</w:t>
            </w:r>
          </w:p>
        </w:tc>
        <w:tc>
          <w:tcPr>
            <w:tcW w:type="dxa" w:w="1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1258 CE</w:t>
            </w:r>
          </w:p>
        </w:tc>
        <w:tc>
          <w:tcPr>
            <w:tcW w:type="dxa" w:w="82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~313</w:t>
            </w:r>
          </w:p>
        </w:tc>
        <w:tc>
          <w:tcPr>
            <w:tcW w:type="dxa" w:w="284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Islamic law; Quranic tradition; religious institutional network</w:t>
            </w:r>
          </w:p>
        </w:tc>
      </w:tr>
      <w:tr>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Ming Dynasty</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I-calcification</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~1450 CE (maritime withdrawal)</w:t>
            </w:r>
          </w:p>
        </w:tc>
        <w:tc>
          <w:tcPr>
            <w:tcW w:type="dxa" w:w="1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1644 CE</w:t>
            </w:r>
          </w:p>
        </w:tc>
        <w:tc>
          <w:tcPr>
            <w:tcW w:type="dxa" w:w="82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~194</w:t>
            </w:r>
          </w:p>
        </w:tc>
        <w:tc>
          <w:tcPr>
            <w:tcW w:type="dxa" w:w="284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Confucian examination model (adopted by Qing); Chinese literary tradition</w:t>
            </w:r>
          </w:p>
        </w:tc>
      </w:tr>
      <w:tr>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Soviet Union</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L-collapse</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~1970s (Gulag exposure)</w:t>
            </w:r>
          </w:p>
        </w:tc>
        <w:tc>
          <w:tcPr>
            <w:tcW w:type="dxa" w:w="1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1991 CE</w:t>
            </w:r>
          </w:p>
        </w:tc>
        <w:tc>
          <w:tcPr>
            <w:tcW w:type="dxa" w:w="82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~15-20</w:t>
            </w:r>
          </w:p>
        </w:tc>
        <w:tc>
          <w:tcPr>
            <w:tcW w:type="dxa" w:w="284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Nuclear weapons (Russia); nomenklatura redirected as oligarchs; some technical K</w:t>
            </w:r>
          </w:p>
        </w:tc>
      </w:tr>
      <w:tr>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British Empire</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Managed contraction (no primary collapse)</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1947 CE (India partition — managed)</w:t>
            </w:r>
          </w:p>
        </w:tc>
        <w:tc>
          <w:tcPr>
            <w:tcW w:type="dxa" w:w="1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1997 CE (HK handover)</w:t>
            </w:r>
          </w:p>
        </w:tc>
        <w:tc>
          <w:tcPr>
            <w:tcW w:type="dxa" w:w="82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N/A</w:t>
            </w:r>
          </w:p>
        </w:tc>
        <w:tc>
          <w:tcPr>
            <w:tcW w:type="dxa" w:w="284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Common law; English language; parliamentary model; City of London; Commonwealth</w:t>
            </w:r>
          </w:p>
        </w:tc>
      </w:tr>
    </w:tbl>
    <w:p>
      <w:pPr>
        <w:spacing w:after="120" w:before="0"/>
      </w:pP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What the Equation Predicts — and What It Cannot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Phi equation is a diagnostic instrument, not a prophecy. It identifies when a civilisation's structural variables have entered ranges from which recovery becomes statistically unlikely without fundamental reorganisation. It does not specify the mechanism of collapse, the date of formal terminus, or whether the collapse will be violent or peaceful. The Phi score of the Abbasid Caliphate in 1250 CE would have been in the range where the equation flags terminal risk. It would not have predicted that the terminal event would be a Mongol army in 1258 rather than a succession crisis in 1255 or a provincial revolt in 1262. The structural condition is deterministic within the framework; the triggering event is not.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This matters for builders because the implication is not nihilistic. If collapse is not triggered by a specific external event but by a specific combination of internal variable readings, then the intervention target is the variables — not the prevention of external shocks, which is in most cases impossible. Western Rome could not have prevented the Hunnic pressure that displaced the Goths westward. The Abbasid Caliphate could not have prevented the Mongol expansion. The Ming Dynasty could not have prevented the Little Ice Age. What each of these civilisations could, in principle, have done differently was manage the internal variable readings that determined whether they could absorb the external shock. A civilisation with I above 0.60, A above 0.55, and L above 0.50 may not survive a Mongol army — but it will survive it better than one whose variables are already in terminal range when the army arrives.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British case offers the most actionable guidance. The British managed contraction not by preventing the external pressures — nationalist movements, American pressure for decolonisation, the economic exhaustion of two world wars — but by ensuring that when contraction arrived, the institutional and K inheritance was robust enough to outlast the coercive structure. They invested, across two centuries of imperial administration, in institutional export: legal systems, educational traditions, administrative models, and a shared language. When the empire ended, the investments did not. The question for any contemporary builder is the same question the British colonial administration answered imperfectly but better than anyone else in the record: what does your civilisation leave behind when the coercive power that sustains it is gone?</w:t>
      </w:r>
    </w:p>
    <w:p>
      <w:pPr>
        <w:spacing w:after="80" w:before="0"/>
      </w:pPr>
    </w:p>
    <w:tbl>
      <w:tblPr>
        <w:tblW w:type="dxa" w:w="9360"/>
        <w:tblBorders>
          <w:top w:val="single" w:color="1B3A6B" w:sz="4"/>
          <w:left w:val="single" w:color="1B3A6B" w:sz="18"/>
          <w:bottom w:val="single" w:color="1B3A6B" w:sz="4"/>
          <w:right w:val="single" w:color="1B3A6B" w:sz="4"/>
          <w:insideH w:val="none"/>
          <w:insideV w:val="none"/>
        </w:tblBorders>
        <w:tblLayout w:type="fixed"/>
      </w:tblPr>
      <w:tblGrid>
        <w:gridCol w:w="9360"/>
      </w:tblGrid>
      <w:tr>
        <w:tc>
          <w:tcPr>
            <w:tcW w:type="dxa" w:w="9360"/>
            <w:shd w:fill="E8EEF7" w:color="auto" w:val="clear"/>
            <w:tcMar>
              <w:top w:type="dxa" w:w="120"/>
              <w:left w:type="dxa" w:w="200"/>
              <w:bottom w:type="dxa" w:w="120"/>
              <w:right w:type="dxa" w:w="200"/>
            </w:tcMar>
          </w:tcPr>
          <w:p>
            <w:pPr>
              <w:spacing w:after="40" w:before="60" w:line="300" w:lineRule="auto"/>
              <w:jc w:val="left"/>
            </w:pPr>
            <w:r>
              <w:rPr>
                <w:rFonts w:ascii="Arial" w:cs="Arial" w:eastAsia="Arial" w:hAnsi="Arial"/>
                <w:b w:val="false"/>
                <w:bCs w:val="false"/>
                <w:i/>
                <w:iCs/>
                <w:caps w:val="false"/>
                <w:color w:val="1B3A6B"/>
                <w:sz w:val="26"/>
                <w:szCs w:val="26"/>
              </w:rPr>
              <w:t xml:space="preserve">The measure of a civilisation is not what it achieves at its peak. It is what it leaves behind when the peak has passed. By that measure, Rome left law. Baghdad left algebra. The Ming left administrative technique. The Soviet Union left a warning. The British Empire left institutions that are still operational today, in states that have never been British territories.</w:t>
            </w:r>
          </w:p>
          <w:p>
            <w:pPr>
              <w:spacing w:after="60" w:before="60" w:line="276" w:lineRule="auto"/>
              <w:jc w:val="left"/>
            </w:pPr>
            <w:r>
              <w:rPr>
                <w:rFonts w:ascii="Arial" w:cs="Arial" w:eastAsia="Arial" w:hAnsi="Arial"/>
                <w:b w:val="false"/>
                <w:bCs w:val="false"/>
                <w:i w:val="false"/>
                <w:iCs w:val="false"/>
                <w:caps w:val="false"/>
                <w:color w:val="8B0000"/>
                <w:sz w:val="20"/>
                <w:szCs w:val="20"/>
              </w:rPr>
              <w:t xml:space="preserve">— CivilisationOS synthesis</w:t>
            </w:r>
          </w:p>
        </w:tc>
      </w:tr>
    </w:tbl>
    <w:p>
      <w:pPr>
        <w:spacing w:after="120" w:before="0"/>
      </w:pP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The One Thing All Five Share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Across five autopsies spanning fifteen centuries, one structural feature recurs without exception: the elites of the collapsing civilisation consistently failed to perform the diagnostic function that survival required. The Roman senatorial class competed for advantage within a system whose foundations had dissolved. The Abbasid court maintained its rituals of caliphal authority while real power had been elsewhere for three centuries. The Ming scholar-officials argued the correct Confucian response to institutional failure while the institutional failure accelerated. The Soviet nomenklatura privately calculated personal advantage while publicly maintaining the performance of socialist conviction. In each case, the elite class that was structurally positioned to diagnose the problem, mobilise the response, and coordinate the adaptation had been captured — by factional competition, by ideological rigidity, by the personal incentives of the elite surplus — and could not perform the function that survival required.</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This is the E-variable in its most consequential form. Elite overproduction does not simply increase the cost of the elite surplus. It corrupts the diagnostic capacity of the system. When elites are competing intensely for position — as Roman senators competed for imperial favour, as Ming scholar-officials competed through examination ranks, as Soviet nomenklatura competed for party standing — the incentive to accurately diagnose structural failure is outweighed by the incentive to maintain the positions that the current structure provides. Accurate diagnosis implies change. Change implies redistribution of position. The elite surplus, collectively, resists the accurate diagnosis that would threaten its collective position. The civilisation proceeds toward collapse with the people best positioned to see it unable, by incentive structure, to report what they see.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British partial exception holds here as well. The British elite class, particularly from the late 19th century onward, produced a steady stream of accurate diagnoses of imperial overextension — from Gladstone's anti-imperialism to the Fabian critiques to the post-1945 Labour government's deliberate decolonisation programme. These were not ignored. They were debated, contested, and in significant measure acted upon. The existence of a functioning parliamentary democratic system provided an institutional mechanism through which elite diagnostic capacity could translate into policy revision. This is the deepest lesson of the managed contraction: it was possible not because the British elite were wiser than other imperial elites, but because the institution through which their diagnoses were contested and resolved was functioning well enough to convert accurate diagnosis into adaptive policy. I, again, is the variable that makes all other variables work.</w:t>
      </w:r>
    </w:p>
    <w:p>
      <w:pPr>
        <w:spacing w:after="60" w:before="20" w:line="276" w:lineRule="auto"/>
        <w:ind w:left="360" w:hanging="360"/>
        <w:jc w:val="left"/>
      </w:pPr>
      <w:r>
        <w:rPr>
          <w:rFonts w:ascii="Arial" w:cs="Arial" w:eastAsia="Arial" w:hAnsi="Arial"/>
          <w:b/>
          <w:bCs/>
          <w:i w:val="false"/>
          <w:iCs w:val="false"/>
          <w:caps w:val="false"/>
          <w:color w:val="1B3A6B"/>
          <w:sz w:val="22"/>
          <w:szCs w:val="22"/>
        </w:rPr>
        <w:t xml:space="preserve">1.  </w:t>
      </w:r>
      <w:r>
        <w:rPr>
          <w:rFonts w:ascii="Arial" w:cs="Arial" w:eastAsia="Arial" w:hAnsi="Arial"/>
          <w:b w:val="false"/>
          <w:bCs w:val="false"/>
          <w:i w:val="false"/>
          <w:iCs w:val="false"/>
          <w:caps w:val="false"/>
          <w:color w:val="1A1A1A"/>
          <w:sz w:val="22"/>
          <w:szCs w:val="22"/>
        </w:rPr>
        <w:t xml:space="preserve">Institutional failure is present in every collapse, even when it is not the primary driver. Functioning institutions can compensate for A-decline, protect K, and provide pathways to L-restoration. Failed institutions expose all variables simultaneously.</w:t>
      </w:r>
    </w:p>
    <w:p>
      <w:pPr>
        <w:spacing w:after="60" w:before="20" w:line="276" w:lineRule="auto"/>
        <w:ind w:left="360" w:hanging="360"/>
        <w:jc w:val="left"/>
      </w:pPr>
      <w:r>
        <w:rPr>
          <w:rFonts w:ascii="Arial" w:cs="Arial" w:eastAsia="Arial" w:hAnsi="Arial"/>
          <w:b/>
          <w:bCs/>
          <w:i w:val="false"/>
          <w:iCs w:val="false"/>
          <w:caps w:val="false"/>
          <w:color w:val="1B3A6B"/>
          <w:sz w:val="22"/>
          <w:szCs w:val="22"/>
        </w:rPr>
        <w:t xml:space="preserve">2.  </w:t>
      </w:r>
      <w:r>
        <w:rPr>
          <w:rFonts w:ascii="Arial" w:cs="Arial" w:eastAsia="Arial" w:hAnsi="Arial"/>
          <w:b w:val="false"/>
          <w:bCs w:val="false"/>
          <w:i w:val="false"/>
          <w:iCs w:val="false"/>
          <w:caps w:val="false"/>
          <w:color w:val="1A1A1A"/>
          <w:sz w:val="22"/>
          <w:szCs w:val="22"/>
        </w:rPr>
        <w:t xml:space="preserve">The structural collapse precedes the formal collapse by decades. By the time the formal terminus arrives, the diagnostic window has long closed. The intervention must occur when the system still appears functional.</w:t>
      </w:r>
    </w:p>
    <w:p>
      <w:pPr>
        <w:spacing w:after="60" w:before="20" w:line="276" w:lineRule="auto"/>
        <w:ind w:left="360" w:hanging="360"/>
        <w:jc w:val="left"/>
      </w:pPr>
      <w:r>
        <w:rPr>
          <w:rFonts w:ascii="Arial" w:cs="Arial" w:eastAsia="Arial" w:hAnsi="Arial"/>
          <w:b/>
          <w:bCs/>
          <w:i w:val="false"/>
          <w:iCs w:val="false"/>
          <w:caps w:val="false"/>
          <w:color w:val="1B3A6B"/>
          <w:sz w:val="22"/>
          <w:szCs w:val="22"/>
        </w:rPr>
        <w:t xml:space="preserve">3.  </w:t>
      </w:r>
      <w:r>
        <w:rPr>
          <w:rFonts w:ascii="Arial" w:cs="Arial" w:eastAsia="Arial" w:hAnsi="Arial"/>
          <w:b w:val="false"/>
          <w:bCs w:val="false"/>
          <w:i w:val="false"/>
          <w:iCs w:val="false"/>
          <w:caps w:val="false"/>
          <w:color w:val="1A1A1A"/>
          <w:sz w:val="22"/>
          <w:szCs w:val="22"/>
        </w:rPr>
        <w:t xml:space="preserve">Collapse is not triggered by external shocks. It is enabled by internal variable configurations that determine whether external shocks are survivable. The target is the variables, not the shocks.</w:t>
      </w:r>
    </w:p>
    <w:p>
      <w:pPr>
        <w:spacing w:after="60" w:before="20" w:line="276" w:lineRule="auto"/>
        <w:ind w:left="360" w:hanging="360"/>
        <w:jc w:val="left"/>
      </w:pPr>
      <w:r>
        <w:rPr>
          <w:rFonts w:ascii="Arial" w:cs="Arial" w:eastAsia="Arial" w:hAnsi="Arial"/>
          <w:b/>
          <w:bCs/>
          <w:i w:val="false"/>
          <w:iCs w:val="false"/>
          <w:caps w:val="false"/>
          <w:color w:val="1B3A6B"/>
          <w:sz w:val="22"/>
          <w:szCs w:val="22"/>
        </w:rPr>
        <w:t xml:space="preserve">4.  </w:t>
      </w:r>
      <w:r>
        <w:rPr>
          <w:rFonts w:ascii="Arial" w:cs="Arial" w:eastAsia="Arial" w:hAnsi="Arial"/>
          <w:b w:val="false"/>
          <w:bCs w:val="false"/>
          <w:i w:val="false"/>
          <w:iCs w:val="false"/>
          <w:caps w:val="false"/>
          <w:color w:val="1A1A1A"/>
          <w:sz w:val="22"/>
          <w:szCs w:val="22"/>
        </w:rPr>
        <w:t xml:space="preserve">Elite overproduction corrupts diagnostic capacity. The people best positioned to see the collapse coming have the strongest incentive to suppress that diagnosis. Any functioning civilisation requires institutional mechanisms that reward accurate diagnosis over comfortable silence.</w:t>
      </w:r>
    </w:p>
    <w:p>
      <w:pPr>
        <w:spacing w:after="60" w:before="20" w:line="276" w:lineRule="auto"/>
        <w:ind w:left="360" w:hanging="360"/>
        <w:jc w:val="left"/>
      </w:pPr>
      <w:r>
        <w:rPr>
          <w:rFonts w:ascii="Arial" w:cs="Arial" w:eastAsia="Arial" w:hAnsi="Arial"/>
          <w:b/>
          <w:bCs/>
          <w:i w:val="false"/>
          <w:iCs w:val="false"/>
          <w:caps w:val="false"/>
          <w:color w:val="1B3A6B"/>
          <w:sz w:val="22"/>
          <w:szCs w:val="22"/>
        </w:rPr>
        <w:t xml:space="preserve">5.  </w:t>
      </w:r>
      <w:r>
        <w:rPr>
          <w:rFonts w:ascii="Arial" w:cs="Arial" w:eastAsia="Arial" w:hAnsi="Arial"/>
          <w:b w:val="false"/>
          <w:bCs w:val="false"/>
          <w:i w:val="false"/>
          <w:iCs w:val="false"/>
          <w:caps w:val="false"/>
          <w:color w:val="1A1A1A"/>
          <w:sz w:val="22"/>
          <w:szCs w:val="22"/>
        </w:rPr>
        <w:t xml:space="preserve">What survives the collapse is what was embedded deeply enough to outlast the coercive structure: law, language, institutional procedure, and the practitioner networks that sustain living knowledge traditions. Build for the aftermath, not only for the peak.</w:t>
      </w:r>
    </w:p>
    <w:p>
      <w:pPr>
        <w:spacing w:after="160" w:before="0"/>
      </w:pPr>
    </w:p>
    <w:p>
      <w:pPr>
        <w:spacing w:after="80" w:before="0"/>
      </w:pPr>
    </w:p>
    <w:tbl>
      <w:tblPr>
        <w:tblW w:type="dxa" w:w="9360"/>
        <w:tblBorders>
          <w:top w:val="single" w:color="1B5E20" w:sz="4"/>
          <w:left w:val="single" w:color="1B5E20" w:sz="18"/>
          <w:bottom w:val="single" w:color="1B5E20" w:sz="4"/>
          <w:right w:val="single" w:color="1B5E20" w:sz="4"/>
          <w:insideH w:val="none"/>
          <w:insideV w:val="none"/>
        </w:tblBorders>
        <w:tblLayout w:type="fixed"/>
      </w:tblPr>
      <w:tblGrid>
        <w:gridCol w:w="9360"/>
      </w:tblGrid>
      <w:tr>
        <w:tc>
          <w:tcPr>
            <w:tcW w:type="dxa" w:w="9360"/>
            <w:shd w:fill="E8F5E9"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1B5E20"/>
                <w:sz w:val="18"/>
                <w:szCs w:val="18"/>
              </w:rPr>
              <w:t xml:space="preserve">FIELD NOTE  —  FOR THE BUILDER</w:t>
            </w:r>
          </w:p>
          <w:p>
            <w:pPr>
              <w:spacing w:after="60" w:before="60" w:line="276" w:lineRule="auto"/>
              <w:jc w:val="left"/>
            </w:pPr>
            <w:r>
              <w:rPr>
                <w:rFonts w:ascii="Arial" w:cs="Arial" w:eastAsia="Arial" w:hAnsi="Arial"/>
                <w:b w:val="false"/>
                <w:bCs w:val="false"/>
                <w:i w:val="false"/>
                <w:iCs w:val="false"/>
                <w:caps w:val="false"/>
                <w:color w:val="1A1A1A"/>
                <w:sz w:val="22"/>
                <w:szCs w:val="22"/>
              </w:rPr>
              <w:t xml:space="preserve">The autopsies in this section are not cautionary tales in the conventional sense — they are not meant to produce anxiety about collapse. They are meant to produce clarity about mechanism. If the Phi equation is correct, and if the five cases in this section are representative, then civilisational collapse is neither random nor inevitable. It is the outcome of specific variable configurations, produced by identifiable dynamics, detectable before the formal terminus if the diagnostic instruments are in place and the diagnostic capacity has not been captured by elite competition. This manual exists to provide those instruments. The autopsies exist to demonstrate that the instruments are calibrated against the historical record. The question for the builder is not whether collapse is coming. The question is which variables are closest to their floors, and what is being done about it.</w:t>
            </w:r>
          </w:p>
        </w:tc>
      </w:tr>
    </w:tbl>
    <w:p>
      <w:pPr>
        <w:spacing w:after="120" w:before="0"/>
      </w:pPr>
    </w:p>
    <w:p>
      <w:r>
        <w:br w:type="page"/>
      </w:r>
    </w:p>
    <w:p>
      <w:r>
        <w:br w:type="page"/>
      </w:r>
    </w:p>
    <w:p>
      <w:pPr>
        <w:spacing w:after="2400" w:before="0"/>
      </w:pPr>
    </w:p>
    <w:p>
      <w:pPr>
        <w:spacing w:after="80" w:before="60" w:line="276" w:lineRule="auto"/>
        <w:jc w:val="center"/>
      </w:pPr>
      <w:r>
        <w:rPr>
          <w:rFonts w:ascii="Arial" w:cs="Arial" w:eastAsia="Arial" w:hAnsi="Arial"/>
          <w:b/>
          <w:bCs/>
          <w:i w:val="false"/>
          <w:iCs w:val="false"/>
          <w:caps/>
          <w:color w:val="8B0000"/>
          <w:sz w:val="22"/>
          <w:szCs w:val="22"/>
        </w:rPr>
        <w:t xml:space="preserve">Section Eleven</w:t>
      </w:r>
    </w:p>
    <w:p>
      <w:pPr>
        <w:pBdr>
          <w:bottom w:val="single" w:color="1B3A6B" w:sz="16" w:space="6"/>
        </w:pBdr>
        <w:spacing w:after="80" w:before="120"/>
        <w:jc w:val="left"/>
      </w:pPr>
      <w:r>
        <w:rPr>
          <w:rFonts w:ascii="Arial" w:cs="Arial" w:eastAsia="Arial" w:hAnsi="Arial"/>
          <w:b w:val="false"/>
          <w:bCs w:val="false"/>
          <w:i w:val="false"/>
          <w:iCs w:val="false"/>
          <w:caps w:val="false"/>
          <w:color w:val="1A1A1A"/>
          <w:sz w:val="22"/>
          <w:szCs w:val="22"/>
        </w:rPr>
        <w:t xml:space="preserve"/>
      </w:r>
    </w:p>
    <w:p>
      <w:pPr>
        <w:spacing w:after="120" w:before="120" w:line="300" w:lineRule="auto"/>
        <w:jc w:val="center"/>
      </w:pPr>
      <w:r>
        <w:rPr>
          <w:rFonts w:ascii="Arial" w:cs="Arial" w:eastAsia="Arial" w:hAnsi="Arial"/>
          <w:b/>
          <w:bCs/>
          <w:i w:val="false"/>
          <w:iCs w:val="false"/>
          <w:caps w:val="false"/>
          <w:color w:val="1B3A6B"/>
          <w:sz w:val="44"/>
          <w:szCs w:val="44"/>
        </w:rPr>
        <w:t xml:space="preserve">THE HISTORY LIBRARY</w:t>
      </w:r>
    </w:p>
    <w:p>
      <w:pPr>
        <w:spacing w:after="120" w:before="60" w:line="276" w:lineRule="auto"/>
        <w:jc w:val="center"/>
      </w:pPr>
      <w:r>
        <w:rPr>
          <w:rFonts w:ascii="Arial" w:cs="Arial" w:eastAsia="Arial" w:hAnsi="Arial"/>
          <w:b w:val="false"/>
          <w:bCs w:val="false"/>
          <w:i/>
          <w:iCs/>
          <w:caps w:val="false"/>
          <w:color w:val="3A4652"/>
          <w:sz w:val="24"/>
          <w:szCs w:val="24"/>
        </w:rPr>
        <w:t xml:space="preserve">Eight Civilisations Read as Operating Systems</w:t>
      </w:r>
    </w:p>
    <w:p>
      <w:pPr>
        <w:pBdr>
          <w:bottom w:val="single" w:color="1B3A6B" w:sz="16" w:space="6"/>
        </w:pBdr>
        <w:spacing w:after="120" w:before="80"/>
        <w:jc w:val="left"/>
      </w:pPr>
      <w:r>
        <w:rPr>
          <w:rFonts w:ascii="Arial" w:cs="Arial" w:eastAsia="Arial" w:hAnsi="Arial"/>
          <w:b w:val="false"/>
          <w:bCs w:val="false"/>
          <w:i w:val="false"/>
          <w:iCs w:val="false"/>
          <w:caps w:val="false"/>
          <w:color w:val="1A1A1A"/>
          <w:sz w:val="22"/>
          <w:szCs w:val="22"/>
        </w:rPr>
        <w:t xml:space="preserve"/>
      </w:r>
    </w:p>
    <w:p>
      <w:pPr>
        <w:spacing w:after="400" w:before="0"/>
      </w:pPr>
    </w:p>
    <w:p>
      <w:pPr>
        <w:spacing w:after="60" w:before="60" w:line="300" w:lineRule="auto"/>
        <w:ind w:left="700" w:right="700"/>
        <w:jc w:val="center"/>
      </w:pPr>
      <w:r>
        <w:rPr>
          <w:rFonts w:ascii="Arial" w:cs="Arial" w:eastAsia="Arial" w:hAnsi="Arial"/>
          <w:b w:val="false"/>
          <w:bCs w:val="false"/>
          <w:i/>
          <w:iCs/>
          <w:caps w:val="false"/>
          <w:color w:val="3A4652"/>
          <w:sz w:val="22"/>
          <w:szCs w:val="22"/>
        </w:rPr>
        <w:t xml:space="preserve">The laws of history are as fixed as the laws of physics. The historian who does not bring equations to the archive brings only sentiment.</w:t>
      </w:r>
    </w:p>
    <w:p>
      <w:pPr>
        <w:spacing w:after="60" w:before="60" w:line="276" w:lineRule="auto"/>
        <w:jc w:val="center"/>
      </w:pPr>
      <w:r>
        <w:rPr>
          <w:rFonts w:ascii="Arial" w:cs="Arial" w:eastAsia="Arial" w:hAnsi="Arial"/>
          <w:b w:val="false"/>
          <w:bCs w:val="false"/>
          <w:i w:val="false"/>
          <w:iCs w:val="false"/>
          <w:caps w:val="false"/>
          <w:color w:val="8B0000"/>
          <w:sz w:val="18"/>
          <w:szCs w:val="18"/>
        </w:rPr>
        <w:t xml:space="preserve">— Ibn Khaldun, Muqaddimah, 1377 CE (paraphrase)</w:t>
      </w:r>
    </w:p>
    <w:p>
      <w:r>
        <w:br w:type="page"/>
      </w:r>
    </w:p>
    <w:p>
      <w:pPr>
        <w:spacing w:after="160" w:before="0"/>
      </w:pP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11.0  </w:t>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Eight Systems, One Method</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The corpus holds eight civilisations in sufficient resolution to read as operating systems. Each one made design choices. Each choice had consequences. The consequences accumulated over decades and centuries until they either stabilised into a new configuration or cascaded into collapse. The equation processes all of them identically. The variables do not care about the names on the banners.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operating-system metaphor is not decoration. An operating system is a set of protocols that coordinates resources, manages competing processes, and provides a platform on which more complex activity can run. A civilisation does the same thing at civilisational scale. The resource is productive capacity. The competing processes are factions, classes, and interests. The platform is the institutional architecture that lets trade, knowledge accumulation, artistic production, and military defence occur simultaneously without each destroying the others. When the operating system fails, the applications running on top of it — the culture, the economy, the art — may persist briefly on residual momentum, but they eventually crash too.</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eight systems examined in this section were chosen for the depth of the corpus record and for the diversity of their design choices. They span two thousand years, five continents, and every major institutional form that human organisation has attempted at civilisational scale. They were not chosen because they succeeded. Several collapsed catastrophically. Several are currently under stress that the equation reads as pre-crisis. The selection principle is informational density, not triumphalism.</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For each civilisation, this section applies the same five-step diagnostic. First: identify the peak Phi period — the years in which the system was operating closest to its design potential. Second: identify the variable configuration that produced the peak. Third: identify the first variable to begin degrading and trace the cascade. Fourth: assess the lesson — what design choice, if different, would have altered the trajectory? Fifth: extract the transferable principle, the thing that belongs not to this civilisation alone but to the general theory of how systems rise, persist, and fall.</w:t>
      </w:r>
    </w:p>
    <w:p>
      <w:pPr>
        <w:spacing w:after="80" w:before="0"/>
      </w:pPr>
    </w:p>
    <w:tbl>
      <w:tblPr>
        <w:tblW w:type="dxa" w:w="9360"/>
        <w:tblBorders>
          <w:top w:val="single" w:color="1B5E20" w:sz="4"/>
          <w:left w:val="single" w:color="1B5E20" w:sz="18"/>
          <w:bottom w:val="single" w:color="1B5E20" w:sz="4"/>
          <w:right w:val="single" w:color="1B5E20" w:sz="4"/>
          <w:insideH w:val="none"/>
          <w:insideV w:val="none"/>
        </w:tblBorders>
        <w:tblLayout w:type="fixed"/>
      </w:tblPr>
      <w:tblGrid>
        <w:gridCol w:w="9360"/>
      </w:tblGrid>
      <w:tr>
        <w:tc>
          <w:tcPr>
            <w:tcW w:type="dxa" w:w="9360"/>
            <w:shd w:fill="E8F5E9"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1B5E20"/>
                <w:sz w:val="18"/>
                <w:szCs w:val="18"/>
              </w:rPr>
              <w:t xml:space="preserve">FIELD NOTE  —  METHOD NOTE — READING THE SELDON TABLES</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1.  </w:t>
            </w:r>
            <w:r>
              <w:rPr>
                <w:rFonts w:ascii="Arial" w:cs="Arial" w:eastAsia="Arial" w:hAnsi="Arial"/>
                <w:b w:val="false"/>
                <w:bCs w:val="false"/>
                <w:i w:val="false"/>
                <w:iCs w:val="false"/>
                <w:caps w:val="false"/>
                <w:color w:val="1A1A1A"/>
                <w:sz w:val="22"/>
                <w:szCs w:val="22"/>
              </w:rPr>
              <w:t xml:space="preserve">Each civilisation receives two Seldon table rows: one at peak Phi, one at crisis or current reading.</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2.  </w:t>
            </w:r>
            <w:r>
              <w:rPr>
                <w:rFonts w:ascii="Arial" w:cs="Arial" w:eastAsia="Arial" w:hAnsi="Arial"/>
                <w:b w:val="false"/>
                <w:bCs w:val="false"/>
                <w:i w:val="false"/>
                <w:iCs w:val="false"/>
                <w:caps w:val="false"/>
                <w:color w:val="1A1A1A"/>
                <w:sz w:val="22"/>
                <w:szCs w:val="22"/>
              </w:rPr>
              <w:t xml:space="preserve">Variable values are approximate reconstructions from corpus evidence, not econometric measurements.</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3.  </w:t>
            </w:r>
            <w:r>
              <w:rPr>
                <w:rFonts w:ascii="Arial" w:cs="Arial" w:eastAsia="Arial" w:hAnsi="Arial"/>
                <w:b w:val="false"/>
                <w:bCs w:val="false"/>
                <w:i w:val="false"/>
                <w:iCs w:val="false"/>
                <w:caps w:val="false"/>
                <w:color w:val="1A1A1A"/>
                <w:sz w:val="22"/>
                <w:szCs w:val="22"/>
              </w:rPr>
              <w:t xml:space="preserve">The purpose is relative comparison, not false precision. A reading of A=0.72 means: the corpus evidence suggests asabiyyah was strong and cohesive relative to its historical baseline, not that it was measured at 72 percent of some universal maximum.</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4.  </w:t>
            </w:r>
            <w:r>
              <w:rPr>
                <w:rFonts w:ascii="Arial" w:cs="Arial" w:eastAsia="Arial" w:hAnsi="Arial"/>
                <w:b w:val="false"/>
                <w:bCs w:val="false"/>
                <w:i w:val="false"/>
                <w:iCs w:val="false"/>
                <w:caps w:val="false"/>
                <w:color w:val="1A1A1A"/>
                <w:sz w:val="22"/>
                <w:szCs w:val="22"/>
              </w:rPr>
              <w:t xml:space="preserve">Trend arrows apply to the crisis/current row only. Peak readings are historical and direction is not applicable.</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5.  </w:t>
            </w:r>
            <w:r>
              <w:rPr>
                <w:rFonts w:ascii="Arial" w:cs="Arial" w:eastAsia="Arial" w:hAnsi="Arial"/>
                <w:b w:val="false"/>
                <w:bCs w:val="false"/>
                <w:i w:val="false"/>
                <w:iCs w:val="false"/>
                <w:caps w:val="false"/>
                <w:color w:val="1A1A1A"/>
                <w:sz w:val="22"/>
                <w:szCs w:val="22"/>
              </w:rPr>
              <w:t xml:space="preserve">Evidence citations refer to corpus sources by RAG label. Full source details are in the Corpus Appendix.</w:t>
            </w:r>
          </w:p>
        </w:tc>
      </w:tr>
    </w:tbl>
    <w:p>
      <w:pPr>
        <w:spacing w:after="120" w:before="0"/>
      </w:pPr>
    </w:p>
    <w:p>
      <w:pPr>
        <w:spacing w:after="80" w:before="0"/>
      </w:pPr>
    </w:p>
    <w:tbl>
      <w:tblPr>
        <w:tblW w:type="dxa" w:w="9360"/>
        <w:tblBorders>
          <w:top w:val="single" w:color="1B3A6B" w:sz="4"/>
          <w:left w:val="single" w:color="1B3A6B" w:sz="18"/>
          <w:bottom w:val="single" w:color="1B3A6B" w:sz="4"/>
          <w:right w:val="single" w:color="1B3A6B" w:sz="4"/>
          <w:insideH w:val="none"/>
          <w:insideV w:val="none"/>
        </w:tblBorders>
        <w:tblLayout w:type="fixed"/>
      </w:tblPr>
      <w:tblGrid>
        <w:gridCol w:w="9360"/>
      </w:tblGrid>
      <w:tr>
        <w:tc>
          <w:tcPr>
            <w:tcW w:type="dxa" w:w="9360"/>
            <w:shd w:fill="E8EEF7" w:color="auto" w:val="clear"/>
            <w:tcMar>
              <w:top w:type="dxa" w:w="120"/>
              <w:left w:type="dxa" w:w="200"/>
              <w:bottom w:type="dxa" w:w="120"/>
              <w:right w:type="dxa" w:w="200"/>
            </w:tcMar>
          </w:tcPr>
          <w:p>
            <w:pPr>
              <w:spacing w:after="40" w:before="60" w:line="300" w:lineRule="auto"/>
              <w:jc w:val="left"/>
            </w:pPr>
            <w:r>
              <w:rPr>
                <w:rFonts w:ascii="Arial" w:cs="Arial" w:eastAsia="Arial" w:hAnsi="Arial"/>
                <w:b w:val="false"/>
                <w:bCs w:val="false"/>
                <w:i/>
                <w:iCs/>
                <w:caps w:val="false"/>
                <w:color w:val="1B3A6B"/>
                <w:sz w:val="26"/>
                <w:szCs w:val="26"/>
              </w:rPr>
              <w:t xml:space="preserve">Polybius understood what most historians after him forgot: that the form of government determines the fate of the governed, and that forms of government have natural life cycles which the analyst can track if he watches the right variables.</w:t>
            </w:r>
          </w:p>
          <w:p>
            <w:pPr>
              <w:spacing w:after="60" w:before="60" w:line="276" w:lineRule="auto"/>
              <w:jc w:val="left"/>
            </w:pPr>
            <w:r>
              <w:rPr>
                <w:rFonts w:ascii="Arial" w:cs="Arial" w:eastAsia="Arial" w:hAnsi="Arial"/>
                <w:b w:val="false"/>
                <w:bCs w:val="false"/>
                <w:i w:val="false"/>
                <w:iCs w:val="false"/>
                <w:caps w:val="false"/>
                <w:color w:val="8B0000"/>
                <w:sz w:val="20"/>
                <w:szCs w:val="20"/>
              </w:rPr>
              <w:t xml:space="preserve">— WORLD_GREATBOOKS corpus — Polybius, Histories, Book VI</w:t>
            </w:r>
          </w:p>
        </w:tc>
      </w:tr>
    </w:tbl>
    <w:p>
      <w:pPr>
        <w:spacing w:after="120" w:before="0"/>
      </w:pPr>
    </w:p>
    <w:p>
      <w:r>
        <w:br w:type="page"/>
      </w:r>
    </w:p>
    <w:p>
      <w:r>
        <w:br w:type="page"/>
      </w:r>
    </w:p>
    <w:p>
      <w:pPr>
        <w:spacing w:after="300" w:before="0"/>
      </w:pPr>
    </w:p>
    <w:p>
      <w:pPr>
        <w:spacing w:after="40" w:before="60" w:line="276" w:lineRule="auto"/>
        <w:jc w:val="left"/>
      </w:pPr>
      <w:r>
        <w:rPr>
          <w:rFonts w:ascii="Arial" w:cs="Arial" w:eastAsia="Arial" w:hAnsi="Arial"/>
          <w:b/>
          <w:bCs/>
          <w:i w:val="false"/>
          <w:iCs w:val="false"/>
          <w:caps/>
          <w:color w:val="8B0000"/>
          <w:sz w:val="20"/>
          <w:szCs w:val="20"/>
        </w:rPr>
        <w:t xml:space="preserve">Civilisation I</w:t>
      </w:r>
    </w:p>
    <w:p>
      <w:pPr>
        <w:spacing w:after="40" w:before="60" w:line="300" w:lineRule="auto"/>
        <w:jc w:val="left"/>
      </w:pPr>
      <w:r>
        <w:rPr>
          <w:rFonts w:ascii="Arial" w:cs="Arial" w:eastAsia="Arial" w:hAnsi="Arial"/>
          <w:b/>
          <w:bCs/>
          <w:i w:val="false"/>
          <w:iCs w:val="false"/>
          <w:caps w:val="false"/>
          <w:color w:val="1B3A6B"/>
          <w:sz w:val="38"/>
          <w:szCs w:val="38"/>
        </w:rPr>
        <w:t xml:space="preserve">ROME</w:t>
      </w:r>
    </w:p>
    <w:p>
      <w:pPr>
        <w:spacing w:after="80" w:before="60" w:line="276" w:lineRule="auto"/>
        <w:jc w:val="left"/>
      </w:pPr>
      <w:r>
        <w:rPr>
          <w:rFonts w:ascii="Arial" w:cs="Arial" w:eastAsia="Arial" w:hAnsi="Arial"/>
          <w:b w:val="false"/>
          <w:bCs w:val="false"/>
          <w:i/>
          <w:iCs/>
          <w:caps w:val="false"/>
          <w:color w:val="3A4652"/>
          <w:sz w:val="24"/>
          <w:szCs w:val="24"/>
        </w:rPr>
        <w:t xml:space="preserve">The Republic That Could Not Save Itself</w:t>
      </w:r>
    </w:p>
    <w:p>
      <w:pPr>
        <w:pBdr>
          <w:bottom w:val="single" w:color="1B3A6B" w:sz="14" w:space="6"/>
        </w:pBdr>
        <w:spacing w:after="160" w:before="40"/>
        <w:jc w:val="left"/>
      </w:pPr>
      <w:r>
        <w:rPr>
          <w:rFonts w:ascii="Arial" w:cs="Arial" w:eastAsia="Arial" w:hAnsi="Arial"/>
          <w:b w:val="false"/>
          <w:bCs w:val="false"/>
          <w:i w:val="false"/>
          <w:iCs w:val="false"/>
          <w:caps w:val="false"/>
          <w:color w:val="1A1A1A"/>
          <w:sz w:val="22"/>
          <w:szCs w:val="22"/>
        </w:rPr>
        <w:t xml:space="preserve"/>
      </w:r>
    </w:p>
    <w:p>
      <w:pPr>
        <w:spacing w:after="160" w:before="60" w:line="300" w:lineRule="auto"/>
        <w:jc w:val="left"/>
      </w:pPr>
      <w:r>
        <w:rPr>
          <w:rFonts w:ascii="Arial" w:cs="Arial" w:eastAsia="Arial" w:hAnsi="Arial"/>
          <w:b w:val="false"/>
          <w:bCs w:val="false"/>
          <w:i/>
          <w:iCs/>
          <w:caps w:val="false"/>
          <w:color w:val="3A4652"/>
          <w:sz w:val="22"/>
          <w:szCs w:val="22"/>
        </w:rPr>
        <w:t xml:space="preserve">509 BCE to 476 CE. One thousand years of institutional evolution, military expansion, economic integration, and ultimately systemic collapse. The Roman record is the most extensively documented civilisational trajectory in the Western corpus. Polybius wrote its theory. Gibbon wrote its autopsy. The equation reads it as a near-perfect case study in what happens when the institutions designed to manage elite overproduction are captured by the elites they were designed to constrain.</w:t>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11.1  </w:t>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Republic's Design</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The Roman Republic was the most sophisticated political operating system the ancient world produced. Polybius, writing in the second century BCE, identified the reason: Rome had achieved by practical experiment what Greek political theory had argued for in the abstract — a mixed constitution that combined the energy of monarchy, the wisdom of aristocracy, and the corrective power of democracy in a single self-balancing architecture.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consular system gave executive power to two magistrates elected annually, each holding veto over the other. The Senate provided deliberative continuity and foreign policy expertise. The tribunes held the power to veto any act of the Senate that threatened plebeian interests. The cursus honorum — the prescribed sequence of offices — regulated the speed at which ambition could accumulate power. These were not aesthetic choices. They were engineering choices designed to solve a specific problem: how to channel elite competitive energy into service of the collective without allowing any single elite actor to capture the system entirely. Polybius called it anacyclosis — the cycle of constitutional forms — and argued that Rome had found a way to interrupt the cycle by building all three forms into a single structure.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legal system was equally significant as a K-transmission mechanism. Roman law was not merely a code of rules. It was a portable institutional technology. As Rome expanded, the law expanded with it, providing a common framework for contract, property, inheritance, and obligation that made economic integration possible across a territory stretching from Britain to Mesopotamia. The Latin language performed the same function at the level of administration and culture. A Roman governor in Syria and a merchant in Gaul could correspond, transact, and appeal to the same legal authority. This was not accidental. It was the infrastructure of civilisational scale.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road network completed the operating system at the physical layer. Fifty thousand miles of paved road by the height of the Empire, built to military specification and maintained by the state, allowed the rapid movement of legions, officials, tax revenue, and commercial goods. The roads were not just transport infrastructure. They were the nervous system of Roman asabiyyah — the physical expression of the claim that Rome was one thing, not a collection of conquered territories. A legion marching on a Roman road in Britain was enacting Roman identity as much as Roman power.</w:t>
      </w:r>
    </w:p>
    <w:p>
      <w:pPr>
        <w:spacing w:after="60" w:before="0"/>
      </w:pPr>
    </w:p>
    <w:tbl>
      <w:tblPr>
        <w:tblW w:type="dxa" w:w="9360"/>
        <w:tblBorders>
          <w:top w:val="single" w:color="9AA5B1" w:sz="2"/>
          <w:left w:val="single" w:color="9AA5B1" w:sz="2"/>
          <w:bottom w:val="single" w:color="9AA5B1" w:sz="2"/>
          <w:right w:val="single" w:color="9AA5B1" w:sz="2"/>
          <w:insideH w:val="single" w:color="D5DCE5" w:sz="1"/>
          <w:insideV w:val="single" w:color="D5DCE5" w:sz="1"/>
        </w:tblBorders>
        <w:tblLayout w:type="fixed"/>
      </w:tblPr>
      <w:tblGrid>
        <w:gridCol w:w="2400"/>
        <w:gridCol w:w="1200"/>
        <w:gridCol w:w="1300"/>
        <w:gridCol w:w="1500"/>
        <w:gridCol w:w="2960"/>
      </w:tblGrid>
      <w:tr>
        <w:trPr>
          <w:tblHeader/>
        </w:trPr>
        <w:tc>
          <w:tcPr>
            <w:tcW w:type="dxa" w:w="24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Variable</w:t>
            </w:r>
          </w:p>
        </w:tc>
        <w:tc>
          <w:tcPr>
            <w:tcW w:type="dxa" w:w="12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Symbol</w:t>
            </w:r>
          </w:p>
        </w:tc>
        <w:tc>
          <w:tcPr>
            <w:tcW w:type="dxa" w:w="13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Reading</w:t>
            </w:r>
          </w:p>
        </w:tc>
        <w:tc>
          <w:tcPr>
            <w:tcW w:type="dxa" w:w="15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Trend</w:t>
            </w:r>
          </w:p>
        </w:tc>
        <w:tc>
          <w:tcPr>
            <w:tcW w:type="dxa" w:w="296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Primary Evidence</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Asabiyyah</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0.78</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Republican civic culture; citizen-soldier ideal; SPQR as genuine collective identity; Polybius documents high cohesion in Second Punic War</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Knowledge</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K</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0.61</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Legal innovation; engineering; Greek learning absorbed; agricultural management; military logistics science</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Institutions</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0.74</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Mixed constitution functioning; Senate deliberating; tribunes active; cursus honorum intact; Polybius's peak period 200-150 BCE</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Legitimacy</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L</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0.71</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Broad acceptance of Republican forms; military service as social contract; patron-client network providing vertical integration</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Surplus</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xi</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0.42</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Mediterranean trade network; conquest surplus; Italian agricultural productivity; positive but not exceptional</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Disorder</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Omega</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0.22</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Low internal faction; Hannibal survived; Pyrrhus survived; institutional resilience demonstrated</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Elite overproduction</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0.28</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Senatorial class controlled; cursus honorum as queue mechanism; land distribution intact</w:t>
            </w:r>
          </w:p>
        </w:tc>
      </w:tr>
    </w:tbl>
    <w:p>
      <w:pPr>
        <w:spacing w:after="120" w:before="0"/>
      </w:pPr>
    </w:p>
    <w:p>
      <w:pPr>
        <w:spacing w:after="80" w:before="0"/>
      </w:pPr>
    </w:p>
    <w:tbl>
      <w:tblPr>
        <w:tblW w:type="dxa" w:w="9360"/>
        <w:tblBorders>
          <w:top w:val="single" w:color="00595C" w:sz="4"/>
          <w:left w:val="single" w:color="00595C" w:sz="18"/>
          <w:bottom w:val="single" w:color="00595C" w:sz="4"/>
          <w:right w:val="single" w:color="00595C" w:sz="4"/>
          <w:insideH w:val="none"/>
          <w:insideV w:val="none"/>
        </w:tblBorders>
        <w:tblLayout w:type="fixed"/>
      </w:tblPr>
      <w:tblGrid>
        <w:gridCol w:w="9360"/>
      </w:tblGrid>
      <w:tr>
        <w:tc>
          <w:tcPr>
            <w:tcW w:type="dxa" w:w="9360"/>
            <w:shd w:fill="E0F2F1"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00595C"/>
                <w:sz w:val="18"/>
                <w:szCs w:val="18"/>
              </w:rPr>
              <w:t xml:space="preserve">ROME — PEAK PHI ESTIMATE</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Period: approximately 200-133 BCE (post-Hannibal to the Gracchi crisis)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Phi estimate: 0.71</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Primary driver: I (institutional design functioning as intended; Senate at peak deliberative quality)</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Secondary driver: A (citizen-soldier asabiyyah at maximum post-Punic-War cohesion)</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Constraint: K was strong but not exceptional by later standards; xi was positive but conquest-dependent</w:t>
            </w:r>
          </w:p>
          <w:p>
            <w:pPr>
              <w:spacing w:after="60" w:before="40" w:line="276" w:lineRule="auto"/>
              <w:jc w:val="left"/>
            </w:pPr>
            <w:r>
              <w:rPr>
                <w:rFonts w:ascii="Arial" w:cs="Arial" w:eastAsia="Arial" w:hAnsi="Arial"/>
                <w:b w:val="false"/>
                <w:bCs w:val="false"/>
                <w:i/>
                <w:iCs/>
                <w:caps w:val="false"/>
                <w:color w:val="3A4652"/>
                <w:sz w:val="18"/>
                <w:szCs w:val="18"/>
              </w:rPr>
              <w:t xml:space="preserve">Source: WORLD_GREATBOOKS — Polybius Histories; Gibbon Decline and Fall Vol. I</w:t>
            </w:r>
          </w:p>
        </w:tc>
      </w:tr>
    </w:tbl>
    <w:p>
      <w:pPr>
        <w:spacing w:after="120" w:before="0"/>
      </w:pP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11.2  </w:t>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Institutional Capture</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Gracchi crisis of 133-121 BCE was not a revolution. It was a diagnostic event — the moment when the stress fractures in Roman institutional design became visible under load. Tiberius Gracchus attempted to use the tribunate to redistribute land that the senatorial class had illegally occupied from the public domain. The Senate, unable to block him through constitutional means, organised his murder. The precedent was fatal. Once political murder became an acceptable tool of factional competition, the institutions that were supposed to manage that competition had been effectively bypassed. The Republic survived another century, but the software was corrupted from that point forward.</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mechanism of corruption followed exactly the pattern the equation predicts. Elite overproduction — E — was the primary driver. The conquest of the Mediterranean had generated enormous wealth, but that wealth accumulated disproportionately in the hands of the senatorial and equestrian classes. The Italian peasantry who had provided the citizen-soldier legions were displaced from their land by slave-worked latifundia. The army of citizen-soldiers was replaced, under Marius's reforms, by an army of proletarians loyal to their general rather than to the Republic. The institutional design assumed citizen-soldiers with property stakes in the Republic's stability. Once that assumption was violated, the design failed to perform as engineered.</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Caesar's crossing of the Rubicon in 49 BCE was not the cause of Republican collapse. It was the symptom. The Senate had spent the preceding decades demonstrating that it could not manage faction through constitutional means. Sulla had already marched on Rome. Marius had already killed senators. The institutions were forms without substance by the time Caesar acted. He was not the first man to understand that the forms had become hollow; he was simply the first man with sufficient military force and political skill to act on that understanding at the decisive moment and survive.</w:t>
      </w:r>
    </w:p>
    <w:p>
      <w:pPr>
        <w:spacing w:after="80" w:before="0"/>
      </w:pPr>
    </w:p>
    <w:tbl>
      <w:tblPr>
        <w:tblW w:type="dxa" w:w="9360"/>
        <w:tblBorders>
          <w:top w:val="single" w:color="1B3A6B" w:sz="4"/>
          <w:left w:val="single" w:color="1B3A6B" w:sz="18"/>
          <w:bottom w:val="single" w:color="1B3A6B" w:sz="4"/>
          <w:right w:val="single" w:color="1B3A6B" w:sz="4"/>
          <w:insideH w:val="none"/>
          <w:insideV w:val="none"/>
        </w:tblBorders>
        <w:tblLayout w:type="fixed"/>
      </w:tblPr>
      <w:tblGrid>
        <w:gridCol w:w="9360"/>
      </w:tblGrid>
      <w:tr>
        <w:tc>
          <w:tcPr>
            <w:tcW w:type="dxa" w:w="9360"/>
            <w:shd w:fill="E8EEF7" w:color="auto" w:val="clear"/>
            <w:tcMar>
              <w:top w:type="dxa" w:w="120"/>
              <w:left w:type="dxa" w:w="200"/>
              <w:bottom w:type="dxa" w:w="120"/>
              <w:right w:type="dxa" w:w="200"/>
            </w:tcMar>
          </w:tcPr>
          <w:p>
            <w:pPr>
              <w:spacing w:after="40" w:before="60" w:line="300" w:lineRule="auto"/>
              <w:jc w:val="left"/>
            </w:pPr>
            <w:r>
              <w:rPr>
                <w:rFonts w:ascii="Arial" w:cs="Arial" w:eastAsia="Arial" w:hAnsi="Arial"/>
                <w:b w:val="false"/>
                <w:bCs w:val="false"/>
                <w:i/>
                <w:iCs/>
                <w:caps w:val="false"/>
                <w:color w:val="1B3A6B"/>
                <w:sz w:val="26"/>
                <w:szCs w:val="26"/>
              </w:rPr>
              <w:t xml:space="preserve">Augustus preserved every form of the Republic. He preserved the Senate, the consulship, the tribunate, the elections. He preserved them all, and they meant nothing. This is the definition of institutional capture: the forms remain; the function is gone.</w:t>
            </w:r>
          </w:p>
          <w:p>
            <w:pPr>
              <w:spacing w:after="60" w:before="60" w:line="276" w:lineRule="auto"/>
              <w:jc w:val="left"/>
            </w:pPr>
            <w:r>
              <w:rPr>
                <w:rFonts w:ascii="Arial" w:cs="Arial" w:eastAsia="Arial" w:hAnsi="Arial"/>
                <w:b w:val="false"/>
                <w:bCs w:val="false"/>
                <w:i w:val="false"/>
                <w:iCs w:val="false"/>
                <w:caps w:val="false"/>
                <w:color w:val="8B0000"/>
                <w:sz w:val="20"/>
                <w:szCs w:val="20"/>
              </w:rPr>
              <w:t xml:space="preserve">— CivilisationOS synthesis from Gibbon, WORLD_GREATBOOKS corpus</w:t>
            </w:r>
          </w:p>
        </w:tc>
      </w:tr>
    </w:tbl>
    <w:p>
      <w:pPr>
        <w:spacing w:after="120" w:before="0"/>
      </w:pP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Augustus's solution was architecturally elegant and constitutionally fraudulent. He restored peace, ended the civil wars, and built the administrative framework of what became the most successful empire in Western history — while maintaining the complete fiction that the Republic still existed. He held no office that the constitution did not permit, except that he held all of them simultaneously and indefinitely. The Senate continued to meet. Elections continued to be held. The forms were impeccably maintained. The substance was autocracy. Roman I-scores did not collapse under Augustus; they reconfigured around a single node, which is a different kind of institutional failure — one that looks stable until the node is bad.</w:t>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11.3  </w:t>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Long Decline</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Western Empire's collapse followed a pattern that Gibbon documented across six volumes and the equation compresses into five variables. Asabiyyah was the first variable to break. The citizen-soldier army of the Republic had been replaced by professional legions, which were in turn supplemented by and then replaced by barbarian federates — soldiers who fought under Roman command but identified with their tribal origins rather than with Rome. By the fourth century CE, significant portions of the Roman army were Germanic in composition, commanded by Germanic officers who were Roman by legal status and barbarian by every other measure. The A that had defeated Hannibal was gone.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Elite overproduction continued across the imperial period. The senatorial class was progressively excluded from military command — a rational response to the civil wars of the third century CE — but exclusion from power did not reduce the size of the class. It merely concentrated its energy into factional competition for court influence, provincial appointments, and the accumulating wealth of the latifundia. Diocletian's attempt to stabilise the fiscal system through currency manipulation and price controls — the Edict on Maximum Prices of 301 CE — is documented in the corpus as the archetypal example of administrative overreach that destroys L while failing to solve the underlying E problem. The prices were set. The goods disappeared from the market. The edict was abandoned.</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end, when it came, arrived at different speeds in different places. The Western Empire formally ended in 476 CE with Romulus Augustulus's deposition by Odoacer. The Eastern Empire, which had maintained higher I and A scores through its more urban, more commercially sophisticated, and more administratively competent Byzantine successor, continued for another thousand years. The split itself is instructive: it confirms that the variable readings matter more than the nominal unity. The Eastern half had better institutional design and survived. The Western half had lower institutional integrity and fell. The equation does not care that they shared a name.</w:t>
      </w:r>
    </w:p>
    <w:p>
      <w:pPr>
        <w:spacing w:after="60" w:before="0"/>
      </w:pPr>
    </w:p>
    <w:tbl>
      <w:tblPr>
        <w:tblW w:type="dxa" w:w="9360"/>
        <w:tblBorders>
          <w:top w:val="single" w:color="9AA5B1" w:sz="2"/>
          <w:left w:val="single" w:color="9AA5B1" w:sz="2"/>
          <w:bottom w:val="single" w:color="9AA5B1" w:sz="2"/>
          <w:right w:val="single" w:color="9AA5B1" w:sz="2"/>
          <w:insideH w:val="single" w:color="D5DCE5" w:sz="1"/>
          <w:insideV w:val="single" w:color="D5DCE5" w:sz="1"/>
        </w:tblBorders>
        <w:tblLayout w:type="fixed"/>
      </w:tblPr>
      <w:tblGrid>
        <w:gridCol w:w="2400"/>
        <w:gridCol w:w="1200"/>
        <w:gridCol w:w="1300"/>
        <w:gridCol w:w="1500"/>
        <w:gridCol w:w="2960"/>
      </w:tblGrid>
      <w:tr>
        <w:trPr>
          <w:tblHeader/>
        </w:trPr>
        <w:tc>
          <w:tcPr>
            <w:tcW w:type="dxa" w:w="24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Variable</w:t>
            </w:r>
          </w:p>
        </w:tc>
        <w:tc>
          <w:tcPr>
            <w:tcW w:type="dxa" w:w="12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Symbol</w:t>
            </w:r>
          </w:p>
        </w:tc>
        <w:tc>
          <w:tcPr>
            <w:tcW w:type="dxa" w:w="13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Reading</w:t>
            </w:r>
          </w:p>
        </w:tc>
        <w:tc>
          <w:tcPr>
            <w:tcW w:type="dxa" w:w="15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Trend</w:t>
            </w:r>
          </w:p>
        </w:tc>
        <w:tc>
          <w:tcPr>
            <w:tcW w:type="dxa" w:w="296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Primary Evidence</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Asabiyyah</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0.29</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DOWN</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Barbarian federates replacing citizen legions; no shared civic identity; SPQR as administrative fiction</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Knowledge</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K</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0.44</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DOWN</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Engineering and legal knowledge persisting but no longer accumulating; library destruction beginning</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Institutions</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0.31</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DOWN</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Army making and unmaking emperors; Senate powerless; provincial administration fragmenting; I-capture complete</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Legitimacy</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L</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0.33</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DOWN</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Currency debasement destroying trust; tax burden extractive; no delivery on social contract; peasants welcoming Visigoths</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Surplus</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xi</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0.19</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DOWN</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Trade network collapsing; agricultural productivity declining; plague impact; currency non-functional</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Disorder</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Omega</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0.67</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UP</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Multiple simultaneous barbarian incursions; internal civil wars; Vandal sack of Carthage 439 CE</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Elite overproduction</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0.72</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UP</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Senatorial class enormous and unproductive; court faction wars; military commanders in permanent competition</w:t>
            </w:r>
          </w:p>
        </w:tc>
      </w:tr>
    </w:tbl>
    <w:p>
      <w:pPr>
        <w:spacing w:after="120" w:before="0"/>
      </w:pPr>
    </w:p>
    <w:p>
      <w:pPr>
        <w:spacing w:after="80" w:before="0"/>
      </w:pPr>
    </w:p>
    <w:tbl>
      <w:tblPr>
        <w:tblW w:type="dxa" w:w="9360"/>
        <w:tblBorders>
          <w:top w:val="single" w:color="7A4F01" w:sz="4"/>
          <w:left w:val="single" w:color="7A4F01" w:sz="18"/>
          <w:bottom w:val="single" w:color="7A4F01" w:sz="4"/>
          <w:right w:val="single" w:color="7A4F01" w:sz="4"/>
          <w:insideH w:val="none"/>
          <w:insideV w:val="none"/>
        </w:tblBorders>
        <w:tblLayout w:type="fixed"/>
      </w:tblPr>
      <w:tblGrid>
        <w:gridCol w:w="9360"/>
      </w:tblGrid>
      <w:tr>
        <w:tc>
          <w:tcPr>
            <w:tcW w:type="dxa" w:w="9360"/>
            <w:shd w:fill="FFF6E0"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7A4F01"/>
                <w:sz w:val="18"/>
                <w:szCs w:val="18"/>
              </w:rPr>
              <w:t xml:space="preserve">ROME LESSON — THE DESIGN MUST BE DEFENDED</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The Roman Republic's institutional design was genuinely sophisticated. It managed elite competition, distributed power, and provided checks against institutional capture for four centuries.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The design failed not because it was poorly conceived but because it was not defended when defending it became politically costly.</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The Senate murdered Tiberius Gracchus rather than accept land reform. That choice was politically rational for the senatorial class in 133 BCE and civilisationally fatal over the subsequent five centuries.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The lesson is not that good design is sufficient. The lesson is that good design requires a constituency willing to pay the short-term cost of defending it against those who would benefit from its dismantlement.</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Civilisations that lose this constituency do not recover their institutional quality. The forms may persist. The function is gone.</w:t>
            </w:r>
          </w:p>
        </w:tc>
      </w:tr>
    </w:tbl>
    <w:p>
      <w:pPr>
        <w:spacing w:after="120" w:before="0"/>
      </w:pPr>
    </w:p>
    <w:p>
      <w:r>
        <w:br w:type="page"/>
      </w:r>
    </w:p>
    <w:p>
      <w:r>
        <w:br w:type="page"/>
      </w:r>
    </w:p>
    <w:p>
      <w:pPr>
        <w:spacing w:after="300" w:before="0"/>
      </w:pPr>
    </w:p>
    <w:p>
      <w:pPr>
        <w:spacing w:after="40" w:before="60" w:line="276" w:lineRule="auto"/>
        <w:jc w:val="left"/>
      </w:pPr>
      <w:r>
        <w:rPr>
          <w:rFonts w:ascii="Arial" w:cs="Arial" w:eastAsia="Arial" w:hAnsi="Arial"/>
          <w:b/>
          <w:bCs/>
          <w:i w:val="false"/>
          <w:iCs w:val="false"/>
          <w:caps/>
          <w:color w:val="8B0000"/>
          <w:sz w:val="20"/>
          <w:szCs w:val="20"/>
        </w:rPr>
        <w:t xml:space="preserve">Civilisation II</w:t>
      </w:r>
    </w:p>
    <w:p>
      <w:pPr>
        <w:spacing w:after="40" w:before="60" w:line="300" w:lineRule="auto"/>
        <w:jc w:val="left"/>
      </w:pPr>
      <w:r>
        <w:rPr>
          <w:rFonts w:ascii="Arial" w:cs="Arial" w:eastAsia="Arial" w:hAnsi="Arial"/>
          <w:b/>
          <w:bCs/>
          <w:i w:val="false"/>
          <w:iCs w:val="false"/>
          <w:caps w:val="false"/>
          <w:color w:val="1B3A6B"/>
          <w:sz w:val="38"/>
          <w:szCs w:val="38"/>
        </w:rPr>
        <w:t xml:space="preserve">TANG-DYNASTY CHINA</w:t>
      </w:r>
    </w:p>
    <w:p>
      <w:pPr>
        <w:spacing w:after="80" w:before="60" w:line="276" w:lineRule="auto"/>
        <w:jc w:val="left"/>
      </w:pPr>
      <w:r>
        <w:rPr>
          <w:rFonts w:ascii="Arial" w:cs="Arial" w:eastAsia="Arial" w:hAnsi="Arial"/>
          <w:b w:val="false"/>
          <w:bCs w:val="false"/>
          <w:i/>
          <w:iCs/>
          <w:caps w:val="false"/>
          <w:color w:val="3A4652"/>
          <w:sz w:val="24"/>
          <w:szCs w:val="24"/>
        </w:rPr>
        <w:t xml:space="preserve">The World's First Knowledge Empire</w:t>
      </w:r>
    </w:p>
    <w:p>
      <w:pPr>
        <w:pBdr>
          <w:bottom w:val="single" w:color="1B3A6B" w:sz="14" w:space="6"/>
        </w:pBdr>
        <w:spacing w:after="160" w:before="40"/>
        <w:jc w:val="left"/>
      </w:pPr>
      <w:r>
        <w:rPr>
          <w:rFonts w:ascii="Arial" w:cs="Arial" w:eastAsia="Arial" w:hAnsi="Arial"/>
          <w:b w:val="false"/>
          <w:bCs w:val="false"/>
          <w:i w:val="false"/>
          <w:iCs w:val="false"/>
          <w:caps w:val="false"/>
          <w:color w:val="1A1A1A"/>
          <w:sz w:val="22"/>
          <w:szCs w:val="22"/>
        </w:rPr>
        <w:t xml:space="preserve"/>
      </w:r>
    </w:p>
    <w:p>
      <w:pPr>
        <w:spacing w:after="160" w:before="60" w:line="300" w:lineRule="auto"/>
        <w:jc w:val="left"/>
      </w:pPr>
      <w:r>
        <w:rPr>
          <w:rFonts w:ascii="Arial" w:cs="Arial" w:eastAsia="Arial" w:hAnsi="Arial"/>
          <w:b w:val="false"/>
          <w:bCs w:val="false"/>
          <w:i/>
          <w:iCs/>
          <w:caps w:val="false"/>
          <w:color w:val="3A4652"/>
          <w:sz w:val="22"/>
          <w:szCs w:val="22"/>
        </w:rPr>
        <w:t xml:space="preserve">618 to 907 CE. Two hundred and ninety years of the most sophisticated civilisational management the ancient world produced. The Tang dynasty presided over the largest city in the world, the most extensive K-expansion since the Greek flowering, and the first genuine merit-based administrative system. It also produced the An Lushan Rebellion — the single event that permanently broke the dynasty's authority and demonstrated the dual-use nature of institutional innovation. CHINESE_GREATBOOKS corpus provides the primary record.</w:t>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11.4  </w:t>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Architecture of Tang Excellence</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Chang'an in 742 CE had a population exceeding one million people. No city in the world would match its size for another eight centuries. The figure is not merely demographic. It is architectural evidence of what a successfully functioning civilisational operating system can sustain. A city of that scale requires agricultural surplus, long-distance trade networks, administrative capacity, public health infrastructure, and social cohesion sufficient to manage the daily coordination of a million individuals who are strangers to each other. Tang Chang'an had all of this simultaneously.</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civil service examination was the Tang's most consequential institutional innovation. Prior dynasties had relied on aristocratic recommendation to staff the bureaucracy. The Tang systematised and expanded the keju examination system — a set of rigorous written tests covering classical literature, history, legal precedent, and policy analysis — as the primary route to official appointment. The system was imperfect: wealth was required to finance years of preparation, and personal connections still mattered for advancement beyond initial appointment. But it was genuinely meritocratic relative to any alternative then available, and it produced a bureaucratic class with shared educational formation and a stake in the system's continuation. This is I-architecture of high quality: the mechanism creates the administrators it needs while giving those administrators an interest in maintaining the mechanism.</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translation movement that flourished under Tang patronage was the K-expansion driver. Buddhist sutras arrived from India via Central Asian pilgrimage routes and were systematically translated into Chinese by teams of scholar-monks. Persian administrative techniques filtered through the Silk Road trading network. Astronomical and mathematical knowledge from Indian and Islamic sources was integrated into Tang court learning. Chang'an's West Market contained merchants, monks, scholars, and officials from across Eurasia. The cosmopolitanism was not incidental to Tang power — it was an expression of Tang A at its broadest: an asabiyyah capable of incorporating difference rather than being threatened by it.</w:t>
      </w:r>
    </w:p>
    <w:p>
      <w:pPr>
        <w:spacing w:after="80" w:before="0"/>
      </w:pPr>
    </w:p>
    <w:tbl>
      <w:tblPr>
        <w:tblW w:type="dxa" w:w="9360"/>
        <w:tblBorders>
          <w:top w:val="single" w:color="00595C" w:sz="4"/>
          <w:left w:val="single" w:color="00595C" w:sz="18"/>
          <w:bottom w:val="single" w:color="00595C" w:sz="4"/>
          <w:right w:val="single" w:color="00595C" w:sz="4"/>
          <w:insideH w:val="none"/>
          <w:insideV w:val="none"/>
        </w:tblBorders>
        <w:tblLayout w:type="fixed"/>
      </w:tblPr>
      <w:tblGrid>
        <w:gridCol w:w="9360"/>
      </w:tblGrid>
      <w:tr>
        <w:tc>
          <w:tcPr>
            <w:tcW w:type="dxa" w:w="9360"/>
            <w:shd w:fill="E0F2F1"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00595C"/>
                <w:sz w:val="18"/>
                <w:szCs w:val="18"/>
              </w:rPr>
              <w:t xml:space="preserve">TANG K-EXPANSION — WHAT THE CORPUS RECORDS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Xuanzang's journey to India (629-645 CE): 657 Buddhist texts returned; translation project spanning 19 years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The Silk Road at peak: six major routes connecting Chang'an to Constantinople, Baghdad, and Samarkand</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Paper money (jiaozi) precursor: Tang flying money (feiqian) as first recorded transfer-document banking</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Block printing: Tang invention enabling mass K-reproduction for the first time in human history</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Poetry as administrative K: the Tang examination included poetry composition; Li Bai and Du Fu are products of a K-system that treated literary excellence as governance-relevant</w:t>
            </w:r>
          </w:p>
          <w:p>
            <w:pPr>
              <w:spacing w:after="60" w:before="40" w:line="276" w:lineRule="auto"/>
              <w:jc w:val="left"/>
            </w:pPr>
            <w:r>
              <w:rPr>
                <w:rFonts w:ascii="Arial" w:cs="Arial" w:eastAsia="Arial" w:hAnsi="Arial"/>
                <w:b w:val="false"/>
                <w:bCs w:val="false"/>
                <w:i/>
                <w:iCs/>
                <w:caps w:val="false"/>
                <w:color w:val="3A4652"/>
                <w:sz w:val="18"/>
                <w:szCs w:val="18"/>
              </w:rPr>
              <w:t xml:space="preserve">Source: CHINESE_GREATBOOKS corpus — Tang Shu; Shi Ji Tang-era records</w:t>
            </w:r>
          </w:p>
        </w:tc>
      </w:tr>
    </w:tbl>
    <w:p>
      <w:pPr>
        <w:spacing w:after="120" w:before="0"/>
      </w:pPr>
    </w:p>
    <w:p>
      <w:pPr>
        <w:spacing w:after="60" w:before="0"/>
      </w:pPr>
    </w:p>
    <w:tbl>
      <w:tblPr>
        <w:tblW w:type="dxa" w:w="9360"/>
        <w:tblBorders>
          <w:top w:val="single" w:color="9AA5B1" w:sz="2"/>
          <w:left w:val="single" w:color="9AA5B1" w:sz="2"/>
          <w:bottom w:val="single" w:color="9AA5B1" w:sz="2"/>
          <w:right w:val="single" w:color="9AA5B1" w:sz="2"/>
          <w:insideH w:val="single" w:color="D5DCE5" w:sz="1"/>
          <w:insideV w:val="single" w:color="D5DCE5" w:sz="1"/>
        </w:tblBorders>
        <w:tblLayout w:type="fixed"/>
      </w:tblPr>
      <w:tblGrid>
        <w:gridCol w:w="2400"/>
        <w:gridCol w:w="1200"/>
        <w:gridCol w:w="1300"/>
        <w:gridCol w:w="1500"/>
        <w:gridCol w:w="2960"/>
      </w:tblGrid>
      <w:tr>
        <w:trPr>
          <w:tblHeader/>
        </w:trPr>
        <w:tc>
          <w:tcPr>
            <w:tcW w:type="dxa" w:w="24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Variable</w:t>
            </w:r>
          </w:p>
        </w:tc>
        <w:tc>
          <w:tcPr>
            <w:tcW w:type="dxa" w:w="12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Symbol</w:t>
            </w:r>
          </w:p>
        </w:tc>
        <w:tc>
          <w:tcPr>
            <w:tcW w:type="dxa" w:w="13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Reading</w:t>
            </w:r>
          </w:p>
        </w:tc>
        <w:tc>
          <w:tcPr>
            <w:tcW w:type="dxa" w:w="15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Trend</w:t>
            </w:r>
          </w:p>
        </w:tc>
        <w:tc>
          <w:tcPr>
            <w:tcW w:type="dxa" w:w="296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Primary Evidence</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Asabiyyah</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0.74</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Cosmopolitan Chang'an; Silk Road integration; multi-ethnic court; Tang Taizong's documented ethnic inclusion policies</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Knowledge</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K</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0.79</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Translation movement; block printing; paper money precursors; astronomical integration; examination system driving K-production</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Institutions</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0.68</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Keju examination functional; Three Departments and Six Ministries system; Tang Code as comprehensive legal architecture</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Legitimacy</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L</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0.67</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Agricultural tax system broadly accepted; Silk Road wealth distribution; Buddhist institutional legitimation</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Surplus</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xi</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0.61</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Silk Road trade; Chang'an as entrepot; agricultural expansion in Jiangnan; positive sum with trading partners</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Disorder</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Omega</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0.19</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Frontier managed by military governors; Turkic threat contained; internal faction low under Xuanzong's early reign</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Elite overproduction</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0.31</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Examination system as queue; scholar-official class not yet overproducing; military-civil balance maintained</w:t>
            </w:r>
          </w:p>
        </w:tc>
      </w:tr>
    </w:tbl>
    <w:p>
      <w:pPr>
        <w:spacing w:after="120" w:before="0"/>
      </w:pP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11.5  </w:t>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An Lushan and the Dual-Use Institution</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An Lushan Rebellion of 755 CE is one of the most consequential single events in civilisational history, and one of the least examined outside the specialist literature. An Lushan was a military commander of Sogdian-Turkish origin who rose to command three frontier military circuits — the jiedushi, or regional military governors — representing approximately one-third of the Tang army. In December 755, he declared himself emperor of a rival Great Yan dynasty and marched on Chang'an. The Tang court fled. The dynasty survived only with the aid of Uyghur mercenaries whose employment created a new fiscal and political dependency.</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rebellion was suppressed by 763 CE after eight years of war that may have killed between thirteen and thirty-six million people — the corpus records are insufficient for precision, but the demographic impact was catastrophic. More significant than the human cost was the institutional damage. To suppress the rebellion, the Tang court had been forced to grant effective autonomy to the regional military governors who remained loyal. After the rebellion, those governors retained their autonomy as the price of their loyalty. The central government's ability to tax, conscript, and command across the full territory of the empire was permanently impaired. The An Lushan Rebellion did not end the Tang dynasty — that took another century and a half — but it ended the Tang as an operating system at full capacity.</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deeper lesson, which the corpus makes visible with the benefit of retrospect, is the dual-use nature of the jiedushi institution itself. The regional military governor system was a rational response to the Tang's frontier security problem. A vast empire with contested Central Asian frontiers required delegated military authority. The institution worked for its designed purpose: the frontiers were held, the Silk Road was protected, and Tang military power projected across Eurasia. But the same delegation of authority that made frontier security possible also made An Lushan possible. The institution that was the solution became the problem. This is the dual-use trap, and it appears in every major civilisation in the corpus.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examination system itself exhibited the same dual-use dynamic at a slower timescale. The keju produced administrators of genuine competence and gave the Tang a bureaucratic class with shared formation and institutional loyalty. But the examination system also produced more qualified candidates than positions available. The corpus records escalating examination failure rates across the Tang period: the success rate fell from approximately twenty percent in early Tang to under five percent by the late dynasty. Failed examination candidates accumulated in the cities, literate, credentialed, unable to secure positions, increasingly resentful. This is E-overproduction from an I-mechanism — the institution that creates administrators also creates the surplus administrators who destabilise the system.</w:t>
      </w:r>
    </w:p>
    <w:p>
      <w:pPr>
        <w:spacing w:after="80" w:before="0"/>
      </w:pPr>
    </w:p>
    <w:tbl>
      <w:tblPr>
        <w:tblW w:type="dxa" w:w="9360"/>
        <w:tblBorders>
          <w:top w:val="single" w:color="7A4F01" w:sz="4"/>
          <w:left w:val="single" w:color="7A4F01" w:sz="18"/>
          <w:bottom w:val="single" w:color="7A4F01" w:sz="4"/>
          <w:right w:val="single" w:color="7A4F01" w:sz="4"/>
          <w:insideH w:val="none"/>
          <w:insideV w:val="none"/>
        </w:tblBorders>
        <w:tblLayout w:type="fixed"/>
      </w:tblPr>
      <w:tblGrid>
        <w:gridCol w:w="9360"/>
      </w:tblGrid>
      <w:tr>
        <w:tc>
          <w:tcPr>
            <w:tcW w:type="dxa" w:w="9360"/>
            <w:shd w:fill="FFF6E0"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7A4F01"/>
                <w:sz w:val="18"/>
                <w:szCs w:val="18"/>
              </w:rPr>
              <w:t xml:space="preserve">THE DUAL-USE TRAP</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Every major institutional innovation in the corpus exhibits dual-use potential: the same design choice that solves the problem it was built to solve also creates a new problem that did not exist before the solution.</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Tang jiedushi: solved frontier security; created the conditions for An Lushan.</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Tang keju: created meritocratic administration; created credentialed surplus elite.</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Roman tribunes: protected plebeians from Senate; became the vehicle for Gracchi-style populist faction.</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American First Amendment: protected speech and press; created information environment the framers could not have anticipated.</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The dual-use trap cannot be avoided by better design. It can only be managed by institutional maintenance — constant attention to the second-order effects of first-order solutions.</w:t>
            </w:r>
          </w:p>
        </w:tc>
      </w:tr>
    </w:tbl>
    <w:p>
      <w:pPr>
        <w:spacing w:after="120" w:before="0"/>
      </w:pPr>
    </w:p>
    <w:p>
      <w:pPr>
        <w:spacing w:after="60" w:before="0"/>
      </w:pPr>
    </w:p>
    <w:tbl>
      <w:tblPr>
        <w:tblW w:type="dxa" w:w="9360"/>
        <w:tblBorders>
          <w:top w:val="single" w:color="9AA5B1" w:sz="2"/>
          <w:left w:val="single" w:color="9AA5B1" w:sz="2"/>
          <w:bottom w:val="single" w:color="9AA5B1" w:sz="2"/>
          <w:right w:val="single" w:color="9AA5B1" w:sz="2"/>
          <w:insideH w:val="single" w:color="D5DCE5" w:sz="1"/>
          <w:insideV w:val="single" w:color="D5DCE5" w:sz="1"/>
        </w:tblBorders>
        <w:tblLayout w:type="fixed"/>
      </w:tblPr>
      <w:tblGrid>
        <w:gridCol w:w="2400"/>
        <w:gridCol w:w="1200"/>
        <w:gridCol w:w="1300"/>
        <w:gridCol w:w="1500"/>
        <w:gridCol w:w="2960"/>
      </w:tblGrid>
      <w:tr>
        <w:trPr>
          <w:tblHeader/>
        </w:trPr>
        <w:tc>
          <w:tcPr>
            <w:tcW w:type="dxa" w:w="24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Variable</w:t>
            </w:r>
          </w:p>
        </w:tc>
        <w:tc>
          <w:tcPr>
            <w:tcW w:type="dxa" w:w="12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Symbol</w:t>
            </w:r>
          </w:p>
        </w:tc>
        <w:tc>
          <w:tcPr>
            <w:tcW w:type="dxa" w:w="13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Reading</w:t>
            </w:r>
          </w:p>
        </w:tc>
        <w:tc>
          <w:tcPr>
            <w:tcW w:type="dxa" w:w="15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Trend</w:t>
            </w:r>
          </w:p>
        </w:tc>
        <w:tc>
          <w:tcPr>
            <w:tcW w:type="dxa" w:w="296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Primary Evidence</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Asabiyyah</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0.38</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DOWN</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Post-rebellion xenophobia; Huichang Suppression of Buddhism 842-845 CE; cosmopolitan identity fragmenting</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Knowledge</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K</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0.55</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DOWN</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Block printing preserving K but no longer expanding; examination system producing surplus graduates</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Institutions</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0.32</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DOWN</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Jiedushi effectively autonomous; central tax authority broken; eunuch factions capturing court; I-capture from multiple directions</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Legitimacy</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L</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0.34</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DOWN</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Tax extraction without security provision; peasant rebellions (Huang Chao 874-884 CE) indicating L-collapse</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Surplus</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xi</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0.28</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DOWN</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Silk Road disrupted; agricultural tax base fragmented by regional autonomy; court fiscally dependent on remaining loyal governors</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Disorder</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Omega</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0.71</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UP</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Simultaneous peasant rebellions; warlord competition; frontier losses to Nanzhao and Tibet</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Elite overproduction</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0.68</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UP</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Examination surplus massive; failed scholars staffing rebel armies; warlord courts absorbing displaced administrator class</w:t>
            </w:r>
          </w:p>
        </w:tc>
      </w:tr>
    </w:tbl>
    <w:p>
      <w:pPr>
        <w:spacing w:after="120" w:before="0"/>
      </w:pPr>
    </w:p>
    <w:p>
      <w:r>
        <w:br w:type="page"/>
      </w:r>
    </w:p>
    <w:p>
      <w:r>
        <w:br w:type="page"/>
      </w:r>
    </w:p>
    <w:p>
      <w:pPr>
        <w:spacing w:after="300" w:before="0"/>
      </w:pPr>
    </w:p>
    <w:p>
      <w:pPr>
        <w:spacing w:after="40" w:before="60" w:line="276" w:lineRule="auto"/>
        <w:jc w:val="left"/>
      </w:pPr>
      <w:r>
        <w:rPr>
          <w:rFonts w:ascii="Arial" w:cs="Arial" w:eastAsia="Arial" w:hAnsi="Arial"/>
          <w:b/>
          <w:bCs/>
          <w:i w:val="false"/>
          <w:iCs w:val="false"/>
          <w:caps/>
          <w:color w:val="8B0000"/>
          <w:sz w:val="20"/>
          <w:szCs w:val="20"/>
        </w:rPr>
        <w:t xml:space="preserve">Civilisation III</w:t>
      </w:r>
    </w:p>
    <w:p>
      <w:pPr>
        <w:spacing w:after="40" w:before="60" w:line="300" w:lineRule="auto"/>
        <w:jc w:val="left"/>
      </w:pPr>
      <w:r>
        <w:rPr>
          <w:rFonts w:ascii="Arial" w:cs="Arial" w:eastAsia="Arial" w:hAnsi="Arial"/>
          <w:b/>
          <w:bCs/>
          <w:i w:val="false"/>
          <w:iCs w:val="false"/>
          <w:caps w:val="false"/>
          <w:color w:val="1B3A6B"/>
          <w:sz w:val="38"/>
          <w:szCs w:val="38"/>
        </w:rPr>
        <w:t xml:space="preserve">THE ABBASID CALIPHATE</w:t>
      </w:r>
    </w:p>
    <w:p>
      <w:pPr>
        <w:spacing w:after="80" w:before="60" w:line="276" w:lineRule="auto"/>
        <w:jc w:val="left"/>
      </w:pPr>
      <w:r>
        <w:rPr>
          <w:rFonts w:ascii="Arial" w:cs="Arial" w:eastAsia="Arial" w:hAnsi="Arial"/>
          <w:b w:val="false"/>
          <w:bCs w:val="false"/>
          <w:i/>
          <w:iCs/>
          <w:caps w:val="false"/>
          <w:color w:val="3A4652"/>
          <w:sz w:val="24"/>
          <w:szCs w:val="24"/>
        </w:rPr>
        <w:t xml:space="preserve">Knowledge Without Continuity</w:t>
      </w:r>
    </w:p>
    <w:p>
      <w:pPr>
        <w:pBdr>
          <w:bottom w:val="single" w:color="1B3A6B" w:sz="14" w:space="6"/>
        </w:pBdr>
        <w:spacing w:after="160" w:before="40"/>
        <w:jc w:val="left"/>
      </w:pPr>
      <w:r>
        <w:rPr>
          <w:rFonts w:ascii="Arial" w:cs="Arial" w:eastAsia="Arial" w:hAnsi="Arial"/>
          <w:b w:val="false"/>
          <w:bCs w:val="false"/>
          <w:i w:val="false"/>
          <w:iCs w:val="false"/>
          <w:caps w:val="false"/>
          <w:color w:val="1A1A1A"/>
          <w:sz w:val="22"/>
          <w:szCs w:val="22"/>
        </w:rPr>
        <w:t xml:space="preserve"/>
      </w:r>
    </w:p>
    <w:p>
      <w:pPr>
        <w:spacing w:after="160" w:before="60" w:line="300" w:lineRule="auto"/>
        <w:jc w:val="left"/>
      </w:pPr>
      <w:r>
        <w:rPr>
          <w:rFonts w:ascii="Arial" w:cs="Arial" w:eastAsia="Arial" w:hAnsi="Arial"/>
          <w:b w:val="false"/>
          <w:bCs w:val="false"/>
          <w:i/>
          <w:iCs/>
          <w:caps w:val="false"/>
          <w:color w:val="3A4652"/>
          <w:sz w:val="22"/>
          <w:szCs w:val="22"/>
        </w:rPr>
        <w:t xml:space="preserve">750 to 1258 CE. Five centuries in which the Islamic world produced the most concentrated K-expansion between the Greek flowering and the European Renaissance. The House of Wisdom in Baghdad was the first institution that would be recognisable as a modern research organisation. The Mongol sack of Baghdad in 1258 CE destroyed it. What the Abbasids built was genuine. What happened to it demonstrates that K without durable I-protection is always at risk of discontinuity.</w:t>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11.6  </w:t>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House of Wisdom</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The translation movement of the early Abbasid period was the most deliberate K-acquisition programme in pre-modern history. Beginning under Caliph al-Mansur and reaching its institutional peak under al-Mamun in the early ninth century CE, the House of Wisdom employed teams of translators — Christian, Jewish, Zoroastrian, and Muslim — to render Greek philosophical and scientific texts, Persian administrative literature, and Indian mathematical works into Arabic. The corpus evidence in WORLD_GREATBOOKS suggests this was not scholarly accumulation for its own sake. It was state policy.</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What emerged from this translation programme was not merely a collection of preserved texts. It was a synthesis — a genuine intellectual tradition that took Greek logic, Persian political philosophy, and Indian mathematics as raw materials and produced something new. Al-Khwarizmi did not translate algebra; he invented it, using Indian numerical notation as a tool and Greek geometric proof as a model. Ibn Sina did not summarise Greek medicine; he systematised it, corrected it, and extended it into a canon that remained the foundation of European medical education until the seventeenth century. Al-Biruni conducted field measurements of the Earth's circumference using trigonometric methods of his own development. Ibn al-Haytham's Kitab al-Manazir established the geometry of optics on experimental grounds. These were not commentary. These were original contributions.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institutional precondition for this K-explosion was the early Abbasid policy of relative religious pluralism. The Caliph's court employed scholars of all faiths because the Caliph valued the scholarship, not the faith. Christian translators preserved Greek texts that would otherwise have been lost. Jewish physicians applied Galenic medicine in a Muslim court. Zoroastrian astronomers contributed Persian celestial observation records to the synthetic astronomical tradition. This cross-cultural K-synthesis was only possible because A was defined in the early Abbasid period as membership in the civilisational project rather than membership in a single religious community. The moment A narrowed — as it did under theological pressure in the late Abbasid period — K-synthesis slowed.</w:t>
      </w:r>
    </w:p>
    <w:p>
      <w:pPr>
        <w:spacing w:after="80" w:before="0"/>
      </w:pPr>
    </w:p>
    <w:tbl>
      <w:tblPr>
        <w:tblW w:type="dxa" w:w="9360"/>
        <w:tblBorders>
          <w:top w:val="single" w:color="00595C" w:sz="4"/>
          <w:left w:val="single" w:color="00595C" w:sz="18"/>
          <w:bottom w:val="single" w:color="00595C" w:sz="4"/>
          <w:right w:val="single" w:color="00595C" w:sz="4"/>
          <w:insideH w:val="none"/>
          <w:insideV w:val="none"/>
        </w:tblBorders>
        <w:tblLayout w:type="fixed"/>
      </w:tblPr>
      <w:tblGrid>
        <w:gridCol w:w="9360"/>
      </w:tblGrid>
      <w:tr>
        <w:tc>
          <w:tcPr>
            <w:tcW w:type="dxa" w:w="9360"/>
            <w:shd w:fill="E0F2F1"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00595C"/>
                <w:sz w:val="18"/>
                <w:szCs w:val="18"/>
              </w:rPr>
              <w:t xml:space="preserve">WHAT THE ABBASID K-PEAK PRODUCED</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Al-Khwarizmi (ca. 780-850 CE): algebra (from 'al-jabr'), algorithm (Latinisation of his name) — the two concepts underlie all modern computation</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Ibn Sina (980-1037 CE): Canon of Medicine, standard European medical text until 1650 CE; identified quarantine as infection-control principle</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Al-Biruni (973-1048 CE): measured Earth's radius to within 1% of modern value using field trigonometry</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Ibn al-Haytham (965-1040 CE): established experimental optics; described camera obscura principle; laid foundations for lens physics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Al-Zahrawi (936-1013 CE): surgical instruments, anaesthesia techniques, documented in illuminated manuscripts that served as European surgical training texts for 500 years</w:t>
            </w:r>
          </w:p>
          <w:p>
            <w:pPr>
              <w:spacing w:after="60" w:before="40" w:line="276" w:lineRule="auto"/>
              <w:jc w:val="left"/>
            </w:pPr>
            <w:r>
              <w:rPr>
                <w:rFonts w:ascii="Arial" w:cs="Arial" w:eastAsia="Arial" w:hAnsi="Arial"/>
                <w:b w:val="false"/>
                <w:bCs w:val="false"/>
                <w:i/>
                <w:iCs/>
                <w:caps w:val="false"/>
                <w:color w:val="3A4652"/>
                <w:sz w:val="18"/>
                <w:szCs w:val="18"/>
              </w:rPr>
              <w:t xml:space="preserve">Source: WORLD_GREATBOOKS corpus — Toynbee Study of History Vol. IX</w:t>
            </w:r>
          </w:p>
        </w:tc>
      </w:tr>
    </w:tbl>
    <w:p>
      <w:pPr>
        <w:spacing w:after="120" w:before="0"/>
      </w:pP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11.7  </w:t>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Institutional Hollowing</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Abbasid political trajectory was an almost perfect case study in I-collapse without cultural collapse. The Caliph's authority over the actual military and administrative apparatus began eroding almost as soon as the Abbasid dynasty consolidated power. By the ninth century CE, Turkish military commanders — the ghulam, slave-soldiers purchased and trained as an alternative to tribal Arab levies — held effective military authority. By the tenth century, the Buyid dynasty held the Caliph as a prisoner of honour in his own palace, maintaining him as a source of religious legitimation while exercising all actual political power. The Caliphate had become a brand — a legitimacy token — detached from the institutional machinery it nominally represented.</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This institutional hollowing did not immediately destroy the K-tradition. Ibn Sina did his best work under Buyid patronage. Al-Biruni was sponsored by Mahmud of Ghazni, a Central Asian Turkish ruler who had no formal connection to the Caliphate at all. The K that the Abbasids had assembled proved, for two centuries after the Caliphate's political degradation, to be largely self-sustaining. Individual scholars carried the tradition through their students, their manuscripts, and their reputations. The K existed as a distributed system even after the central institutional node had been captured.</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Mongol sack of Baghdad in 1258 CE delivered what political hollowing had not: a direct K-discontinuity. The House of Wisdom was destroyed. The Tigris ran black with ink from thrown manuscripts, according to the sources the corpus preserves. The destruction was not total — manuscripts had been copied and distributed across Islamic libraries from Cordoba to Samarkand — but the institutional centre was gone, and with it the organisational capacity to continue systematic K-production at the level the Abbasid peak had achieved. The recovery took centuries. The Ottoman Empire eventually rebuilt a new Islamic K-tradition, but it was narrower, less cosmopolitan, and less synthetically creative than what had been destroyed.</w:t>
      </w:r>
    </w:p>
    <w:p>
      <w:pPr>
        <w:spacing w:after="60" w:before="0"/>
      </w:pPr>
    </w:p>
    <w:tbl>
      <w:tblPr>
        <w:tblW w:type="dxa" w:w="9360"/>
        <w:tblBorders>
          <w:top w:val="single" w:color="9AA5B1" w:sz="2"/>
          <w:left w:val="single" w:color="9AA5B1" w:sz="2"/>
          <w:bottom w:val="single" w:color="9AA5B1" w:sz="2"/>
          <w:right w:val="single" w:color="9AA5B1" w:sz="2"/>
          <w:insideH w:val="single" w:color="D5DCE5" w:sz="1"/>
          <w:insideV w:val="single" w:color="D5DCE5" w:sz="1"/>
        </w:tblBorders>
        <w:tblLayout w:type="fixed"/>
      </w:tblPr>
      <w:tblGrid>
        <w:gridCol w:w="2400"/>
        <w:gridCol w:w="1200"/>
        <w:gridCol w:w="1300"/>
        <w:gridCol w:w="1500"/>
        <w:gridCol w:w="2960"/>
      </w:tblGrid>
      <w:tr>
        <w:trPr>
          <w:tblHeader/>
        </w:trPr>
        <w:tc>
          <w:tcPr>
            <w:tcW w:type="dxa" w:w="24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Variable</w:t>
            </w:r>
          </w:p>
        </w:tc>
        <w:tc>
          <w:tcPr>
            <w:tcW w:type="dxa" w:w="12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Symbol</w:t>
            </w:r>
          </w:p>
        </w:tc>
        <w:tc>
          <w:tcPr>
            <w:tcW w:type="dxa" w:w="13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Reading</w:t>
            </w:r>
          </w:p>
        </w:tc>
        <w:tc>
          <w:tcPr>
            <w:tcW w:type="dxa" w:w="15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Trend</w:t>
            </w:r>
          </w:p>
        </w:tc>
        <w:tc>
          <w:tcPr>
            <w:tcW w:type="dxa" w:w="296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Primary Evidence</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Asabiyyah (peak, ca. 830 CE)</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0.69</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Cosmopolitan Baghdad; cross-faith K-synthesis; Silk Road integration; Abbasid imperial identity as shared civilisational project</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Knowledge (peak, ca. 830 CE)</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K</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0.82</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House of Wisdom at maximum; original mathematical, medical, optical contributions; corpus density highest of any pre-modern period</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Institutions (crisis, ca. 1000 CE)</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0.28</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DOWN</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Buyid military control; Caliph as legitimacy token only; provincial authority fragmented; no central administrative capacity</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Disorder (crisis, 1258 CE)</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Omega</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0.89</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UP</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Mongol invasion; Baghdad sacked; House of Wisdom destroyed; Abbasid Caliph executed; K-discontinuity event</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Legitimacy (post-1258)</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L</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0.31</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DOWN</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Cairo shadow caliphate accepted only nominally; political authority fragmented across successor states</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Knowledge (post-1258)</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K</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0.48</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DOWN</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Manuscript dispersal preserving some K; but synthetic institutional production ended; 600-year recovery to comparable output</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Elite overproduction (crisis)</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0.61</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UP</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Scholar class displaced by political collapse; competing theological schools as E-overproduction in religious domain</w:t>
            </w:r>
          </w:p>
        </w:tc>
      </w:tr>
    </w:tbl>
    <w:p>
      <w:pPr>
        <w:spacing w:after="120" w:before="0"/>
      </w:pPr>
    </w:p>
    <w:p>
      <w:pPr>
        <w:spacing w:after="80" w:before="0"/>
      </w:pPr>
    </w:p>
    <w:tbl>
      <w:tblPr>
        <w:tblW w:type="dxa" w:w="9360"/>
        <w:tblBorders>
          <w:top w:val="single" w:color="1B3A6B" w:sz="4"/>
          <w:left w:val="single" w:color="1B3A6B" w:sz="18"/>
          <w:bottom w:val="single" w:color="1B3A6B" w:sz="4"/>
          <w:right w:val="single" w:color="1B3A6B" w:sz="4"/>
          <w:insideH w:val="none"/>
          <w:insideV w:val="none"/>
        </w:tblBorders>
        <w:tblLayout w:type="fixed"/>
      </w:tblPr>
      <w:tblGrid>
        <w:gridCol w:w="9360"/>
      </w:tblGrid>
      <w:tr>
        <w:tc>
          <w:tcPr>
            <w:tcW w:type="dxa" w:w="9360"/>
            <w:shd w:fill="E8EEF7" w:color="auto" w:val="clear"/>
            <w:tcMar>
              <w:top w:type="dxa" w:w="120"/>
              <w:left w:type="dxa" w:w="200"/>
              <w:bottom w:type="dxa" w:w="120"/>
              <w:right w:type="dxa" w:w="200"/>
            </w:tcMar>
          </w:tcPr>
          <w:p>
            <w:pPr>
              <w:spacing w:after="40" w:before="60" w:line="300" w:lineRule="auto"/>
              <w:jc w:val="left"/>
            </w:pPr>
            <w:r>
              <w:rPr>
                <w:rFonts w:ascii="Arial" w:cs="Arial" w:eastAsia="Arial" w:hAnsi="Arial"/>
                <w:b w:val="false"/>
                <w:bCs w:val="false"/>
                <w:i/>
                <w:iCs/>
                <w:caps w:val="false"/>
                <w:color w:val="1B3A6B"/>
                <w:sz w:val="26"/>
                <w:szCs w:val="26"/>
              </w:rPr>
              <w:t xml:space="preserve">The lesson of Baghdad is not that knowledge is fragile. The lesson is that knowledge requires institutional protection, and institutional protection requires political will, and political will requires asabiyyah. When the chain breaks at any link, the knowledge is at risk.</w:t>
            </w:r>
          </w:p>
          <w:p>
            <w:pPr>
              <w:spacing w:after="60" w:before="60" w:line="276" w:lineRule="auto"/>
              <w:jc w:val="left"/>
            </w:pPr>
            <w:r>
              <w:rPr>
                <w:rFonts w:ascii="Arial" w:cs="Arial" w:eastAsia="Arial" w:hAnsi="Arial"/>
                <w:b w:val="false"/>
                <w:bCs w:val="false"/>
                <w:i w:val="false"/>
                <w:iCs w:val="false"/>
                <w:caps w:val="false"/>
                <w:color w:val="8B0000"/>
                <w:sz w:val="20"/>
                <w:szCs w:val="20"/>
              </w:rPr>
              <w:t xml:space="preserve">— CivilisationOS synthesis — WORLD_GREATBOOKS and FA_RAG corpora</w:t>
            </w:r>
          </w:p>
        </w:tc>
      </w:tr>
    </w:tbl>
    <w:p>
      <w:pPr>
        <w:spacing w:after="120" w:before="0"/>
      </w:pPr>
    </w:p>
    <w:p>
      <w:r>
        <w:br w:type="page"/>
      </w:r>
    </w:p>
    <w:p>
      <w:r>
        <w:br w:type="page"/>
      </w:r>
    </w:p>
    <w:p>
      <w:pPr>
        <w:spacing w:after="300" w:before="0"/>
      </w:pPr>
    </w:p>
    <w:p>
      <w:pPr>
        <w:spacing w:after="40" w:before="60" w:line="276" w:lineRule="auto"/>
        <w:jc w:val="left"/>
      </w:pPr>
      <w:r>
        <w:rPr>
          <w:rFonts w:ascii="Arial" w:cs="Arial" w:eastAsia="Arial" w:hAnsi="Arial"/>
          <w:b/>
          <w:bCs/>
          <w:i w:val="false"/>
          <w:iCs w:val="false"/>
          <w:caps/>
          <w:color w:val="8B0000"/>
          <w:sz w:val="20"/>
          <w:szCs w:val="20"/>
        </w:rPr>
        <w:t xml:space="preserve">Civilisation IV</w:t>
      </w:r>
    </w:p>
    <w:p>
      <w:pPr>
        <w:spacing w:after="40" w:before="60" w:line="300" w:lineRule="auto"/>
        <w:jc w:val="left"/>
      </w:pPr>
      <w:r>
        <w:rPr>
          <w:rFonts w:ascii="Arial" w:cs="Arial" w:eastAsia="Arial" w:hAnsi="Arial"/>
          <w:b/>
          <w:bCs/>
          <w:i w:val="false"/>
          <w:iCs w:val="false"/>
          <w:caps w:val="false"/>
          <w:color w:val="1B3A6B"/>
          <w:sz w:val="38"/>
          <w:szCs w:val="38"/>
        </w:rPr>
        <w:t xml:space="preserve">THE BRITISH EMPIRE</w:t>
      </w:r>
    </w:p>
    <w:p>
      <w:pPr>
        <w:spacing w:after="80" w:before="60" w:line="276" w:lineRule="auto"/>
        <w:jc w:val="left"/>
      </w:pPr>
      <w:r>
        <w:rPr>
          <w:rFonts w:ascii="Arial" w:cs="Arial" w:eastAsia="Arial" w:hAnsi="Arial"/>
          <w:b w:val="false"/>
          <w:bCs w:val="false"/>
          <w:i/>
          <w:iCs/>
          <w:caps w:val="false"/>
          <w:color w:val="3A4652"/>
          <w:sz w:val="24"/>
          <w:szCs w:val="24"/>
        </w:rPr>
        <w:t xml:space="preserve">Institutions That Outlived Their Creator</w:t>
      </w:r>
    </w:p>
    <w:p>
      <w:pPr>
        <w:pBdr>
          <w:bottom w:val="single" w:color="1B3A6B" w:sz="14" w:space="6"/>
        </w:pBdr>
        <w:spacing w:after="160" w:before="40"/>
        <w:jc w:val="left"/>
      </w:pPr>
      <w:r>
        <w:rPr>
          <w:rFonts w:ascii="Arial" w:cs="Arial" w:eastAsia="Arial" w:hAnsi="Arial"/>
          <w:b w:val="false"/>
          <w:bCs w:val="false"/>
          <w:i w:val="false"/>
          <w:iCs w:val="false"/>
          <w:caps w:val="false"/>
          <w:color w:val="1A1A1A"/>
          <w:sz w:val="22"/>
          <w:szCs w:val="22"/>
        </w:rPr>
        <w:t xml:space="preserve"/>
      </w:r>
    </w:p>
    <w:p>
      <w:pPr>
        <w:spacing w:after="160" w:before="60" w:line="300" w:lineRule="auto"/>
        <w:jc w:val="left"/>
      </w:pPr>
      <w:r>
        <w:rPr>
          <w:rFonts w:ascii="Arial" w:cs="Arial" w:eastAsia="Arial" w:hAnsi="Arial"/>
          <w:b w:val="false"/>
          <w:bCs w:val="false"/>
          <w:i/>
          <w:iCs/>
          <w:caps w:val="false"/>
          <w:color w:val="3A4652"/>
          <w:sz w:val="22"/>
          <w:szCs w:val="22"/>
        </w:rPr>
        <w:t xml:space="preserve">1600 to 1950 CE. The British Empire was the largest political structure in human history, covering at its peak approximately one-quarter of the Earth's land surface and governing approximately one-quarter of its population. It was built on naval power, commercial advantage, and institutional export. The naval power is gone. The commercial advantage is gone. The institutions remain. FA_RAG provides the primary analytical record.</w:t>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11.8  </w:t>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Portable Institution</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Common law is the most successfully exported institutional technology in the historical record. The FA_RAG corpus documents the comparison exhaustively: former British colonies systematically outperform former French and former Iberian colonies on governance metrics, rule of law indices, institutional quality measures, and long-run economic performance. The correlation is not perfect — India, Australia, New Zealand, and Singapore are not identical — but it is sufficiently strong and consistent to constitute evidence of institutional transmission rather than coincidence.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Common law's exportability derives from its structure. It is not a fixed code but a method — a set of procedural principles (adversarial proceedings, precedent, judicial independence, the presumption of innocence) that can be applied to any substantive domain and any local context. A common law court in Singapore in 1960 was not applying rules designed for England in 1750. It was applying a method of legal reasoning that could adapt to Singapore's commercial needs, ethnic diversity, and postcolonial context while maintaining the procedural integrity that makes legal decisions predictable and therefore investable. That adaptability is the source of the transmission advantage. Rigid codes are brittle; methods are portable.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Parliamentary democracy as the British Empire practised it — imperfectly, hypocritically, excludingly — was nonetheless the most durable high-A institutional design in the Western record. The parliamentary system survived the Black Death, the Wars of the Roses, the Civil War, the Glorious Revolution, two world wars, and the end of empire without a single successful coup. This is an extraordinary I-stability record. The design feature that produced it was the combination of genuine elite competition (elections, parliamentary debate, party competition) with institutional rules that constrained the losers from invalidating the outcome. Winners governed. Losers waited for the next election. The alternation of power was more valuable than any particular election result.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English language performed for British civilisational influence what Latin had performed for Rome, but with a durational advantage that Rome never achieved. Latin died as a living language when the Roman administrative class that used it disappeared. English is spoken as a first or second language by approximately 1.5 billion people in 2026, more than a century after British imperial power peaked. The language became the medium of international science, commerce, diplomacy, and popular culture because it was the language of the world's dominant military and economic power from approximately 1815 to 1945. It has continued as the world's coordination language because coordination languages exhibit powerful network effects: once enough people use a language for international communication, all parties are better off continuing to use it. The British Empire created the network. The network outlived the empire.</w:t>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11.9  </w:t>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Extraction Cost and the Managed Contraction</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British Empire's institutional achievements cannot be separated from its extraction costs, and this manual does not attempt the separation. The deindustrialisation of India — documented in FA_RAG through economic historian analysis — involved the systematic destruction of Indian textile manufacturing through tariff policy and British East India Company market control. The Irish Famine of 1845-1852, in which food continued to be exported from Ireland to England while approximately one million people died of starvation and another million emigrated, represents L-destruction for the governed population on a scale that makes the social compact language of British governance grotesque in that context. The Bengal Famine of 1943 killed an estimated two to three million people under British administrative authority.</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equation handles this through the L variable's directionality: legitimacy is measured separately for the governing and governed populations. British domestic L remained high throughout the imperial period — the parliamentary system delivered on its promises to the enfranchised British population. British imperial L in the governed territories was negative in many domains and periods: the extraction without delivery that is the structural definition of colonial governance. The high domestic L enabled the empire to sustain imperial governance longer than its extraction economics warranted, because the domestic population bore none of the costs and received all of the surplus. This is the standard imperial configuration, and it is always temporary.</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managed contraction of British imperial power from 1945 to 1970 is the most instructive example in the corpus of how a declining order should conduct its decline. The alternative — the French experience in Algeria and Indochina, the Portuguese experience in Angola and Mozambique — shows what happens when imperial powers refuse to recognise their declining A and L scores and attempt to hold territory by force. The British largely accepted the trajectory. India in 1947, Ghana in 1957, Nigeria in 1960, Kenya in 1963. The Commonwealth was created as a soft-power network that preserved British institutional influence and English-language connectivity after formal political authority ended. Institutions outlived the power that created them. That was the design objective from the beginning, even if it was not articulated as such.</w:t>
      </w:r>
    </w:p>
    <w:p>
      <w:pPr>
        <w:spacing w:after="60" w:before="0"/>
      </w:pPr>
    </w:p>
    <w:tbl>
      <w:tblPr>
        <w:tblW w:type="dxa" w:w="9360"/>
        <w:tblBorders>
          <w:top w:val="single" w:color="9AA5B1" w:sz="2"/>
          <w:left w:val="single" w:color="9AA5B1" w:sz="2"/>
          <w:bottom w:val="single" w:color="9AA5B1" w:sz="2"/>
          <w:right w:val="single" w:color="9AA5B1" w:sz="2"/>
          <w:insideH w:val="single" w:color="D5DCE5" w:sz="1"/>
          <w:insideV w:val="single" w:color="D5DCE5" w:sz="1"/>
        </w:tblBorders>
        <w:tblLayout w:type="fixed"/>
      </w:tblPr>
      <w:tblGrid>
        <w:gridCol w:w="2400"/>
        <w:gridCol w:w="1200"/>
        <w:gridCol w:w="1300"/>
        <w:gridCol w:w="1500"/>
        <w:gridCol w:w="2960"/>
      </w:tblGrid>
      <w:tr>
        <w:trPr>
          <w:tblHeader/>
        </w:trPr>
        <w:tc>
          <w:tcPr>
            <w:tcW w:type="dxa" w:w="24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Variable</w:t>
            </w:r>
          </w:p>
        </w:tc>
        <w:tc>
          <w:tcPr>
            <w:tcW w:type="dxa" w:w="12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Symbol</w:t>
            </w:r>
          </w:p>
        </w:tc>
        <w:tc>
          <w:tcPr>
            <w:tcW w:type="dxa" w:w="13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Reading</w:t>
            </w:r>
          </w:p>
        </w:tc>
        <w:tc>
          <w:tcPr>
            <w:tcW w:type="dxa" w:w="15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Trend</w:t>
            </w:r>
          </w:p>
        </w:tc>
        <w:tc>
          <w:tcPr>
            <w:tcW w:type="dxa" w:w="296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Primary Evidence</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Asabiyyah (domestic peak, ca. 1850-1900)</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0.76</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Victorian national identity at maximum; industrial power generating shared prosperity; parliamentary democracy as source of civic pride</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Institutions (peak)</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0.78</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Common law exportable and adaptable; parliamentary democracy stable; Bank of England as institutional model; civil service reform 1854</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Legitimacy (colonial, average)</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L</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0.27</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Extraction without delivery; India deindustrialisation; Bengal Famine; Irish Famine; governed populations' L score negative in many cases</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Knowledge (peak)</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K</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0.71</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Royal Society; Industrial Revolution K-production; university system; scientific publication as institutional norm</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Surplus (peak)</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xi</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0.68</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Sterling as world reserve currency; global trade network; imperial preference system; London as world financial centre</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Disorder (post-WWI)</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Omega</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0.38</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UP</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Indian independence movement; Irish War of Independence; Great Depression economic shock; WWII fiscal exhaustion</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Legitimacy (managed contraction, 1947-1970)</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L</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0.61</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Decolonisation without collapse; Commonwealth formation; institutional handover; English language persisting as coordination medium</w:t>
            </w:r>
          </w:p>
        </w:tc>
      </w:tr>
    </w:tbl>
    <w:p>
      <w:pPr>
        <w:spacing w:after="120" w:before="0"/>
      </w:pPr>
    </w:p>
    <w:p>
      <w:pPr>
        <w:spacing w:after="80" w:before="0"/>
      </w:pPr>
    </w:p>
    <w:tbl>
      <w:tblPr>
        <w:tblW w:type="dxa" w:w="9360"/>
        <w:tblBorders>
          <w:top w:val="single" w:color="7A4F01" w:sz="4"/>
          <w:left w:val="single" w:color="7A4F01" w:sz="18"/>
          <w:bottom w:val="single" w:color="7A4F01" w:sz="4"/>
          <w:right w:val="single" w:color="7A4F01" w:sz="4"/>
          <w:insideH w:val="none"/>
          <w:insideV w:val="none"/>
        </w:tblBorders>
        <w:tblLayout w:type="fixed"/>
      </w:tblPr>
      <w:tblGrid>
        <w:gridCol w:w="9360"/>
      </w:tblGrid>
      <w:tr>
        <w:tc>
          <w:tcPr>
            <w:tcW w:type="dxa" w:w="9360"/>
            <w:shd w:fill="FFF6E0"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7A4F01"/>
                <w:sz w:val="18"/>
                <w:szCs w:val="18"/>
              </w:rPr>
              <w:t xml:space="preserve">BRITISH EMPIRE LESSON — BUILD FOR SEPARABILITY</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The most durable contribution of the British Empire was not its power but its institutional exports.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Common law, parliamentary procedure, independent judiciary, central bank architecture — these were designed (inadvertently, in most cases) to be separable from British political authority.</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Singapore, India, Australia, New Zealand, and Ghana all inherited these institutions and maintained them after independence. The institutions worked in local hands.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The design principle this generates: build institutions that can function without you. An institution that requires the founder's presence to operate is not an institution. It is a dependency.</w:t>
            </w:r>
          </w:p>
        </w:tc>
      </w:tr>
    </w:tbl>
    <w:p>
      <w:pPr>
        <w:spacing w:after="120" w:before="0"/>
      </w:pPr>
    </w:p>
    <w:p>
      <w:r>
        <w:br w:type="page"/>
      </w:r>
    </w:p>
    <w:p>
      <w:r>
        <w:br w:type="page"/>
      </w:r>
    </w:p>
    <w:p>
      <w:pPr>
        <w:spacing w:after="300" w:before="0"/>
      </w:pPr>
    </w:p>
    <w:p>
      <w:pPr>
        <w:spacing w:after="40" w:before="60" w:line="276" w:lineRule="auto"/>
        <w:jc w:val="left"/>
      </w:pPr>
      <w:r>
        <w:rPr>
          <w:rFonts w:ascii="Arial" w:cs="Arial" w:eastAsia="Arial" w:hAnsi="Arial"/>
          <w:b/>
          <w:bCs/>
          <w:i w:val="false"/>
          <w:iCs w:val="false"/>
          <w:caps/>
          <w:color w:val="8B0000"/>
          <w:sz w:val="20"/>
          <w:szCs w:val="20"/>
        </w:rPr>
        <w:t xml:space="preserve">Civilisation V</w:t>
      </w:r>
    </w:p>
    <w:p>
      <w:pPr>
        <w:spacing w:after="40" w:before="60" w:line="300" w:lineRule="auto"/>
        <w:jc w:val="left"/>
      </w:pPr>
      <w:r>
        <w:rPr>
          <w:rFonts w:ascii="Arial" w:cs="Arial" w:eastAsia="Arial" w:hAnsi="Arial"/>
          <w:b/>
          <w:bCs/>
          <w:i w:val="false"/>
          <w:iCs w:val="false"/>
          <w:caps w:val="false"/>
          <w:color w:val="1B3A6B"/>
          <w:sz w:val="38"/>
          <w:szCs w:val="38"/>
        </w:rPr>
        <w:t xml:space="preserve">THE AMERICAN EXPERIMENT</w:t>
      </w:r>
    </w:p>
    <w:p>
      <w:pPr>
        <w:spacing w:after="80" w:before="60" w:line="276" w:lineRule="auto"/>
        <w:jc w:val="left"/>
      </w:pPr>
      <w:r>
        <w:rPr>
          <w:rFonts w:ascii="Arial" w:cs="Arial" w:eastAsia="Arial" w:hAnsi="Arial"/>
          <w:b w:val="false"/>
          <w:bCs w:val="false"/>
          <w:i/>
          <w:iCs/>
          <w:caps w:val="false"/>
          <w:color w:val="3A4652"/>
          <w:sz w:val="24"/>
          <w:szCs w:val="24"/>
        </w:rPr>
        <w:t xml:space="preserve">The Most Sophisticated Faction-Management Document Ever Written, Under Stress</w:t>
      </w:r>
    </w:p>
    <w:p>
      <w:pPr>
        <w:pBdr>
          <w:bottom w:val="single" w:color="1B3A6B" w:sz="14" w:space="6"/>
        </w:pBdr>
        <w:spacing w:after="160" w:before="40"/>
        <w:jc w:val="left"/>
      </w:pPr>
      <w:r>
        <w:rPr>
          <w:rFonts w:ascii="Arial" w:cs="Arial" w:eastAsia="Arial" w:hAnsi="Arial"/>
          <w:b w:val="false"/>
          <w:bCs w:val="false"/>
          <w:i w:val="false"/>
          <w:iCs w:val="false"/>
          <w:caps w:val="false"/>
          <w:color w:val="1A1A1A"/>
          <w:sz w:val="22"/>
          <w:szCs w:val="22"/>
        </w:rPr>
        <w:t xml:space="preserve"/>
      </w:r>
    </w:p>
    <w:p>
      <w:pPr>
        <w:spacing w:after="160" w:before="60" w:line="300" w:lineRule="auto"/>
        <w:jc w:val="left"/>
      </w:pPr>
      <w:r>
        <w:rPr>
          <w:rFonts w:ascii="Arial" w:cs="Arial" w:eastAsia="Arial" w:hAnsi="Arial"/>
          <w:b w:val="false"/>
          <w:bCs w:val="false"/>
          <w:i/>
          <w:iCs/>
          <w:caps w:val="false"/>
          <w:color w:val="3A4652"/>
          <w:sz w:val="22"/>
          <w:szCs w:val="22"/>
        </w:rPr>
        <w:t xml:space="preserve">1776 to 2026 CE. Two hundred and fifty years of the most extensively documented institutional experiment in the modern record. The Federalist Papers are the finest analysis of elite overproduction and faction management written before Turchin formalised the same dynamics in 2003. The Constitution they explained has functioned for longer than any other written constitutional document in continuous operation. It is now under the most severe E-pressure in its history. US_POLICY_RAG and FA_RAG provide the primary record.</w:t>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11.10  </w:t>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Madison's Equation</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Federalist No. 10 is the most important document in this section's analytical framework. James Madison, writing in 1787, identified the core problem of republican government with precision that would not be matched in the social sciences until the late twentieth century: faction — the tendency of groups defined by common interest to pursue that interest at the expense of the public good — is the natural condition of free societies, and it cannot be eliminated without eliminating freedom. The only solution is to manage it. The Constitution was designed as a faction-management machine.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Madison's design choices were specific and deliberate. The separation of powers between executive, legislative, and judicial branches was not merely a theoretical balance. It was an engineering solution to the problem of I-capture: if any faction captured the executive, it still faced an independent legislature; if it captured both, it faced an independent judiciary. The bicameral legislature — House with short terms and district representation, Senate with long terms and state-level representation — was designed to ensure that no single factional coalition could simultaneously dominate both chambers, because the electoral mathematics were different. The federal structure distributed power geographically, ensuring that even a faction dominant at the national level faced resistance in the states.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First Amendment was the K-protection mechanism. Madison understood that faction could capture the public mind as effectively as it could capture the government, and that a free press was the primary mechanism for exposing both. The Amendment does not merely protect the press from censorship. It creates a structural incentive for the press to function as a counter-factional force: newspapers compete for readers by publishing exposures of faction that their competitors have missed. The competition for readers is the mechanism that makes press freedom a systemic check, not merely a personal right. This is I-design of high sophistication: the mechanism aligns private incentive (compete for readers) with public function (expose faction).</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dollar's eventual emergence as world reserve currency — a development the framers could not have anticipated — gave the American system an extraordinary Omega-management tool. Reserve currency status allows the United States to finance its military deterrent, its alliance system, and its institutional overhead at lower cost than any competitor, because the world's demand for dollar-denominated assets effectively subsidises American debt issuance. This is not a design choice of the founding generation. It is a consequence of American dominance after 1945 that became a structural feature of the system. The CBO documents the fiscal trajectory that makes its continuation uncertain.</w:t>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11.11  </w:t>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2026 Stress Test</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US_POLICY_RAG corpus, assembled from Federal Reserve publications, Congressional Budget Office analyses, and policy think-tank research, presents a variable reading for the American system in 2026 that is concerning without being catastrophic. The system is under E-pressure of a kind Madison diagnosed and feared, expressed in forms he could not have anticipated. The specifics follow the equation's predictions closely enough to serve as a real-time validation of the framework.</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Elite overproduction is the primary variable under stress. The United States produces approximately fifty thousand JD graduates and approximately one hundred thousand MBA graduates per year. Law school applications and law school tuition have both escalated monotonically for four decades. The result is a credential-holding professional class whose numbers exceed the positions available for credential-appropriate employment. The surplus accumulates in political, media, and advocacy careers — exactly the E-overproduction pathway that Turchin documents as the precursor to political instability. Political polarisation in the US corpus reads as a proxy for E-faction competition: the two parties have become vehicles for competing elite coalitions whose hostility is disproportionate to their policy differences because the actual competition is for positional goods, not policy outcomes.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Legitimacy erosion is the second variable under documented stress. The US_POLICY_RAG corpus contains institutional trust survey data showing that public confidence in Congress, the Supreme Court, the executive branch, the press, and major corporations has declined in every measurement since the 1970s. Trust in the federal government to do the right thing most of the time has fallen from approximately seventy-five percent in 1964 to approximately seventeen percent in the most recent surveys available in the corpus. This is not merely polling noise. It is a structural signal that the social compact — the delivery-in-exchange-for-legitimacy agreement that underlies any functioning polity — is under strain.</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fiscal trajectory documented in the CBO long-term budget outlook is the third stress indicator. Federal debt as a percentage of GDP is on a trajectory that the CBO itself characterises as unsustainable under current policy settings. Interest payments on federal debt exceeded defence spending in 2024 for the first time in the modern era. The dollar's reserve currency status provides a longer runway than any other debtor nation would have, but the runway is not infinite. The L of the international order — specifically, the willingness of foreign investors to continue holding dollar-denominated assets at current rates — is the variable that determines when the fiscal constraint becomes binding.</w:t>
      </w:r>
    </w:p>
    <w:p>
      <w:pPr>
        <w:spacing w:after="80" w:before="0"/>
      </w:pPr>
    </w:p>
    <w:tbl>
      <w:tblPr>
        <w:tblW w:type="dxa" w:w="9360"/>
        <w:tblBorders>
          <w:top w:val="single" w:color="00595C" w:sz="4"/>
          <w:left w:val="single" w:color="00595C" w:sz="18"/>
          <w:bottom w:val="single" w:color="00595C" w:sz="4"/>
          <w:right w:val="single" w:color="00595C" w:sz="4"/>
          <w:insideH w:val="none"/>
          <w:insideV w:val="none"/>
        </w:tblBorders>
        <w:tblLayout w:type="fixed"/>
      </w:tblPr>
      <w:tblGrid>
        <w:gridCol w:w="9360"/>
      </w:tblGrid>
      <w:tr>
        <w:tc>
          <w:tcPr>
            <w:tcW w:type="dxa" w:w="9360"/>
            <w:shd w:fill="E0F2F1"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00595C"/>
                <w:sz w:val="18"/>
                <w:szCs w:val="18"/>
              </w:rPr>
              <w:t xml:space="preserve">AMERICAN SYSTEM — 2026 VARIABLE SNAPSHOT</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I reading: approximately 0.51 — system functioning (courts deciding, elections held, press operating) but under documented pressure from judicial independence questions, press freedom index decline, and congressional dysfunction</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E reading: approximately 0.67 — law and business school overproduction; polarisation as faction proxy; revolving door creating captured regulatory class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L reading: approximately 0.41 — institutional trust at historic lows across all major institutions; fiscal trajectory mathematically unsustainable by CBO's own assessment</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A reading: approximately 0.44 — patriotic identity contested; culture war as A-fragmentation proxy; immigration debate as A-definition contest</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Phi estimate: approximately 0.39 — below the 0.40 I-floor threshold; in the warning zone</w:t>
            </w:r>
          </w:p>
          <w:p>
            <w:pPr>
              <w:spacing w:after="60" w:before="40" w:line="276" w:lineRule="auto"/>
              <w:jc w:val="left"/>
            </w:pPr>
            <w:r>
              <w:rPr>
                <w:rFonts w:ascii="Arial" w:cs="Arial" w:eastAsia="Arial" w:hAnsi="Arial"/>
                <w:b w:val="false"/>
                <w:bCs w:val="false"/>
                <w:i/>
                <w:iCs/>
                <w:caps w:val="false"/>
                <w:color w:val="3A4652"/>
                <w:sz w:val="18"/>
                <w:szCs w:val="18"/>
              </w:rPr>
              <w:t xml:space="preserve">Source: US_POLICY_RAG — CBO Long-Term Budget Outlook; Federal Reserve institutional publications; FA_RAG analytical synthesis</w:t>
            </w:r>
          </w:p>
        </w:tc>
      </w:tr>
    </w:tbl>
    <w:p>
      <w:pPr>
        <w:spacing w:after="120" w:before="0"/>
      </w:pPr>
    </w:p>
    <w:p>
      <w:pPr>
        <w:spacing w:after="60" w:before="0"/>
      </w:pPr>
    </w:p>
    <w:tbl>
      <w:tblPr>
        <w:tblW w:type="dxa" w:w="9360"/>
        <w:tblBorders>
          <w:top w:val="single" w:color="9AA5B1" w:sz="2"/>
          <w:left w:val="single" w:color="9AA5B1" w:sz="2"/>
          <w:bottom w:val="single" w:color="9AA5B1" w:sz="2"/>
          <w:right w:val="single" w:color="9AA5B1" w:sz="2"/>
          <w:insideH w:val="single" w:color="D5DCE5" w:sz="1"/>
          <w:insideV w:val="single" w:color="D5DCE5" w:sz="1"/>
        </w:tblBorders>
        <w:tblLayout w:type="fixed"/>
      </w:tblPr>
      <w:tblGrid>
        <w:gridCol w:w="2400"/>
        <w:gridCol w:w="1200"/>
        <w:gridCol w:w="1300"/>
        <w:gridCol w:w="1500"/>
        <w:gridCol w:w="2960"/>
      </w:tblGrid>
      <w:tr>
        <w:trPr>
          <w:tblHeader/>
        </w:trPr>
        <w:tc>
          <w:tcPr>
            <w:tcW w:type="dxa" w:w="24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Variable</w:t>
            </w:r>
          </w:p>
        </w:tc>
        <w:tc>
          <w:tcPr>
            <w:tcW w:type="dxa" w:w="12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Symbol</w:t>
            </w:r>
          </w:p>
        </w:tc>
        <w:tc>
          <w:tcPr>
            <w:tcW w:type="dxa" w:w="13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Reading</w:t>
            </w:r>
          </w:p>
        </w:tc>
        <w:tc>
          <w:tcPr>
            <w:tcW w:type="dxa" w:w="15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Trend</w:t>
            </w:r>
          </w:p>
        </w:tc>
        <w:tc>
          <w:tcPr>
            <w:tcW w:type="dxa" w:w="296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Primary Evidence</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Asabiyyah (peak, 1945-1960)</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0.79</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Post-WWII national cohesion; GI Bill creating broad middle class; McCarthy era A-homogenisation (negative but A-high)</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Institutions (peak, ca. 1960)</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0.76</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Congress legislating; Supreme Court independent; press vigorous; Federal Reserve establishing independence; civil service professional</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Knowledge (peak, ca. 1970)</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K</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0.81</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NASA; Bell Labs; university system at maximum global dominance; NIH funding at highest relative level; ARPANET invented</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Surplus (peak, ca. 1960)</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xi</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0.74</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Dollar as world reserve currency; Bretton Woods system; manufacturing dominance; Marshall Plan as positive-sum export</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Asabiyyah (2026)</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0.44</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DOWN</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Polarisation as A-fragmentation; culture war; contested national identity; declining military recruitment</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Institutions (2026)</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0.51</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DOWN</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Courts under pressure; press freedom index declining; congressional dysfunction; regulatory capture documented</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Elite overproduction (2026)</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0.67</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UP</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50,000 JD/year; 100,000 MBA/year; credential surplus in political and advocacy class; faction competition for positional goods</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Legitimacy (2026)</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L</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0.41</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DOWN</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Institutional trust 17% (vs 75% in 1964); CBO fiscal trajectory unsustainable; dollar L dependent on international order</w:t>
            </w:r>
          </w:p>
        </w:tc>
      </w:tr>
    </w:tbl>
    <w:p>
      <w:pPr>
        <w:spacing w:after="120" w:before="0"/>
      </w:pPr>
    </w:p>
    <w:p>
      <w:pPr>
        <w:spacing w:after="80" w:before="0"/>
      </w:pPr>
    </w:p>
    <w:tbl>
      <w:tblPr>
        <w:tblW w:type="dxa" w:w="9360"/>
        <w:tblBorders>
          <w:top w:val="single" w:color="7A4F01" w:sz="4"/>
          <w:left w:val="single" w:color="7A4F01" w:sz="18"/>
          <w:bottom w:val="single" w:color="7A4F01" w:sz="4"/>
          <w:right w:val="single" w:color="7A4F01" w:sz="4"/>
          <w:insideH w:val="none"/>
          <w:insideV w:val="none"/>
        </w:tblBorders>
        <w:tblLayout w:type="fixed"/>
      </w:tblPr>
      <w:tblGrid>
        <w:gridCol w:w="9360"/>
      </w:tblGrid>
      <w:tr>
        <w:tc>
          <w:tcPr>
            <w:tcW w:type="dxa" w:w="9360"/>
            <w:shd w:fill="FFF6E0"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7A4F01"/>
                <w:sz w:val="18"/>
                <w:szCs w:val="18"/>
              </w:rPr>
              <w:t xml:space="preserve">MADISON'S WARNING, APPLIED</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Madison wrote in Federalist No. 10: 'The latent causes of faction are sown in the nature of man.' He did not believe faction could be eliminated. He believed it could be managed if the institutional design was maintained.</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The constitutional design is still functioning in 2026. Elections are held. Courts are deciding. The press is operating. No successful coup has occurred.</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But the design was built for an E level the corpus estimated at 0.25-0.35 in the founding period. It is now operating at E approximately 0.67.</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A machine operating at twice its designed load can continue to function for some time. The question is not whether it is breaking. The question is at what E-level the design fails to manage the faction it was built to manage.</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The corpus does not provide a confident answer. It provides a warning.</w:t>
            </w:r>
          </w:p>
        </w:tc>
      </w:tr>
    </w:tbl>
    <w:p>
      <w:pPr>
        <w:spacing w:after="120" w:before="0"/>
      </w:pPr>
    </w:p>
    <w:p>
      <w:r>
        <w:br w:type="page"/>
      </w:r>
    </w:p>
    <w:p>
      <w:r>
        <w:br w:type="page"/>
      </w:r>
    </w:p>
    <w:p>
      <w:pPr>
        <w:spacing w:after="300" w:before="0"/>
      </w:pPr>
    </w:p>
    <w:p>
      <w:pPr>
        <w:spacing w:after="40" w:before="60" w:line="276" w:lineRule="auto"/>
        <w:jc w:val="left"/>
      </w:pPr>
      <w:r>
        <w:rPr>
          <w:rFonts w:ascii="Arial" w:cs="Arial" w:eastAsia="Arial" w:hAnsi="Arial"/>
          <w:b/>
          <w:bCs/>
          <w:i w:val="false"/>
          <w:iCs w:val="false"/>
          <w:caps/>
          <w:color w:val="8B0000"/>
          <w:sz w:val="20"/>
          <w:szCs w:val="20"/>
        </w:rPr>
        <w:t xml:space="preserve">Civilisation VI</w:t>
      </w:r>
    </w:p>
    <w:p>
      <w:pPr>
        <w:spacing w:after="40" w:before="60" w:line="300" w:lineRule="auto"/>
        <w:jc w:val="left"/>
      </w:pPr>
      <w:r>
        <w:rPr>
          <w:rFonts w:ascii="Arial" w:cs="Arial" w:eastAsia="Arial" w:hAnsi="Arial"/>
          <w:b/>
          <w:bCs/>
          <w:i w:val="false"/>
          <w:iCs w:val="false"/>
          <w:caps w:val="false"/>
          <w:color w:val="1B3A6B"/>
          <w:sz w:val="38"/>
          <w:szCs w:val="38"/>
        </w:rPr>
        <w:t xml:space="preserve">SINGAPORE</w:t>
      </w:r>
    </w:p>
    <w:p>
      <w:pPr>
        <w:spacing w:after="80" w:before="60" w:line="276" w:lineRule="auto"/>
        <w:jc w:val="left"/>
      </w:pPr>
      <w:r>
        <w:rPr>
          <w:rFonts w:ascii="Arial" w:cs="Arial" w:eastAsia="Arial" w:hAnsi="Arial"/>
          <w:b w:val="false"/>
          <w:bCs w:val="false"/>
          <w:i/>
          <w:iCs/>
          <w:caps w:val="false"/>
          <w:color w:val="3A4652"/>
          <w:sz w:val="24"/>
          <w:szCs w:val="24"/>
        </w:rPr>
        <w:t xml:space="preserve">The Deliberate Civilisation</w:t>
      </w:r>
    </w:p>
    <w:p>
      <w:pPr>
        <w:pBdr>
          <w:bottom w:val="single" w:color="1B3A6B" w:sz="14" w:space="6"/>
        </w:pBdr>
        <w:spacing w:after="160" w:before="40"/>
        <w:jc w:val="left"/>
      </w:pPr>
      <w:r>
        <w:rPr>
          <w:rFonts w:ascii="Arial" w:cs="Arial" w:eastAsia="Arial" w:hAnsi="Arial"/>
          <w:b w:val="false"/>
          <w:bCs w:val="false"/>
          <w:i w:val="false"/>
          <w:iCs w:val="false"/>
          <w:caps w:val="false"/>
          <w:color w:val="1A1A1A"/>
          <w:sz w:val="22"/>
          <w:szCs w:val="22"/>
        </w:rPr>
        <w:t xml:space="preserve"/>
      </w:r>
    </w:p>
    <w:p>
      <w:pPr>
        <w:spacing w:after="160" w:before="60" w:line="300" w:lineRule="auto"/>
        <w:jc w:val="left"/>
      </w:pPr>
      <w:r>
        <w:rPr>
          <w:rFonts w:ascii="Arial" w:cs="Arial" w:eastAsia="Arial" w:hAnsi="Arial"/>
          <w:b w:val="false"/>
          <w:bCs w:val="false"/>
          <w:i/>
          <w:iCs/>
          <w:caps w:val="false"/>
          <w:color w:val="3A4652"/>
          <w:sz w:val="22"/>
          <w:szCs w:val="22"/>
        </w:rPr>
        <w:t xml:space="preserve">1965 to 2026 CE. Sixty-one years. A city-state of 5.9 million people on 733 square kilometres, with no natural resources, no agricultural hinterland, no colonial surplus to redistribute, and no ethnic or cultural homogeneity to serve as a ready-made asabiyyah base. The highest Phi reading in the current corpus for any functioning polity. The most concentrated experiment in deliberate civilisation-building the historical record contains. CNA_RAG provides the primary record.</w:t>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11.12  </w:t>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Engineering the Variables</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Lee Kuan Yew did not use the language of this framework. He used the language of a Cambridge-trained lawyer with an acute practitioner's instinct for what made societies cohere and what made them fail. But the CNA_RAG corpus, read through the framework's lens, reveals that his governance programme was a systematic intervention in all seven variables simultaneously — something no other leader in the corpus achieved with comparable consistency over comparable duration.</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A problem was the first and most fundamental. Singapore in 1965 was a collection of communities — Chinese, Malay, Indian, Eurasian — with no shared history of statehood, no common language, and no natural reason to identify with each other rather than with their ancestral homelands. Lee's solution was to engineer an A that was synthetic but genuinely delivered upon. The compact was explicit: political acquiescence to PAP governance in exchange for housing, healthcare, education, safety, and a rising standard of living. The Housing Development Board built apartment blocks that mixed ethnic communities by design, preventing ethnic enclave formation. The Central Provident Fund created a mandatory savings system that gave every Singaporean a financial stake in the state's stability. National service required every male Singaporean to defend the city-state, creating a shared experience of sacrifice and competence. These were not rhetorical appeals to national feeling. They were institutional mechanisms for manufacturing national feeling through shared experience.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I intervention was equally deliberate. Lee understood, from observation of neighbouring states' trajectories, that corruption was not merely morally objectionable — it was a tax on investment, a drag on K-production, and a signal to citizens that the state was not serious about delivery. The CPIB (Corrupt Practices Investigation Bureau) was given genuine independence and genuine authority. Civil servant salaries were set at levels competitive with the private sector to reduce the corruption premium. The judiciary was maintained as independent in commercial and criminal matters. When Lee himself was subject to defamation suits in Singapore courts, he won — but through litigation, not through ordering the courts. The I-architecture was designed to be credible to investors, citizens, and foreign governments simultaneously.</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K investment was front-loaded and sustained. Singapore's education budget as a percentage of GDP was among the highest in the world from the 1960s onward. English-language education ensured that Singapore's workforce was directly pluggable into the international knowledge economy. The National University of Singapore was built as a genuine research institution, not an administrative convenience. The ASEAN Brain Gain policy attracted foreign talent with permanent residency pathways and professional opportunity. The K investment compounded: a population that was better educated produced more K, which attracted more K-producing investment, which raised wages and educational returns, which reinforced the education investment rationale. This is the positive feedback loop that separates K-accumulating from K-stagnating systems.</w:t>
      </w:r>
    </w:p>
    <w:p>
      <w:pPr>
        <w:spacing w:after="60" w:before="0"/>
      </w:pPr>
    </w:p>
    <w:tbl>
      <w:tblPr>
        <w:tblW w:type="dxa" w:w="9360"/>
        <w:tblBorders>
          <w:top w:val="single" w:color="9AA5B1" w:sz="2"/>
          <w:left w:val="single" w:color="9AA5B1" w:sz="2"/>
          <w:bottom w:val="single" w:color="9AA5B1" w:sz="2"/>
          <w:right w:val="single" w:color="9AA5B1" w:sz="2"/>
          <w:insideH w:val="single" w:color="D5DCE5" w:sz="1"/>
          <w:insideV w:val="single" w:color="D5DCE5" w:sz="1"/>
        </w:tblBorders>
        <w:tblLayout w:type="fixed"/>
      </w:tblPr>
      <w:tblGrid>
        <w:gridCol w:w="2400"/>
        <w:gridCol w:w="1200"/>
        <w:gridCol w:w="1300"/>
        <w:gridCol w:w="1500"/>
        <w:gridCol w:w="2960"/>
      </w:tblGrid>
      <w:tr>
        <w:trPr>
          <w:tblHeader/>
        </w:trPr>
        <w:tc>
          <w:tcPr>
            <w:tcW w:type="dxa" w:w="24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Variable</w:t>
            </w:r>
          </w:p>
        </w:tc>
        <w:tc>
          <w:tcPr>
            <w:tcW w:type="dxa" w:w="12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Symbol</w:t>
            </w:r>
          </w:p>
        </w:tc>
        <w:tc>
          <w:tcPr>
            <w:tcW w:type="dxa" w:w="13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Reading</w:t>
            </w:r>
          </w:p>
        </w:tc>
        <w:tc>
          <w:tcPr>
            <w:tcW w:type="dxa" w:w="15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Trend</w:t>
            </w:r>
          </w:p>
        </w:tc>
        <w:tc>
          <w:tcPr>
            <w:tcW w:type="dxa" w:w="296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Primary Evidence</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Asabiyyah</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0.77</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STABLE</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Manufactured and maintained through HDB ethnic integration, NS shared service, CPF stake; CNA_RAG: national identity survey data strong</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Knowledge</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K</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0.79</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UP</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NUS/NTU research output growing; biomedical hub; fintech; ASEAN Brain Gain attracting global talent; education investment sustained</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Institutions</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0.81</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STABLE</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CPIB independence maintained; judiciary credible; CPF functions; HDB delivers; PAP internal discipline still enforced</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Legitimacy</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L</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0.74</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STABLE</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Compact delivered on housing (80% HDB ownership), healthcare, education, safety; GDP per capita world top decile</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Surplus</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xi</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0.68</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UP</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Port remains world's busiest by cargo value; financial centre; Changi as hub; positive-sum trade position</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Disorder</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Omega</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0.18</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STABLE</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No territorial disputes active; military capable; ASEAN diplomatic position; Omega managed through deterrence and diplomacy</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Elite overproduction</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0.24</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STABLE</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Civil service as elite absorber; professional class employment rates high; political class small and disciplined by PAP selection</w:t>
            </w:r>
          </w:p>
        </w:tc>
      </w:tr>
    </w:tbl>
    <w:p>
      <w:pPr>
        <w:spacing w:after="120" w:before="0"/>
      </w:pPr>
    </w:p>
    <w:p>
      <w:pPr>
        <w:spacing w:after="80" w:before="0"/>
      </w:pPr>
    </w:p>
    <w:tbl>
      <w:tblPr>
        <w:tblW w:type="dxa" w:w="9360"/>
        <w:tblBorders>
          <w:top w:val="single" w:color="00595C" w:sz="4"/>
          <w:left w:val="single" w:color="00595C" w:sz="18"/>
          <w:bottom w:val="single" w:color="00595C" w:sz="4"/>
          <w:right w:val="single" w:color="00595C" w:sz="4"/>
          <w:insideH w:val="none"/>
          <w:insideV w:val="none"/>
        </w:tblBorders>
        <w:tblLayout w:type="fixed"/>
      </w:tblPr>
      <w:tblGrid>
        <w:gridCol w:w="9360"/>
      </w:tblGrid>
      <w:tr>
        <w:tc>
          <w:tcPr>
            <w:tcW w:type="dxa" w:w="9360"/>
            <w:shd w:fill="E0F2F1"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00595C"/>
                <w:sz w:val="18"/>
                <w:szCs w:val="18"/>
              </w:rPr>
              <w:t xml:space="preserve">SINGAPORE PHI ESTIMATE — 2026</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Phi estimate: approximately 0.72</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Highest reading in current corpus for any functioning polity</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Primary driver: simultaneous management of all seven variables; no single variable allowed to degrade unchecked</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Primary fragility: compact-dependency — if delivery falters, A and L collapse together; small geography = high climate Omega</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Succession test: the transition from founding-generation leadership to professional management class is ongoing; corpus watching</w:t>
            </w:r>
          </w:p>
          <w:p>
            <w:pPr>
              <w:spacing w:after="60" w:before="40" w:line="276" w:lineRule="auto"/>
              <w:jc w:val="left"/>
            </w:pPr>
            <w:r>
              <w:rPr>
                <w:rFonts w:ascii="Arial" w:cs="Arial" w:eastAsia="Arial" w:hAnsi="Arial"/>
                <w:b w:val="false"/>
                <w:bCs w:val="false"/>
                <w:i/>
                <w:iCs/>
                <w:caps w:val="false"/>
                <w:color w:val="3A4652"/>
                <w:sz w:val="18"/>
                <w:szCs w:val="18"/>
              </w:rPr>
              <w:t xml:space="preserve">Source: CNA_RAG — Singapore government statistical reports; NUS governance indices; FA_RAG comparative governance analysis</w:t>
            </w:r>
          </w:p>
        </w:tc>
      </w:tr>
    </w:tbl>
    <w:p>
      <w:pPr>
        <w:spacing w:after="120" w:before="0"/>
      </w:pP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11.13  </w:t>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Fragility</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Singapore's extraordinary variable readings come with an equally extraordinary fragility profile. The asabiyyah that has been engineered over sixty years is compact-dependent in a way that no large civilisation's A has ever been. The Romans could absorb a lost war and still maintain their civic identity. The British could endure a depression and still maintain their parliamentary culture. Singapore cannot afford to stop delivering. The moment the compact — housing, healthcare, safety, opportunity — fails to perform, the synthetic A that the compact created has no alternative foundation to rest on. There is no ancient shared myth, no ethnic majority culture, no geographic identity to fall back upon.</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climate and geographic Omega is the second structural fragility. Singapore sits at sea level on a small island in a region experiencing documented sea-level rise. The CNA_RAG corpus records the Singapore government's own Long-Term Plan documents acknowledging this threat and committing coastal protection investments. The investments are serious and the planning horizon is long. But the physical constraint is real: Singapore cannot relocate, cannot acquire agricultural hinterland, and cannot diversify its geographic exposure. Its Omega from physical geography is structurally higher than any large continental state, regardless of governance quality.</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succession from Lee Kuan Yew's founding generation represents the test the corpus is watching. The founding generation had a specific quality that cannot be transmitted through institutions alone: they had experienced failure — British colonial dependence, Japanese occupation, Malaysian expulsion — and that experience of failure produced a risk-awareness and a performance discipline that made delivering on the compact non-negotiable rather than aspirational. The second and third generation of Singapore's leadership are professionals who have known only success. Whether they carry the same existential urgency is an open question the corpus cannot answer. The equation only measures current readings. The trajectory depends on choices not yet made.</w:t>
      </w:r>
    </w:p>
    <w:p>
      <w:pPr>
        <w:spacing w:after="80" w:before="0"/>
      </w:pPr>
    </w:p>
    <w:tbl>
      <w:tblPr>
        <w:tblW w:type="dxa" w:w="9360"/>
        <w:tblBorders>
          <w:top w:val="single" w:color="7A4F01" w:sz="4"/>
          <w:left w:val="single" w:color="7A4F01" w:sz="18"/>
          <w:bottom w:val="single" w:color="7A4F01" w:sz="4"/>
          <w:right w:val="single" w:color="7A4F01" w:sz="4"/>
          <w:insideH w:val="none"/>
          <w:insideV w:val="none"/>
        </w:tblBorders>
        <w:tblLayout w:type="fixed"/>
      </w:tblPr>
      <w:tblGrid>
        <w:gridCol w:w="9360"/>
      </w:tblGrid>
      <w:tr>
        <w:tc>
          <w:tcPr>
            <w:tcW w:type="dxa" w:w="9360"/>
            <w:shd w:fill="FFF6E0"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7A4F01"/>
                <w:sz w:val="18"/>
                <w:szCs w:val="18"/>
              </w:rPr>
              <w:t xml:space="preserve">SINGAPORE LESSON — DELIBERATE WORKS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The most important lesson Singapore offers to this framework is the simplest: deliberate civilisation-building works.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Singapore started with zero natural advantages and built to the highest Phi reading in the corpus.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The method was: honest diagnosis of the starting point, explicit identification of the design variables, sustained elite discipline in managing them, and honest measurement of outcomes.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This is not a method available only to authoritarian systems. The discipline and the honesty are the crucial variables, not the governance form.</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What Singapore's record challenges is complacency — the assumption that good civilisational outcomes happen to societies that deserve them. They do not. They happen to societies that engineer them.</w:t>
            </w:r>
          </w:p>
        </w:tc>
      </w:tr>
    </w:tbl>
    <w:p>
      <w:pPr>
        <w:spacing w:after="120" w:before="0"/>
      </w:pPr>
    </w:p>
    <w:p>
      <w:r>
        <w:br w:type="page"/>
      </w:r>
    </w:p>
    <w:p>
      <w:r>
        <w:br w:type="page"/>
      </w:r>
    </w:p>
    <w:p>
      <w:pPr>
        <w:spacing w:after="300" w:before="0"/>
      </w:pPr>
    </w:p>
    <w:p>
      <w:pPr>
        <w:spacing w:after="40" w:before="60" w:line="276" w:lineRule="auto"/>
        <w:jc w:val="left"/>
      </w:pPr>
      <w:r>
        <w:rPr>
          <w:rFonts w:ascii="Arial" w:cs="Arial" w:eastAsia="Arial" w:hAnsi="Arial"/>
          <w:b/>
          <w:bCs/>
          <w:i w:val="false"/>
          <w:iCs w:val="false"/>
          <w:caps/>
          <w:color w:val="8B0000"/>
          <w:sz w:val="20"/>
          <w:szCs w:val="20"/>
        </w:rPr>
        <w:t xml:space="preserve">Civilisation VII</w:t>
      </w:r>
    </w:p>
    <w:p>
      <w:pPr>
        <w:spacing w:after="40" w:before="60" w:line="300" w:lineRule="auto"/>
        <w:jc w:val="left"/>
      </w:pPr>
      <w:r>
        <w:rPr>
          <w:rFonts w:ascii="Arial" w:cs="Arial" w:eastAsia="Arial" w:hAnsi="Arial"/>
          <w:b/>
          <w:bCs/>
          <w:i w:val="false"/>
          <w:iCs w:val="false"/>
          <w:caps w:val="false"/>
          <w:color w:val="1B3A6B"/>
          <w:sz w:val="38"/>
          <w:szCs w:val="38"/>
        </w:rPr>
        <w:t xml:space="preserve">JAPAN</w:t>
      </w:r>
    </w:p>
    <w:p>
      <w:pPr>
        <w:spacing w:after="80" w:before="60" w:line="276" w:lineRule="auto"/>
        <w:jc w:val="left"/>
      </w:pPr>
      <w:r>
        <w:rPr>
          <w:rFonts w:ascii="Arial" w:cs="Arial" w:eastAsia="Arial" w:hAnsi="Arial"/>
          <w:b w:val="false"/>
          <w:bCs w:val="false"/>
          <w:i/>
          <w:iCs/>
          <w:caps w:val="false"/>
          <w:color w:val="3A4652"/>
          <w:sz w:val="24"/>
          <w:szCs w:val="24"/>
        </w:rPr>
        <w:t xml:space="preserve">The Fastest Voluntary Transformation in the Pre-Modern Record</w:t>
      </w:r>
    </w:p>
    <w:p>
      <w:pPr>
        <w:pBdr>
          <w:bottom w:val="single" w:color="1B3A6B" w:sz="14" w:space="6"/>
        </w:pBdr>
        <w:spacing w:after="160" w:before="40"/>
        <w:jc w:val="left"/>
      </w:pPr>
      <w:r>
        <w:rPr>
          <w:rFonts w:ascii="Arial" w:cs="Arial" w:eastAsia="Arial" w:hAnsi="Arial"/>
          <w:b w:val="false"/>
          <w:bCs w:val="false"/>
          <w:i w:val="false"/>
          <w:iCs w:val="false"/>
          <w:caps w:val="false"/>
          <w:color w:val="1A1A1A"/>
          <w:sz w:val="22"/>
          <w:szCs w:val="22"/>
        </w:rPr>
        <w:t xml:space="preserve"/>
      </w:r>
    </w:p>
    <w:p>
      <w:pPr>
        <w:spacing w:after="160" w:before="60" w:line="300" w:lineRule="auto"/>
        <w:jc w:val="left"/>
      </w:pPr>
      <w:r>
        <w:rPr>
          <w:rFonts w:ascii="Arial" w:cs="Arial" w:eastAsia="Arial" w:hAnsi="Arial"/>
          <w:b w:val="false"/>
          <w:bCs w:val="false"/>
          <w:i/>
          <w:iCs/>
          <w:caps w:val="false"/>
          <w:color w:val="3A4652"/>
          <w:sz w:val="22"/>
          <w:szCs w:val="22"/>
        </w:rPr>
        <w:t xml:space="preserve">1868 to 2026 CE. One hundred and fifty-eight years from the Meiji Restoration to the post-Abe political landscape. Japan's trajectory contains two of the most instructive events in the corpus: the fastest voluntary institutional transformation in pre-modern history, and the most catastrophic military overreach by an industrial power in the twentieth century. Both derive from the same variable dynamic. NIKKEI_RAG provides the primary economic record; FA_RAG provides the strategic analysis.</w:t>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11.14  </w:t>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Meiji K-Acquisition</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The Meiji Restoration of 1868 was not a restoration. It was a revolution conducted in the name of restoration — the most politically sophisticated branding decision in modern political history. The Tokugawa shogunate was overthrown; the Emperor was restored as a symbol of continuity and legitimacy; and under the cover of that continuity, the most extensive voluntary institutional transformation any society had attempted in the pre-modern record was executed at extraordinary speed.</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Meiji oligarchs understood their starting position with precision. Japan had been closed to foreign contact for two centuries. Its military technology was pre-industrial. Its legal system was incommensurable with international commercial law. Its scientific education was negligible by Western standards. The arrival of Perry's Black Ships in 1853 had demonstrated, with no possibility of misinterpretation, what the gap between Japanese and Western military technology implied for Japanese sovereignty. The Meiji response was to close that gap as rapidly as possible, and to close it by acquisition rather than independent development — a rational choice given the time constraint.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K-acquisition strategy was deliberate and diversified. The legal code was adopted from France (the Code Napoleon, adapted to Japanese conditions). The navy was modelled on the British Royal Navy, with British advisers and British ship designs. The army was reorganised on Prussian military principles, with German military advisers. The university system was structured after German research universities, with foreign faculty recruited at competitive salaries. The elementary education system was built on American models. This was not cultural capitulation. It was systematic shopping — the Meiji oligarchs evaluated multiple Western models in each domain and selected the best available, then adapted it to Japanese conditions. The adaptation was the value-added step.</w:t>
      </w:r>
    </w:p>
    <w:p>
      <w:pPr>
        <w:spacing w:after="80" w:before="0"/>
      </w:pPr>
    </w:p>
    <w:tbl>
      <w:tblPr>
        <w:tblW w:type="dxa" w:w="9360"/>
        <w:tblBorders>
          <w:top w:val="single" w:color="00595C" w:sz="4"/>
          <w:left w:val="single" w:color="00595C" w:sz="18"/>
          <w:bottom w:val="single" w:color="00595C" w:sz="4"/>
          <w:right w:val="single" w:color="00595C" w:sz="4"/>
          <w:insideH w:val="none"/>
          <w:insideV w:val="none"/>
        </w:tblBorders>
        <w:tblLayout w:type="fixed"/>
      </w:tblPr>
      <w:tblGrid>
        <w:gridCol w:w="9360"/>
      </w:tblGrid>
      <w:tr>
        <w:tc>
          <w:tcPr>
            <w:tcW w:type="dxa" w:w="9360"/>
            <w:shd w:fill="E0F2F1"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00595C"/>
                <w:sz w:val="18"/>
                <w:szCs w:val="18"/>
              </w:rPr>
              <w:t xml:space="preserve">MEIJI K-ACQUISITION SPEED</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1868: Meiji Restoration begins; samurai class abolished; feudal domain system ended</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1871: Iwakura Mission dispatched — 107 officials spending 22 months studying Western institutions firsthand</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1872: Compulsory elementary education system established</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1889: Meiji Constitution promulgated — parliamentary system (limited but genuine)</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1894-1895: Sino-Japanese War — Japan defeats China; demonstrates military modernisation complete</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1905: Russo-Japanese War — Japan defeats Russia; first Asian power to defeat a European great power in modern era</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Elapsed time from Perry's arrival to peer military power: 52 years</w:t>
            </w:r>
          </w:p>
          <w:p>
            <w:pPr>
              <w:spacing w:after="60" w:before="40" w:line="276" w:lineRule="auto"/>
              <w:jc w:val="left"/>
            </w:pPr>
            <w:r>
              <w:rPr>
                <w:rFonts w:ascii="Arial" w:cs="Arial" w:eastAsia="Arial" w:hAnsi="Arial"/>
                <w:b w:val="false"/>
                <w:bCs w:val="false"/>
                <w:i/>
                <w:iCs/>
                <w:caps w:val="false"/>
                <w:color w:val="3A4652"/>
                <w:sz w:val="18"/>
                <w:szCs w:val="18"/>
              </w:rPr>
              <w:t xml:space="preserve">Source: NIKKEI_RAG historical records; FA_RAG strategic history</w:t>
            </w:r>
          </w:p>
        </w:tc>
      </w:tr>
    </w:tbl>
    <w:p>
      <w:pPr>
        <w:spacing w:after="120" w:before="0"/>
      </w:pP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11.15  </w:t>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Military Capture and the Post-War Rebuild</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Meiji institutional architecture contained a fatal design flaw that became visible only when it was tested under stress. The Meiji Constitution of 1889 gave the military direct access to the Emperor — bypassing the cabinet — on matters of military operations and national defence. This was not an oversight. It was a deliberate choice reflecting the military's political dominance at the time of drafting. In the 1920s and 1930s, as civilian government faced economic depression, political assassination, and the challenge of managing an expanded empire, the military used this constitutional access to progressively exclude civilian authority from strategic decision-making.</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Kwantung Army's operations in Manchuria from 1931 onward were conducted without civilian government authorisation — and then ratified by a civilian government too weak to repudiate them. The 1936 February 26 Incident, in which a faction of young officers assassinated senior political and military figures, permanently intimidated civilian politicians into deference. By 1941, the decision to attack Pearl Harbor was made in a strategic environment in which the constraints on military decision-making had effectively collapsed. Japan's A was high — the national mobilisation for war was genuine and broadly supported. But the I that was supposed to manage A's direction had been captured by the military faction. High A directed by captured I produces catastrophe.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post-war institutional rebuild was the most thorough I-reconstruction in the corpus. The 1947 Constitution — drafted under American occupation but adopted by Japanese legislators — inverted the Meiji constitutional architecture. Article 9 renounced war and the maintenance of war potential as instruments of national policy. The cabinet was made genuinely responsible to the Diet. The military was abolished as a formal institution. The Emperor was redefined as a symbol with no political authority. These were not merely cosmetic changes. They were the systematic dismantlement of the institutional pathways through which the military had captured civilian government.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economic miracle that followed — Japan's GDP growth averaging approximately nine percent per year from 1955 to 1973 — was the product of this institutional rebuild combined with specific K and xi conditions. The NIKKEI_RAG corpus records the mechanism: the keiretsu system combined industrial coordination with competitive discipline; MITI's industrial policy targeted K-intensive sectors with import protection and export promotion; the enterprise union system channelled labour relations into enterprise-level cooperation rather than economy-wide confrontation; household savings rates above thirty percent provided domestic capital for investment without foreign debt dependency. These were not accidents. They were institutional design choices made by a governing class that had learned, at catastrophic cost, what institutional failure produced.</w:t>
      </w:r>
    </w:p>
    <w:p>
      <w:pPr>
        <w:spacing w:after="60" w:before="0"/>
      </w:pPr>
    </w:p>
    <w:tbl>
      <w:tblPr>
        <w:tblW w:type="dxa" w:w="9360"/>
        <w:tblBorders>
          <w:top w:val="single" w:color="9AA5B1" w:sz="2"/>
          <w:left w:val="single" w:color="9AA5B1" w:sz="2"/>
          <w:bottom w:val="single" w:color="9AA5B1" w:sz="2"/>
          <w:right w:val="single" w:color="9AA5B1" w:sz="2"/>
          <w:insideH w:val="single" w:color="D5DCE5" w:sz="1"/>
          <w:insideV w:val="single" w:color="D5DCE5" w:sz="1"/>
        </w:tblBorders>
        <w:tblLayout w:type="fixed"/>
      </w:tblPr>
      <w:tblGrid>
        <w:gridCol w:w="2400"/>
        <w:gridCol w:w="1200"/>
        <w:gridCol w:w="1300"/>
        <w:gridCol w:w="1500"/>
        <w:gridCol w:w="2960"/>
      </w:tblGrid>
      <w:tr>
        <w:trPr>
          <w:tblHeader/>
        </w:trPr>
        <w:tc>
          <w:tcPr>
            <w:tcW w:type="dxa" w:w="24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Variable</w:t>
            </w:r>
          </w:p>
        </w:tc>
        <w:tc>
          <w:tcPr>
            <w:tcW w:type="dxa" w:w="12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Symbol</w:t>
            </w:r>
          </w:p>
        </w:tc>
        <w:tc>
          <w:tcPr>
            <w:tcW w:type="dxa" w:w="13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Reading</w:t>
            </w:r>
          </w:p>
        </w:tc>
        <w:tc>
          <w:tcPr>
            <w:tcW w:type="dxa" w:w="15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Trend</w:t>
            </w:r>
          </w:p>
        </w:tc>
        <w:tc>
          <w:tcPr>
            <w:tcW w:type="dxa" w:w="296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Primary Evidence</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Asabiyyah (Meiji peak, 1895-1930)</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0.81</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National modernisation as collective project; defeat of China and Russia generating genuine pride; literacy high; shared sacrifice ethos</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Institutions (Meiji, captured)</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0.29</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Military bypassing cabinet; Kwantung Army independent operations; no civilian check on strategic decision; I-capture by military faction</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Knowledge (post-war peak, 1960-1990)</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K</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0.74</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MITI industrial targeting; university system; Toyota production system as K-innovation; consumer electronics dominance</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Surplus (economic miracle)</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xi</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0.71</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Export-led growth; keiretsu coordination; household savings as investment base; positive trade balance sustained</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Asabiyyah (2026)</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0.59</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DOWN</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Post-Abe assassination shock; Unification Church scandal; declining birth rate as A-fragmentation signal; aging demographic</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Institutions (2026)</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0.52</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DOWN</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Political finance scandals; LDP internal faction conflicts; BOJ independence under pressure from fiscal accommodation needs</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Legitimacy (2026)</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L</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0.44</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DOWN</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Approval ratings below 30% for current administration; Yomiuri Shimbun polling; stagnant wages eroding compact</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Knowledge (2026)</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K</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0.68</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STABLE</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Semiconductor materials; robotics; precision manufacturing; declining relative share of frontier AI and software</w:t>
            </w:r>
          </w:p>
        </w:tc>
      </w:tr>
    </w:tbl>
    <w:p>
      <w:pPr>
        <w:spacing w:after="120" w:before="0"/>
      </w:pPr>
    </w:p>
    <w:p>
      <w:pPr>
        <w:spacing w:after="80" w:before="0"/>
      </w:pPr>
    </w:p>
    <w:tbl>
      <w:tblPr>
        <w:tblW w:type="dxa" w:w="9360"/>
        <w:tblBorders>
          <w:top w:val="single" w:color="1B3A6B" w:sz="4"/>
          <w:left w:val="single" w:color="1B3A6B" w:sz="18"/>
          <w:bottom w:val="single" w:color="1B3A6B" w:sz="4"/>
          <w:right w:val="single" w:color="1B3A6B" w:sz="4"/>
          <w:insideH w:val="none"/>
          <w:insideV w:val="none"/>
        </w:tblBorders>
        <w:tblLayout w:type="fixed"/>
      </w:tblPr>
      <w:tblGrid>
        <w:gridCol w:w="9360"/>
      </w:tblGrid>
      <w:tr>
        <w:tc>
          <w:tcPr>
            <w:tcW w:type="dxa" w:w="9360"/>
            <w:shd w:fill="E8EEF7" w:color="auto" w:val="clear"/>
            <w:tcMar>
              <w:top w:type="dxa" w:w="120"/>
              <w:left w:type="dxa" w:w="200"/>
              <w:bottom w:type="dxa" w:w="120"/>
              <w:right w:type="dxa" w:w="200"/>
            </w:tcMar>
          </w:tcPr>
          <w:p>
            <w:pPr>
              <w:spacing w:after="40" w:before="60" w:line="300" w:lineRule="auto"/>
              <w:jc w:val="left"/>
            </w:pPr>
            <w:r>
              <w:rPr>
                <w:rFonts w:ascii="Arial" w:cs="Arial" w:eastAsia="Arial" w:hAnsi="Arial"/>
                <w:b w:val="false"/>
                <w:bCs w:val="false"/>
                <w:i/>
                <w:iCs/>
                <w:caps w:val="false"/>
                <w:color w:val="1B3A6B"/>
                <w:sz w:val="26"/>
                <w:szCs w:val="26"/>
              </w:rPr>
              <w:t xml:space="preserve">Japan's 1930s demonstrate that high asabiyyah is not sufficient for civilisational health. Asabiyyah directed by captured institutions is as dangerous as asabiyyah absent. The direction matters as much as the force.</w:t>
            </w:r>
          </w:p>
          <w:p>
            <w:pPr>
              <w:spacing w:after="60" w:before="60" w:line="276" w:lineRule="auto"/>
              <w:jc w:val="left"/>
            </w:pPr>
            <w:r>
              <w:rPr>
                <w:rFonts w:ascii="Arial" w:cs="Arial" w:eastAsia="Arial" w:hAnsi="Arial"/>
                <w:b w:val="false"/>
                <w:bCs w:val="false"/>
                <w:i w:val="false"/>
                <w:iCs w:val="false"/>
                <w:caps w:val="false"/>
                <w:color w:val="8B0000"/>
                <w:sz w:val="20"/>
                <w:szCs w:val="20"/>
              </w:rPr>
              <w:t xml:space="preserve">— CivilisationOS synthesis — FA_RAG and NIKKEI_RAG corpora</w:t>
            </w:r>
          </w:p>
        </w:tc>
      </w:tr>
    </w:tbl>
    <w:p>
      <w:pPr>
        <w:spacing w:after="120" w:before="0"/>
      </w:pPr>
    </w:p>
    <w:p>
      <w:r>
        <w:br w:type="page"/>
      </w:r>
    </w:p>
    <w:p>
      <w:r>
        <w:br w:type="page"/>
      </w:r>
    </w:p>
    <w:p>
      <w:pPr>
        <w:spacing w:after="300" w:before="0"/>
      </w:pPr>
    </w:p>
    <w:p>
      <w:pPr>
        <w:spacing w:after="40" w:before="60" w:line="276" w:lineRule="auto"/>
        <w:jc w:val="left"/>
      </w:pPr>
      <w:r>
        <w:rPr>
          <w:rFonts w:ascii="Arial" w:cs="Arial" w:eastAsia="Arial" w:hAnsi="Arial"/>
          <w:b/>
          <w:bCs/>
          <w:i w:val="false"/>
          <w:iCs w:val="false"/>
          <w:caps/>
          <w:color w:val="8B0000"/>
          <w:sz w:val="20"/>
          <w:szCs w:val="20"/>
        </w:rPr>
        <w:t xml:space="preserve">Civilisation VIII</w:t>
      </w:r>
    </w:p>
    <w:p>
      <w:pPr>
        <w:spacing w:after="40" w:before="60" w:line="300" w:lineRule="auto"/>
        <w:jc w:val="left"/>
      </w:pPr>
      <w:r>
        <w:rPr>
          <w:rFonts w:ascii="Arial" w:cs="Arial" w:eastAsia="Arial" w:hAnsi="Arial"/>
          <w:b/>
          <w:bCs/>
          <w:i w:val="false"/>
          <w:iCs w:val="false"/>
          <w:caps w:val="false"/>
          <w:color w:val="1B3A6B"/>
          <w:sz w:val="38"/>
          <w:szCs w:val="38"/>
        </w:rPr>
        <w:t xml:space="preserve">SOUTH KOREA</w:t>
      </w:r>
    </w:p>
    <w:p>
      <w:pPr>
        <w:spacing w:after="80" w:before="60" w:line="276" w:lineRule="auto"/>
        <w:jc w:val="left"/>
      </w:pPr>
      <w:r>
        <w:rPr>
          <w:rFonts w:ascii="Arial" w:cs="Arial" w:eastAsia="Arial" w:hAnsi="Arial"/>
          <w:b w:val="false"/>
          <w:bCs w:val="false"/>
          <w:i/>
          <w:iCs/>
          <w:caps w:val="false"/>
          <w:color w:val="3A4652"/>
          <w:sz w:val="24"/>
          <w:szCs w:val="24"/>
        </w:rPr>
        <w:t xml:space="preserve">Compressed Development and the Yoon Test</w:t>
      </w:r>
    </w:p>
    <w:p>
      <w:pPr>
        <w:pBdr>
          <w:bottom w:val="single" w:color="1B3A6B" w:sz="14" w:space="6"/>
        </w:pBdr>
        <w:spacing w:after="160" w:before="40"/>
        <w:jc w:val="left"/>
      </w:pPr>
      <w:r>
        <w:rPr>
          <w:rFonts w:ascii="Arial" w:cs="Arial" w:eastAsia="Arial" w:hAnsi="Arial"/>
          <w:b w:val="false"/>
          <w:bCs w:val="false"/>
          <w:i w:val="false"/>
          <w:iCs w:val="false"/>
          <w:caps w:val="false"/>
          <w:color w:val="1A1A1A"/>
          <w:sz w:val="22"/>
          <w:szCs w:val="22"/>
        </w:rPr>
        <w:t xml:space="preserve"/>
      </w:r>
    </w:p>
    <w:p>
      <w:pPr>
        <w:spacing w:after="160" w:before="60" w:line="300" w:lineRule="auto"/>
        <w:jc w:val="left"/>
      </w:pPr>
      <w:r>
        <w:rPr>
          <w:rFonts w:ascii="Arial" w:cs="Arial" w:eastAsia="Arial" w:hAnsi="Arial"/>
          <w:b w:val="false"/>
          <w:bCs w:val="false"/>
          <w:i/>
          <w:iCs/>
          <w:caps w:val="false"/>
          <w:color w:val="3A4652"/>
          <w:sz w:val="22"/>
          <w:szCs w:val="22"/>
        </w:rPr>
        <w:t xml:space="preserve">1953 to 2026 CE. Seventy-three years from the Korean War armistice to the Yoon Suk-yeol impeachment completion. The most compressed development trajectory in the corpus: from one of the poorest countries in Asia to a semiconductor superpower and functioning democracy in sixty years. KOREA_RAG and CNA_RAG provide the primary record.</w:t>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11.16  </w:t>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Compressed Trajectory</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South Korea in 1953 had a GDP per capita lower than Ghana's. Its capital had been occupied twice, its infrastructure was destroyed, and its population had been mobilised for a war that ended in a ceasefire rather than a resolution. By 2024, it had the world's highest university graduation rate, was producing semiconductors on which global computing depended, and had completed a democratic transition that survived one of the most severe constitutional crises in its democratic history. No other country in the corpus spans this range in this timeframe.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development model was not liberal. Park Chung-hee's government (1961-1979) combined authoritarian political control with directed economic development: the state identified priority sectors, provided credit, technology access, and market protection to conglomerate firms (chaebols) willing to pursue export performance targets, and enforced performance through credit withdrawal and political pressure. The model was explicitly extractive of the population — labour rights were suppressed, wages held below productivity growth, and the surplus reinvested in capital formation and technology acquisition rather than distributed to workers. The model worked in the catch-up phase because the chaebols were genuinely competing in global export markets: there was a performance check that prevented the model from becoming pure rent-seeking.</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Education was the non-negotiable investment throughout. The Korean education system, universally derided in the corpus for its intensity and the stress it imposes on students, produced a workforce with the highest skill density per capita in Asia by the 1990s. The hagwon system — private after-school academies providing supplementary education — is often cited as an E-overproduction mechanism, and the critique is fair: it channels elite competition into educational signalling rather than economic production. But it also produced the human capital base that made Samsung's semiconductor programme possible, that made Hyundai's shipbuilding competitive, and that made South Korea's cultural exports — K-pop, Korean cinema, Korean television drama — genuinely globally competitive from the 2000s onward.</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democratic transition of 1987 was the critical I-consolidation event. Following the June Democratic Uprising — mass street protests that the Chun Doo-hwan government lacked the political will to suppress by force — direct presidential elections were conceded and a constitutional revision was adopted. The transition was genuine, not nominal: subsequent elections produced opposition victories, peaceful transfers of power, and the prosecution of former military rulers including both Chun and Roh Tae-woo for their roles in the 1980 Gwangju massacre. The willingness to prosecute former presidents established a precedent for I-independence that proved durable.</w:t>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11.17  </w:t>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Yoon Test</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On the night of December 3, 2024, President Yoon Suk-yeol declared martial law. The declaration cited anti-state forces and parliamentary obstruction of government. Within hours, the National Assembly had physically broken through a military cordon surrounding the building and voted — with more than the required majority — to demand the martial law's lifting. Yoon complied within six hours. The KOREA_RAG corpus records the subsequent sequence: National Assembly impeachment vote passed December 14, 2024; Constitutional Court completed its review in under four months; Yoon was removed from office by unanimous Constitutional Court decision April 4, 2025.</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Yoon episode is the most significant I-test in South Korean democratic history, and it passed. Every institutional mechanism functioned as designed: the legislature assembled and voted under physical threat; the Constitutional Court conducted proceedings with judicial independence; the military declined to support the declaration beyond initial deployment; the press reported freely throughout; mass public protest provided the popular legitimacy for institutional action without producing violence. The sequence is remarkable precisely because it was unremarkable in its procedural regularity — each institution did what its design specified it should do, and the design was sufficient.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KOREA_RAG corpus records the CNA_RAG analysis of the event: Korean I demonstrated a 0.75 reading in the crisis moment — higher than its baseline reading, because crises reveal the structural strength of institutions that peacetime conditions obscure. This is the most important lesson the Yoon episode offers: the institutions that were built over thirty-five years of democratic practice were tested at the hardest possible moment and held. South Korea's democratic institutions are no longer experimental. They are proven.</w:t>
      </w:r>
    </w:p>
    <w:p>
      <w:pPr>
        <w:spacing w:after="60" w:before="0"/>
      </w:pPr>
    </w:p>
    <w:tbl>
      <w:tblPr>
        <w:tblW w:type="dxa" w:w="9360"/>
        <w:tblBorders>
          <w:top w:val="single" w:color="9AA5B1" w:sz="2"/>
          <w:left w:val="single" w:color="9AA5B1" w:sz="2"/>
          <w:bottom w:val="single" w:color="9AA5B1" w:sz="2"/>
          <w:right w:val="single" w:color="9AA5B1" w:sz="2"/>
          <w:insideH w:val="single" w:color="D5DCE5" w:sz="1"/>
          <w:insideV w:val="single" w:color="D5DCE5" w:sz="1"/>
        </w:tblBorders>
        <w:tblLayout w:type="fixed"/>
      </w:tblPr>
      <w:tblGrid>
        <w:gridCol w:w="2400"/>
        <w:gridCol w:w="1200"/>
        <w:gridCol w:w="1300"/>
        <w:gridCol w:w="1500"/>
        <w:gridCol w:w="2960"/>
      </w:tblGrid>
      <w:tr>
        <w:trPr>
          <w:tblHeader/>
        </w:trPr>
        <w:tc>
          <w:tcPr>
            <w:tcW w:type="dxa" w:w="24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Variable</w:t>
            </w:r>
          </w:p>
        </w:tc>
        <w:tc>
          <w:tcPr>
            <w:tcW w:type="dxa" w:w="12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Symbol</w:t>
            </w:r>
          </w:p>
        </w:tc>
        <w:tc>
          <w:tcPr>
            <w:tcW w:type="dxa" w:w="13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Reading</w:t>
            </w:r>
          </w:p>
        </w:tc>
        <w:tc>
          <w:tcPr>
            <w:tcW w:type="dxa" w:w="15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Trend</w:t>
            </w:r>
          </w:p>
        </w:tc>
        <w:tc>
          <w:tcPr>
            <w:tcW w:type="dxa" w:w="296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Primary Evidence</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Asabiyyah</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0.62</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STABLE</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Post-Yoon crisis; national pride in institutional resilience; K-culture exports generating soft-power A; demographic stress from birth rate</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Knowledge</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K</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0.73</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UP</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Samsung semiconductor; KAIST; LG; Hyundai; K-culture as K-export; POSTECH; global patent filings growing</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Institutions (Yoon test result)</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0.75</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UP</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Constitutional Court unanimous; National Assembly functional; military subordination confirmed; press freedom documented</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Legitimacy</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L</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0.57</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UP</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Post-Yoon L recovering; constitutional resolution providing closure; economic growth trajectory positive</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Surplus</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xi</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0.52</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STABLE</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Semiconductor export concentration (risk); trade surplus with China declining; US alliance as Omega management</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Disorder</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Omega</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0.44</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STABLE</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DPRK nuclear threat permanent; geopolitical concentration between US and China; Omega managed not eliminated</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Elite overproduction</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0.58</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DOWN</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Chaebol corruption-prosecution cycle continuing; hagwon pressure as credential competition; political class stabilising post-Yoon</w:t>
            </w:r>
          </w:p>
        </w:tc>
      </w:tr>
    </w:tbl>
    <w:p>
      <w:pPr>
        <w:spacing w:after="120" w:before="0"/>
      </w:pPr>
    </w:p>
    <w:p>
      <w:pPr>
        <w:spacing w:after="80" w:before="0"/>
      </w:pPr>
    </w:p>
    <w:tbl>
      <w:tblPr>
        <w:tblW w:type="dxa" w:w="9360"/>
        <w:tblBorders>
          <w:top w:val="single" w:color="00595C" w:sz="4"/>
          <w:left w:val="single" w:color="00595C" w:sz="18"/>
          <w:bottom w:val="single" w:color="00595C" w:sz="4"/>
          <w:right w:val="single" w:color="00595C" w:sz="4"/>
          <w:insideH w:val="none"/>
          <w:insideV w:val="none"/>
        </w:tblBorders>
        <w:tblLayout w:type="fixed"/>
      </w:tblPr>
      <w:tblGrid>
        <w:gridCol w:w="9360"/>
      </w:tblGrid>
      <w:tr>
        <w:tc>
          <w:tcPr>
            <w:tcW w:type="dxa" w:w="9360"/>
            <w:shd w:fill="E0F2F1"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00595C"/>
                <w:sz w:val="18"/>
                <w:szCs w:val="18"/>
              </w:rPr>
              <w:t xml:space="preserve">SOUTH KOREA PHI ESTIMATE — 2026</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Phi estimate: approximately 0.54</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In the reform zone — positive trajectory</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Primary driver: I-confirmation from Yoon test; K sustained by semiconductor and cultural exports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Primary constraint: chaebol concentration lowering xi; DPRK Omega permanent; E from credential competition</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Trajectory: upward if chaebol reform and E management sustained; downward if DPRK Omega materialises or chaebol corruption cycle resumes at scale</w:t>
            </w:r>
          </w:p>
          <w:p>
            <w:pPr>
              <w:spacing w:after="60" w:before="40" w:line="276" w:lineRule="auto"/>
              <w:jc w:val="left"/>
            </w:pPr>
            <w:r>
              <w:rPr>
                <w:rFonts w:ascii="Arial" w:cs="Arial" w:eastAsia="Arial" w:hAnsi="Arial"/>
                <w:b w:val="false"/>
                <w:bCs w:val="false"/>
                <w:i/>
                <w:iCs/>
                <w:caps w:val="false"/>
                <w:color w:val="3A4652"/>
                <w:sz w:val="18"/>
                <w:szCs w:val="18"/>
              </w:rPr>
              <w:t xml:space="preserve">Source: KOREA_RAG — Constitutional Court proceedings; CNA_RAG — comparative governance analysis; NIKKEI_RAG — economic comparative data</w:t>
            </w:r>
          </w:p>
        </w:tc>
      </w:tr>
    </w:tbl>
    <w:p>
      <w:pPr>
        <w:spacing w:after="120" w:before="0"/>
      </w:pPr>
    </w:p>
    <w:p>
      <w:pPr>
        <w:spacing w:after="80" w:before="0"/>
      </w:pPr>
    </w:p>
    <w:tbl>
      <w:tblPr>
        <w:tblW w:type="dxa" w:w="9360"/>
        <w:tblBorders>
          <w:top w:val="single" w:color="7A4F01" w:sz="4"/>
          <w:left w:val="single" w:color="7A4F01" w:sz="18"/>
          <w:bottom w:val="single" w:color="7A4F01" w:sz="4"/>
          <w:right w:val="single" w:color="7A4F01" w:sz="4"/>
          <w:insideH w:val="none"/>
          <w:insideV w:val="none"/>
        </w:tblBorders>
        <w:tblLayout w:type="fixed"/>
      </w:tblPr>
      <w:tblGrid>
        <w:gridCol w:w="9360"/>
      </w:tblGrid>
      <w:tr>
        <w:tc>
          <w:tcPr>
            <w:tcW w:type="dxa" w:w="9360"/>
            <w:shd w:fill="FFF6E0"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7A4F01"/>
                <w:sz w:val="18"/>
                <w:szCs w:val="18"/>
              </w:rPr>
              <w:t xml:space="preserve">SOUTH KOREA LESSON — INSTITUTIONS PROVEN UNDER STRESS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The Yoon test is the most important single event in this section for the purpose of validating the framework.</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Institutional resilience is not demonstrated by peaceful transitions in normal times. Any functioning democracy can do that. It is demonstrated by holding under stress — when an incumbent executive attempts to override the constitutional order and is prevented by the institutional architecture he sought to bypass.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South Korea's December 2024 crisis provided this demonstration. The legislature, the courts, the military, and the press each performed their designed function.</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The lesson is generalisable: institutions that have been maintained, practised, and tested at lower stakes levels will function at high-stakes moments. Institutions that have been allowed to atrophy will not. The investment in institutional maintenance is exactly as real as the infrastructure investment analogy suggests.</w:t>
            </w:r>
          </w:p>
        </w:tc>
      </w:tr>
    </w:tbl>
    <w:p>
      <w:pPr>
        <w:spacing w:after="120" w:before="0"/>
      </w:pPr>
    </w:p>
    <w:p>
      <w:r>
        <w:br w:type="pag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11.18  </w:t>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What the Eight Systems Share</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Eight civilisations. Two thousand years. Five continents. Monarchy, republic, empire, caliphate, city-state, constitutional democracy, developmental authoritarian state, and post-industrial liberal democracy. The equation processes them all with the same seven variables and the same functional form. The cross-civilisational patterns that emerge from that processing are not the obvious patterns of narrative history. They are the structural patterns that the framework was designed to reveal.</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Pattern One: The Institutional Constraint on Every Other Variable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Every high-Phi reading in the corpus is associated with high I. Every collapse sequence begins with I-degradation or I-capture. This is not a tautology. The equation could theoretically generate high Phi with very high A, K, and L compensating for low I. In practice, it does not. The corpus does not contain a single example of a civilisation maintaining high Phi across multiple generations without high I. Rome's Republic held when I held. Rome declined when I-capture by faction made the institutional forms hollow. The Tang K-peak required the examination system — an I-mechanism — to produce and credential the administrators who managed the knowledge economy. The Abbasid K-flourishing required the early caliphate's pluralistic patronage system — another I-mechanism. Singapore's entire Phi reading rests on I foundations: the CPIB, the judiciary, the HDB delivery system.</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hard floor at I=0.40 is not a theoretical construct. It is an empirical observation from the corpus. Below 0.40 institutional integrity, the other variables cannot compensate because they cannot be reliably accumulated or maintained. K disperses when I cannot protect it — see Baghdad 1258. A cannot be channelled constructively when I is captured — see Japan 1930s. L collapses when I cannot deliver the social compact it promises. The institutional variable is the load-bearing element of the civilisational structure. All others sit on it.</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Pattern Two: Elite Overproduction Precedes Every Major Crisis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Ibn Khaldun wrote about it in 1377 CE. Madison diagnosed it in 1787 CE. Turchin formalised it in 2003 CE. The corpus confirms it across all eight civilisations: elite overproduction — the production of credentialed, capable, ambitious individuals in excess of the positions available to absorb their ambitions — precedes every major political crisis in the record. Roman senatorial overproduction preceded the Gracchi crisis. Tang examination overproduction preceded the regional warlord competition. The Abbasid religious scholar surplus preceded the theological rigidification that closed the early cosmopolitanism. American professional credential surplus precedes the current polarisation. The mechanism is always the same: the surplus elite cannot all win through the normal channels, so they build parallel channels — factional, military, religious, or populist — that are incompatible with the institutional architecture they were excluded from.</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management prescription follows from the diagnosis: E must be managed as a variable, not as an outcome. The mechanisms for E-management differ across civilisational forms — examination queues, cursus honorum, professional licensing limits, civil service absorption, economic expansion creating new positions — but the functional requirement is constant. A civilisation that produces more qualified, ambitious elite candidates than it has positions for is accumulating political risk at the elite level, regardless of how smoothly its institutions appear to be functioning in the short term.</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Pattern Three: The Slow-Then-Sudden Collapse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Gibbon wrote of the Roman Empire's decline over six volumes spanning centuries. The reality, as Gibbon himself documented while seeming to resist the conclusion, is that the decline was slow until it was not: the institutional degradation was gradual; the military manpower substitution was gradual; the fiscal crisis was gradual; the E-accumulation was gradual. And then, in the fifth century CE, the sequence that had been building for three hundred years completed itself in a single generation. The Tang dynasty survived the An Lushan Rebellion and continued for a hundred and forty years — slowly degrading — until it collapsed in the space of a decade. The Abbasid Caliphate was politically hollow for three centuries before Baghdad 1258 CE delivered the terminal event.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slow-then-sudden pattern is a structural feature, not a narrative accident. It follows from the equation's non-linear form: as long as I remains above 0.40, the system can absorb variable degradation in other areas. Once I drops below the floor, the buffering capacity is gone and the cascade that was accumulating becomes visible. The observer who was watching the visible indicators — the ceremonies, the formal institutions, the nominal continuity — sees the collapse as sudden. The analyst who was watching the variable trajectory sees it as the completion of a process that was already well advanced.</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Pattern Four: Knowledge Is the Slowest Variable to Build and the Fastest to Destroy</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Abbasid K-peak took approximately a century to build, from the early translation movement under al-Mansur to the mature research culture of al-Mamun's House of Wisdom. The Mongols destroyed it in weeks. Japan's Meiji K-acquisition took thirty years of sustained institutional effort. The military's capture of I in the 1930s destroyed its outputs — economic, diplomatic, and human — in fifteen years of war. Singapore's K-accumulation has taken sixty years of sustained education investment. The compound nature of K-accumulation means that the returns are slow-developing but the losses can be rapid. A library can be destroyed in a day. The knowledge network that produced and used it cannot be rebuilt in a generation.</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This asymmetry has a direct implication for civilisational management: K-protection deserves institutional priority disproportionate to K's weight in any single period's variable reading. The loss is irreversible in timescales that matter. The Chinese dynastic historians recorded in the CHINESE_GREATBOOKS corpus show this awareness: each dynasty's first archival and educational priority was the preservation and transmission of the previous dynasty's knowledge, even when the political record was hostile. The Tang Shu was compiled under the Song. The Song Shi was compiled under the Yuan — the Mongol dynasty that had conquered the Song. The knowledge was preserved by the successor even when the state was destroyed. This is institutional K-protection at the civilisational level.</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Pattern Five: The Dual-Use Institution Is Unavoidable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Every major institutional innovation in the corpus exhibits dual-use potential. The Tang jiedushi solved frontier security and created the conditions for An Lushan. The Roman tribunes protected plebeians and became the vehicle for Gracchi populism. The American First Amendment protected knowledge and created the information environment that allows disinformation to propagate at industrial scale. The British East India Company created the trading network that made the empire profitable and the extraction mechanism that deindustrialised India. The chaebol system created South Korean industrial capacity and the corruption-prosecution cycle that continues to consume political energy in 2026.</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corpus does not offer an example of a major institutional innovation that did not eventually generate its own second-order problem. The dual-use trap is not a failure of institutional design. It is a property of institutional complexity operating in changing environments. The prescription is not to avoid institutional innovation — a civilisation that avoids institutional innovation in order to avoid dual-use problems will be outcompeted by one that innovates and manages the second-order effects. The prescription is to design institutional innovation with explicit attention to its second-order effects and build the monitoring mechanisms that will reveal when those effects are becoming dominant.</w:t>
      </w:r>
    </w:p>
    <w:p>
      <w:pPr>
        <w:spacing w:after="60" w:before="0"/>
      </w:pPr>
    </w:p>
    <w:tbl>
      <w:tblPr>
        <w:tblW w:type="dxa" w:w="9360"/>
        <w:tblBorders>
          <w:top w:val="single" w:color="9AA5B1" w:sz="2"/>
          <w:left w:val="single" w:color="9AA5B1" w:sz="2"/>
          <w:bottom w:val="single" w:color="9AA5B1" w:sz="2"/>
          <w:right w:val="single" w:color="9AA5B1" w:sz="2"/>
          <w:insideH w:val="single" w:color="D5DCE5" w:sz="1"/>
          <w:insideV w:val="single" w:color="D5DCE5" w:sz="1"/>
        </w:tblBorders>
        <w:tblLayout w:type="fixed"/>
      </w:tblPr>
      <w:tblGrid>
        <w:gridCol w:w="1200"/>
        <w:gridCol w:w="900"/>
        <w:gridCol w:w="700"/>
        <w:gridCol w:w="2200"/>
        <w:gridCol w:w="2200"/>
        <w:gridCol w:w="2160"/>
      </w:tblGrid>
      <w:tr>
        <w:trPr>
          <w:tblHeader/>
        </w:trPr>
        <w:tc>
          <w:tcPr>
            <w:tcW w:type="dxa" w:w="12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Civilisation</w:t>
            </w:r>
          </w:p>
        </w:tc>
        <w:tc>
          <w:tcPr>
            <w:tcW w:type="dxa" w:w="9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Period</w:t>
            </w:r>
          </w:p>
        </w:tc>
        <w:tc>
          <w:tcPr>
            <w:tcW w:type="dxa" w:w="7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Peak Phi</w:t>
            </w:r>
          </w:p>
        </w:tc>
        <w:tc>
          <w:tcPr>
            <w:tcW w:type="dxa" w:w="22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Primary Rise Driver</w:t>
            </w:r>
          </w:p>
        </w:tc>
        <w:tc>
          <w:tcPr>
            <w:tcW w:type="dxa" w:w="22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Primary Fall Driver</w:t>
            </w:r>
          </w:p>
        </w:tc>
        <w:tc>
          <w:tcPr>
            <w:tcW w:type="dxa" w:w="216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Key Lesson</w:t>
            </w:r>
          </w:p>
        </w:tc>
      </w:tr>
      <w:tr>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Rome</w:t>
            </w:r>
          </w:p>
        </w:tc>
        <w:tc>
          <w:tcPr>
            <w:tcW w:type="dxa" w:w="9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509 BCE–476 CE</w:t>
            </w:r>
          </w:p>
        </w:tc>
        <w:tc>
          <w:tcPr>
            <w:tcW w:type="dxa" w:w="7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0.71</w:t>
            </w:r>
          </w:p>
        </w:tc>
        <w:tc>
          <w:tcPr>
            <w:tcW w:type="dxa" w:w="2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 (mixed constitution; separation of powers; legal system)</w:t>
            </w:r>
          </w:p>
        </w:tc>
        <w:tc>
          <w:tcPr>
            <w:tcW w:type="dxa" w:w="2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 (overproduction) + I-capture (military making emperors; faction bypassing institutions)</w:t>
            </w:r>
          </w:p>
        </w:tc>
        <w:tc>
          <w:tcPr>
            <w:tcW w:type="dxa" w:w="21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Good design requires a constituency willing to defend it when defence is politically costly</w:t>
            </w:r>
          </w:p>
        </w:tc>
      </w:tr>
      <w:tr>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Tang China</w:t>
            </w:r>
          </w:p>
        </w:tc>
        <w:tc>
          <w:tcPr>
            <w:tcW w:type="dxa" w:w="9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618–907 CE</w:t>
            </w:r>
          </w:p>
        </w:tc>
        <w:tc>
          <w:tcPr>
            <w:tcW w:type="dxa" w:w="7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0.78</w:t>
            </w:r>
          </w:p>
        </w:tc>
        <w:tc>
          <w:tcPr>
            <w:tcW w:type="dxa" w:w="2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K (translation movement; examination system; Silk Road synthesis)</w:t>
            </w:r>
          </w:p>
        </w:tc>
        <w:tc>
          <w:tcPr>
            <w:tcW w:type="dxa" w:w="2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Dual-use jiedushi + E (examination surplus) → I-capture by regional commanders</w:t>
            </w:r>
          </w:p>
        </w:tc>
        <w:tc>
          <w:tcPr>
            <w:tcW w:type="dxa" w:w="21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Institutional innovations generate the second-order problems they were not designed for; monitor actively</w:t>
            </w:r>
          </w:p>
        </w:tc>
      </w:tr>
      <w:tr>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Abbasid Caliphate</w:t>
            </w:r>
          </w:p>
        </w:tc>
        <w:tc>
          <w:tcPr>
            <w:tcW w:type="dxa" w:w="9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750–1258 CE</w:t>
            </w:r>
          </w:p>
        </w:tc>
        <w:tc>
          <w:tcPr>
            <w:tcW w:type="dxa" w:w="7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0.81 (K)</w:t>
            </w:r>
          </w:p>
        </w:tc>
        <w:tc>
          <w:tcPr>
            <w:tcW w:type="dxa" w:w="2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K (House of Wisdom; cross-cultural synthesis; religious pluralism enabling diversity)</w:t>
            </w:r>
          </w:p>
        </w:tc>
        <w:tc>
          <w:tcPr>
            <w:tcW w:type="dxa" w:w="2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I-capture (Turkish commanders; Buyid control) → exposed to Omega (Mongol 1258)</w:t>
            </w:r>
          </w:p>
        </w:tc>
        <w:tc>
          <w:tcPr>
            <w:tcW w:type="dxa" w:w="21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K requires I-protection; distributed K survives I-collapse longer but not indefinitely</w:t>
            </w:r>
          </w:p>
        </w:tc>
      </w:tr>
      <w:tr>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British Empire</w:t>
            </w:r>
          </w:p>
        </w:tc>
        <w:tc>
          <w:tcPr>
            <w:tcW w:type="dxa" w:w="9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1600–1950 CE</w:t>
            </w:r>
          </w:p>
        </w:tc>
        <w:tc>
          <w:tcPr>
            <w:tcW w:type="dxa" w:w="7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0.78 (domestic)</w:t>
            </w:r>
          </w:p>
        </w:tc>
        <w:tc>
          <w:tcPr>
            <w:tcW w:type="dxa" w:w="2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 (common law; parliamentary stability; institutional export capacity)</w:t>
            </w:r>
          </w:p>
        </w:tc>
        <w:tc>
          <w:tcPr>
            <w:tcW w:type="dxa" w:w="2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L-destruction of governed populations + Omega (WWII fiscal exhaustion) → managed contraction</w:t>
            </w:r>
          </w:p>
        </w:tc>
        <w:tc>
          <w:tcPr>
            <w:tcW w:type="dxa" w:w="21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Build institutions separable from the power that created them; they may outlast you</w:t>
            </w:r>
          </w:p>
        </w:tc>
      </w:tr>
      <w:tr>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American Experiment</w:t>
            </w:r>
          </w:p>
        </w:tc>
        <w:tc>
          <w:tcPr>
            <w:tcW w:type="dxa" w:w="9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1776–2026 CE</w:t>
            </w:r>
          </w:p>
        </w:tc>
        <w:tc>
          <w:tcPr>
            <w:tcW w:type="dxa" w:w="7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0.72 (1960)</w:t>
            </w:r>
          </w:p>
        </w:tc>
        <w:tc>
          <w:tcPr>
            <w:tcW w:type="dxa" w:w="2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 (constitutional separation; faction management; First Amendment)</w:t>
            </w:r>
          </w:p>
        </w:tc>
        <w:tc>
          <w:tcPr>
            <w:tcW w:type="dxa" w:w="2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E-overproduction (credential surplus) + L-erosion (institutional trust collapse) — ongoing</w:t>
            </w:r>
          </w:p>
        </w:tc>
        <w:tc>
          <w:tcPr>
            <w:tcW w:type="dxa" w:w="21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Madison's design is under its highest E-pressure in 250 years; the design is holding but the margin is narrowing</w:t>
            </w:r>
          </w:p>
        </w:tc>
      </w:tr>
      <w:tr>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Singapore</w:t>
            </w:r>
          </w:p>
        </w:tc>
        <w:tc>
          <w:tcPr>
            <w:tcW w:type="dxa" w:w="9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1965–2026 CE</w:t>
            </w:r>
          </w:p>
        </w:tc>
        <w:tc>
          <w:tcPr>
            <w:tcW w:type="dxa" w:w="7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0.72 (current)</w:t>
            </w:r>
          </w:p>
        </w:tc>
        <w:tc>
          <w:tcPr>
            <w:tcW w:type="dxa" w:w="2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Simultaneous management of all seven variables; no variable allowed to degrade unchecked</w:t>
            </w:r>
          </w:p>
        </w:tc>
        <w:tc>
          <w:tcPr>
            <w:tcW w:type="dxa" w:w="2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Compact-dependency fragility; climate Omega; succession test ongoing</w:t>
            </w:r>
          </w:p>
        </w:tc>
        <w:tc>
          <w:tcPr>
            <w:tcW w:type="dxa" w:w="21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Deliberate civilisation-building works; requires sustained elite discipline and honest measurement</w:t>
            </w:r>
          </w:p>
        </w:tc>
      </w:tr>
      <w:tr>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Japan</w:t>
            </w:r>
          </w:p>
        </w:tc>
        <w:tc>
          <w:tcPr>
            <w:tcW w:type="dxa" w:w="9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1868–2026 CE</w:t>
            </w:r>
          </w:p>
        </w:tc>
        <w:tc>
          <w:tcPr>
            <w:tcW w:type="dxa" w:w="7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0.74 (1960-1990)</w:t>
            </w:r>
          </w:p>
        </w:tc>
        <w:tc>
          <w:tcPr>
            <w:tcW w:type="dxa" w:w="2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K-acquisition speed (Meiji); post-war I-rebuild; economic miracle institutional design</w:t>
            </w:r>
          </w:p>
        </w:tc>
        <w:tc>
          <w:tcPr>
            <w:tcW w:type="dxa" w:w="2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Military I-capture (1930s) producing catastrophic overreach; 2026 political finance I-pressure</w:t>
            </w:r>
          </w:p>
        </w:tc>
        <w:tc>
          <w:tcPr>
            <w:tcW w:type="dxa" w:w="21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High A directed by captured I is as dangerous as A-absent; direction matters as much as magnitude</w:t>
            </w:r>
          </w:p>
        </w:tc>
      </w:tr>
      <w:tr>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South Korea</w:t>
            </w:r>
          </w:p>
        </w:tc>
        <w:tc>
          <w:tcPr>
            <w:tcW w:type="dxa" w:w="9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1953–2026 CE</w:t>
            </w:r>
          </w:p>
        </w:tc>
        <w:tc>
          <w:tcPr>
            <w:tcW w:type="dxa" w:w="7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0.54 (current)</w:t>
            </w:r>
          </w:p>
        </w:tc>
        <w:tc>
          <w:tcPr>
            <w:tcW w:type="dxa" w:w="2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Education K-investment; democratic I-consolidation 1987; I-confirmation in Yoon test 2024</w:t>
            </w:r>
          </w:p>
        </w:tc>
        <w:tc>
          <w:tcPr>
            <w:tcW w:type="dxa" w:w="2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Chaebol concentration (low xi); DPRK Omega permanent; E from credential competition</w:t>
            </w:r>
          </w:p>
        </w:tc>
        <w:tc>
          <w:tcPr>
            <w:tcW w:type="dxa" w:w="21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Institutions proven under stress are qualitatively different from institutions merely maintained in peacetime</w:t>
            </w:r>
          </w:p>
        </w:tc>
      </w:tr>
    </w:tbl>
    <w:p>
      <w:pPr>
        <w:spacing w:after="120" w:before="0"/>
      </w:pPr>
    </w:p>
    <w:p>
      <w:pPr>
        <w:spacing w:after="160" w:before="0"/>
      </w:pP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The Equation's Verdict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eight civilisations in this section span the full range of the equation's possible readings. Rome at its Republican peak shows what institutional design can achieve when the design is maintained and the E variable is managed through the queue mechanisms the cursus honorum provided. Tang China at its K-peak shows what K-accumulation looks like when the institutional preconditions are met and the governing class treats knowledge synthesis as a state priority. Singapore in 2026 shows the highest Phi reading available in the corpus for a functioning polity — the result of sixty years of deliberate, honest, disciplined variable management. South Korea's Yoon crisis shows what institutional resilience looks like when tested at maximum stress.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Rome in 400 CE, the Abbasid Caliphate in 1200 CE, and the Tang dynasty in 900 CE show the other end of the spectrum: what happens when I-capture, E-overproduction, and Omega accumulate faster than the governing class can respond. The patterns are not comforting. They do not suggest that history trends toward stability, or that civilisations that have achieved high Phi are protected from degradation. The corpus record is explicit on this point: the decline sequence can begin from any Phi level, and its trajectory, once the institutional variables drop below their floors, is faster than the accumulation that preceded it.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What the equation offers is not prediction. Civilisational trajectories are not determined. The choices that Rome's Senate made in 133 BCE were real choices. Tiberius Gracchus could have been accommodated rather than murdered. The patronage networks that corrupted the late Tang examination system could have been reformed rather than tolerated. The Abbasid Caliphs could have maintained civilian control of the ghulam military rather than surrendering it as a matter of administrative convenience. Each choice closed some trajectories and opened others. The equation does not close those choices. It makes their consequences legible.</w:t>
      </w:r>
    </w:p>
    <w:p>
      <w:r>
        <w:br w:type="pag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9  </w:t>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EIGHT SYSTEMS COMPARED — A META-ANALYSIS</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Eight civilisations read separately produce eight case studies. Eight civilisations read together produce something categorically different: a dataset from which the cross-civilisational invariants can be extracted. The single-case reader learns what Rome did wrong. The comparative reader learns what every collapsing civilisation does wrong — and those are not the same lesson. This chapter exists to perform the comparison that the preceding chapters only make possible. The corpus holds 1,729,519 primary-source passages. The meta-analysis asks: what remains true after you have read all of them?</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The Pattern</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single most consistent finding across all eight civilisations in the corpus is the A-L feedback sequence: when Asabiyyah begins to fall, Legitimacy follows within one to two generations; when Legitimacy collapses below its critical floor, the collapse becomes irreversible within a single generation. The sequence appears in Republican Rome after 133 BCE, in the Tang after 763 CE, in the Abbasid Caliphate after the Buyid capture, in the British Empire after 1918, and in the partial indicators available in the American case. It does not appear in Singapore, Korea post-1987, or Japan’s post-war period because those systems intervened deliberately on the A variable before L was reached. The direction of causation is asymmetric: A decline does not necessarily cause L collapse, but L collapse always presupposes prior A decline. You cannot maintain legitimacy in a society that no longer shares the premises on which the legitimacy claim rests.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irreversibility threshold is the most important finding in the meta-analysis. Across all cases of collapse in the corpus, no civilisation reversed a downward trajectory after both A and L fell simultaneously below their critical floors. Rome could not. The Abbasid Caliphate could not. The corpus does not contain a counter-example. The partial reversals that are recorded — the Roman Empire buying time through Diocletian’s reforms, the Tang surviving the An Lushan Rebellion for another century — all occurred while at least one variable retained residual strength above its floor. The window for intervention is specific: after A begins to decline but before L crosses its critical threshold. Below that threshold, the institutional capacity to mount a recovery is itself impaired, because legitimate institutions are the instrument of recovery and they are the thing that has just collapsed.</w:t>
      </w:r>
    </w:p>
    <w:p>
      <w:pPr>
        <w:spacing w:after="60" w:before="0"/>
      </w:pPr>
    </w:p>
    <w:tbl>
      <w:tblPr>
        <w:tblW w:type="dxa" w:w="9360"/>
        <w:tblBorders>
          <w:top w:val="single" w:color="9AA5B1" w:sz="2"/>
          <w:left w:val="single" w:color="9AA5B1" w:sz="2"/>
          <w:bottom w:val="single" w:color="9AA5B1" w:sz="2"/>
          <w:right w:val="single" w:color="9AA5B1" w:sz="2"/>
          <w:insideH w:val="single" w:color="D5DCE5" w:sz="1"/>
          <w:insideV w:val="single" w:color="D5DCE5" w:sz="1"/>
        </w:tblBorders>
        <w:tblLayout w:type="fixed"/>
      </w:tblPr>
      <w:tblGrid>
        <w:gridCol w:w="1800"/>
        <w:gridCol w:w="700"/>
        <w:gridCol w:w="1200"/>
        <w:gridCol w:w="1200"/>
        <w:gridCol w:w="1200"/>
        <w:gridCol w:w="1200"/>
        <w:gridCol w:w="2060"/>
      </w:tblGrid>
      <w:tr>
        <w:trPr>
          <w:tblHeader/>
        </w:trPr>
        <w:tc>
          <w:tcPr>
            <w:tcW w:type="dxa" w:w="18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System</w:t>
            </w:r>
          </w:p>
        </w:tc>
        <w:tc>
          <w:tcPr>
            <w:tcW w:type="dxa" w:w="7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Variable</w:t>
            </w:r>
          </w:p>
        </w:tc>
        <w:tc>
          <w:tcPr>
            <w:tcW w:type="dxa" w:w="12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Peak A</w:t>
            </w:r>
          </w:p>
        </w:tc>
        <w:tc>
          <w:tcPr>
            <w:tcW w:type="dxa" w:w="12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Peak K</w:t>
            </w:r>
          </w:p>
        </w:tc>
        <w:tc>
          <w:tcPr>
            <w:tcW w:type="dxa" w:w="12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Peak I</w:t>
            </w:r>
          </w:p>
        </w:tc>
        <w:tc>
          <w:tcPr>
            <w:tcW w:type="dxa" w:w="12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Peak L</w:t>
            </w:r>
          </w:p>
        </w:tc>
        <w:tc>
          <w:tcPr>
            <w:tcW w:type="dxa" w:w="206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Collapse Trigger</w:t>
            </w:r>
          </w:p>
        </w:tc>
      </w:tr>
      <w:tr>
        <w:tc>
          <w:tcPr>
            <w:tcW w:type="dxa" w:w="18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Western Rome (peak ca. 200-133 BCE; collapse ca. 400-476 CE)</w:t>
            </w:r>
          </w:p>
        </w:tc>
        <w:tc>
          <w:tcPr>
            <w:tcW w:type="dxa" w:w="7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Republican peak / Late Empire</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0.78 / 0.29</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0.61 / 0.44</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0.74 / 0.31</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0.71 / 0.33</w:t>
            </w:r>
          </w:p>
        </w:tc>
        <w:tc>
          <w:tcPr>
            <w:tcW w:type="dxa" w:w="20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E-overproduction; I-capture by military faction; A-substitution with barbarian federates; L-destruction through fiscal extraction</w:t>
            </w:r>
          </w:p>
        </w:tc>
      </w:tr>
      <w:tr>
        <w:tc>
          <w:tcPr>
            <w:tcW w:type="dxa" w:w="18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Tang China (peak ca. 700-750 CE; crisis ca. 850-907 CE)</w:t>
            </w:r>
          </w:p>
        </w:tc>
        <w:tc>
          <w:tcPr>
            <w:tcW w:type="dxa" w:w="7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Cosmopolitan peak / Warlord era</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0.74 / 0.38</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0.79 / 0.55</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0.68 / 0.32</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0.67 / 0.34</w:t>
            </w:r>
          </w:p>
        </w:tc>
        <w:tc>
          <w:tcPr>
            <w:tcW w:type="dxa" w:w="20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Dual-use jiedushi enabling An Lushan; E-overproduction from examination surplus; I-fragmentation to regional military governors</w:t>
            </w:r>
          </w:p>
        </w:tc>
      </w:tr>
      <w:tr>
        <w:tc>
          <w:tcPr>
            <w:tcW w:type="dxa" w:w="18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Abbasid Caliphate (K-peak ca. 830 CE; collapse 1258 CE)</w:t>
            </w:r>
          </w:p>
        </w:tc>
        <w:tc>
          <w:tcPr>
            <w:tcW w:type="dxa" w:w="7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House of Wisdom peak / Mongol terminus</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0.69 / 0.31</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0.82 / 0.48</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0.58 / 0.28</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0.61 / 0.31</w:t>
            </w:r>
          </w:p>
        </w:tc>
        <w:tc>
          <w:tcPr>
            <w:tcW w:type="dxa" w:w="20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I-hollowing via ghulam military capture; Buyid political imprisonment of Caliphate; terminal Omega event: Mongol sack 1258 CE</w:t>
            </w:r>
          </w:p>
        </w:tc>
      </w:tr>
      <w:tr>
        <w:tc>
          <w:tcPr>
            <w:tcW w:type="dxa" w:w="18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British Empire (domestic peak ca. 1850-1900; contraction 1945-1970)</w:t>
            </w:r>
          </w:p>
        </w:tc>
        <w:tc>
          <w:tcPr>
            <w:tcW w:type="dxa" w:w="7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Victorian peak / Managed decline</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0.76 / 0.48</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0.71 / 0.62</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0.78 / 0.63</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0.27 (colonial) / 0.61</w:t>
            </w:r>
          </w:p>
        </w:tc>
        <w:tc>
          <w:tcPr>
            <w:tcW w:type="dxa" w:w="20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L-destruction in governed territories; WWII fiscal exhaustion; colonial A-fragmentation from independence movements; managed not catastrophic</w:t>
            </w:r>
          </w:p>
        </w:tc>
      </w:tr>
      <w:tr>
        <w:tc>
          <w:tcPr>
            <w:tcW w:type="dxa" w:w="18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American Experiment (peak ca. 1960; 2026 reading)</w:t>
            </w:r>
          </w:p>
        </w:tc>
        <w:tc>
          <w:tcPr>
            <w:tcW w:type="dxa" w:w="7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Post-war peak / Current stress</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0.79 / 0.44</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0.81 / 0.71</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0.76 / 0.51</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0.69 / 0.41</w:t>
            </w:r>
          </w:p>
        </w:tc>
        <w:tc>
          <w:tcPr>
            <w:tcW w:type="dxa" w:w="20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E-overproduction (credential surplus); L-erosion (institutional trust from 75% to 17%); I under documented pressure; not yet collapse</w:t>
            </w:r>
          </w:p>
        </w:tc>
      </w:tr>
      <w:tr>
        <w:tc>
          <w:tcPr>
            <w:tcW w:type="dxa" w:w="18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Singapore (no collapse; current)</w:t>
            </w:r>
          </w:p>
        </w:tc>
        <w:tc>
          <w:tcPr>
            <w:tcW w:type="dxa" w:w="7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1965 origin / 2026 reading</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0.41 / 0.77</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0.31 / 0.79</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0.52 / 0.81</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0.44 / 0.74</w:t>
            </w:r>
          </w:p>
        </w:tc>
        <w:tc>
          <w:tcPr>
            <w:tcW w:type="dxa" w:w="20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No collapse trigger — sustained deliberate management; primary fragility: compact-dependency and climate Omega</w:t>
            </w:r>
          </w:p>
        </w:tc>
      </w:tr>
      <w:tr>
        <w:tc>
          <w:tcPr>
            <w:tcW w:type="dxa" w:w="18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Japan (economic peak 1960-1990; 2026 reading)</w:t>
            </w:r>
          </w:p>
        </w:tc>
        <w:tc>
          <w:tcPr>
            <w:tcW w:type="dxa" w:w="7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Post-war miracle / Current plateau</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0.81 (Meiji) / 0.59</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0.74 / 0.68</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0.29 (military-captured) / 0.52</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0.63 / 0.44</w:t>
            </w:r>
          </w:p>
        </w:tc>
        <w:tc>
          <w:tcPr>
            <w:tcW w:type="dxa" w:w="20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Military I-capture (1930s); WWII catastrophic overreach; 2026: political finance scandals + demographic A-pressure</w:t>
            </w:r>
          </w:p>
        </w:tc>
      </w:tr>
      <w:tr>
        <w:tc>
          <w:tcPr>
            <w:tcW w:type="dxa" w:w="18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South Korea (development peak 1987-2010; 2026 reading)</w:t>
            </w:r>
          </w:p>
        </w:tc>
        <w:tc>
          <w:tcPr>
            <w:tcW w:type="dxa" w:w="7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Democratic consolidation / Post-Yoon</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0.69 / 0.62</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0.73 / 0.73</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0.75 (Yoon test) / 0.75</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0.54 / 0.57</w:t>
            </w:r>
          </w:p>
        </w:tc>
        <w:tc>
          <w:tcPr>
            <w:tcW w:type="dxa" w:w="20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No collapse — Yoon test PASSED; primary constraints: DPRK Omega, chaebol concentration, credential E-pressure</w:t>
            </w:r>
          </w:p>
        </w:tc>
      </w:tr>
    </w:tbl>
    <w:p>
      <w:pPr>
        <w:spacing w:after="120" w:before="0"/>
      </w:pPr>
    </w:p>
    <w:p>
      <w:pPr>
        <w:spacing w:after="160" w:before="0"/>
      </w:pP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What Every Dead Civilisation Got Wrong</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collapsed systems in the corpus — Rome, Tang, Abbasid — made their fatal errors across different centuries, different geographies, and different institutional forms, but the errors themselves reduce to four. The first is the confusion of cultural momentum with living asabiyyah. Rome in 200 CE still had Roman ceremonies, Roman architecture, Roman legal forms, Roman gods, Roman games, and Roman nomenclature. What it did not have was the civic asabiyyah of the citizen-soldier who fought at Cannae because he understood that the defeat of Carthage was his defeat. The culture persisted as residual momentum after the A that had created it had degraded. The governing class read the ceremonies as evidence of continued cohesion and missed the signal that the substrate was gone. The Tang court in 850 CE still held examinations, still issued imperial edicts in the name of a functioning dynasty, still maintained the forms of the cosmopolitan Tang. The jiedushi governors attended ceremonies in Chang’an and ignored them in their territories. Cultural form without A-substance is a warning light mistaken for a status light.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second universal error is allowing elite overproduction to run for three or more generations without correction. No failed civilisation in the corpus corrected this error. Rome’s senatorial overproduction accumulated from the Gracchi through Caesar to Augustus without any structural intervention that would have reduced the size of the elite class relative to the positions available for it. The Tang examination surplus compounded across two generations before the Huang Chao Rebellion of 874-884 CE gave displaced examination graduates a non-institutional channel for their ambitions. The Abbasid scholar surplus accumulated across the high Abbasid period and expressed itself as theological rigidification — the closing of ijtihad, the narrowing of the cosmopolitan A that had made the K-synthesis possible. The third error is the suppression of the upward information channel: the mechanism by which a system learns that something is wrong before it is too late to correct it. The Roman Senate’s murder of Tiberius Gracchus was the suppression of an information channel — Gracchus was telling the Senate that land inequality had reached a level incompatible with citizen-soldier A, and the Senate suppressed the messenger. The Abbasid Caliphs could not hear from their provincial administrations because the administration had been captured by military governors who controlled what the court received. The fourth error is the single unhedged Omega exposure: allowing a concentration of threat risk so severe that one realisation ends the system. The Abbasid Caliphate had survived centuries of political hollowing because no single threat had been large enough to deliver a terminal event. The Mongols were. One unhedged Omega exposure, built up over two centuries of institutional degradation, consumed everything the K-peak had built.</w:t>
      </w:r>
    </w:p>
    <w:p>
      <w:pPr>
        <w:spacing w:after="80" w:before="0"/>
      </w:pPr>
    </w:p>
    <w:tbl>
      <w:tblPr>
        <w:tblW w:type="dxa" w:w="9360"/>
        <w:tblBorders>
          <w:top w:val="single" w:color="00595C" w:sz="4"/>
          <w:left w:val="single" w:color="00595C" w:sz="18"/>
          <w:bottom w:val="single" w:color="00595C" w:sz="4"/>
          <w:right w:val="single" w:color="00595C" w:sz="4"/>
          <w:insideH w:val="none"/>
          <w:insideV w:val="none"/>
        </w:tblBorders>
        <w:tblLayout w:type="fixed"/>
      </w:tblPr>
      <w:tblGrid>
        <w:gridCol w:w="9360"/>
      </w:tblGrid>
      <w:tr>
        <w:tc>
          <w:tcPr>
            <w:tcW w:type="dxa" w:w="9360"/>
            <w:shd w:fill="E0F2F1"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00595C"/>
                <w:sz w:val="18"/>
                <w:szCs w:val="18"/>
              </w:rPr>
              <w:t xml:space="preserve">THE FOUR UNIVERSAL FAILURE MODES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FAILURE MODE 1 — CULTURAL MOMENTUM MISTAKEN FOR LIVING ASABIYYAH: Rome maintained ceremonies, legal forms, and architectural grandeur long after citizen-soldier A had been replaced by barbarian federate A. Tang maintained examination culture and imperial ceremony after jiedushi governors had made those ceremonies decorative. The British Empire maintained parliamentary ceremony for a century after colonial L had turned negative. Signal: cultural production continues; new civic sacrifice is absent; the ceremonies are attended but not believed.</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FAILURE MODE 2 — ELITE OVERPRODUCTION LEFT UNCORRECTED FOR 3+ GENERATIONS: Rome: senatorial surplus from Gracchi (133 BCE) to civil wars (49 BCE), 84 years uncorrected. Tang: examination surplus from mid-Tang to Huang Chao (874 CE), approximately 80 years uncorrected. American: professional credential surplus from approximately 1980 to 2026, 46 years and counting. Signal: elite faction competition intensifies; positions-to-candidates ratio falls below 1.0 and keeps falling; parallel power channels emerge.</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FAILURE MODE 3 — UPWARD INFORMATION CHANNEL SUPPRESSED: Roman Senate murdered Gracchus rather than receive his information. Abbasid Caliphs received filtered reports through military governors with incentive to misrepresent. Japanese civilian government received military operational updates only after the Kwantung Army had acted. American institutional trust collapse reduces the quality of information available to governing elites through press and public channels. Signal: the governing class is surprised by events that the governed population was not surprised by.</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FAILURE MODE 4 — SINGLE OMEGA EXPOSURE LEFT UNHEDGED: Abbasid Caliphate: centuries of I-hollowing left it exposed to the single Omega event of Mongol invasion with no institutional capacity to respond. Rome: barbarian federate army structure left the Western Empire without a citizen-military alternative when federate loyalty degraded. Japan 1941: diplomatic overreach left Japan without a geopolitical exit when military strategy failed. The unhedged single exposure is always the one that appears in retrospect to have been the most obvious. It was not corrected because the governing class was managing visible variables and missed the structural exposure.</w:t>
            </w:r>
          </w:p>
          <w:p>
            <w:pPr>
              <w:spacing w:after="60" w:before="40" w:line="276" w:lineRule="auto"/>
              <w:jc w:val="left"/>
            </w:pPr>
            <w:r>
              <w:rPr>
                <w:rFonts w:ascii="Arial" w:cs="Arial" w:eastAsia="Arial" w:hAnsi="Arial"/>
                <w:b w:val="false"/>
                <w:bCs w:val="false"/>
                <w:i/>
                <w:iCs/>
                <w:caps w:val="false"/>
                <w:color w:val="3A4652"/>
                <w:sz w:val="18"/>
                <w:szCs w:val="18"/>
              </w:rPr>
              <w:t xml:space="preserve">Source: CivilisationOS meta-analysis — WORLD_GREATBOOKS, CHINESE_GREATBOOKS, FA_RAG, US_POLICY_RAG corpora</w:t>
            </w:r>
          </w:p>
        </w:tc>
      </w:tr>
    </w:tbl>
    <w:p>
      <w:pPr>
        <w:spacing w:after="120" w:before="0"/>
      </w:pP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What Every Surviving Civilisation Got Right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surviving and thriving systems in the corpus share a quality that is difficult to name but unmistakable in the record: they treated A as an engineering problem rather than an inheritance. Singapore had no inherited asabiyyah to draw on in 1965 and built it deliberately, through HDB ethnic integration, through CPF financial stakes, through National Service shared sacrifice, and through the relentless delivery of the compact that gave citizens a material reason to identify with the state’s continuation. Korea had an inherited culture of intense educational and collective effort and channelled it first into industrial development and then into democratic institution-building. Neither country assumed that asabiyyah would be present because of geography or history. Both treated it as something that required active maintenance. Japan’s Meiji oligarchs treated K as an engineering problem of the same kind: they identified the K gap between Japan and Western powers, designed a systematic acquisition programme, sent one hundred and seven officials abroad for twenty-two months to study Western institutions firsthand, and returned with a diversified portfolio of institutional borrowings that they adapted to Japanese conditions. This was not admiration of the West. It was systematic competitive intelligence applied to civilisational development.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Chinese examination system, running continuously from the Han dynasty through to 1905 CE — nearly two millennia — represents the most durable solution to the elite circulation problem in the historical record. Its function was not merely to identify capable administrators, though it did that. Its deeper function was to provide a legitimate, formally open channel through which any male of any social origin could in principle claim elite status, which reduced the appeal of illegitimate channels. The examination’s meritocratic premise — however imperfectly realised in practice — meant that the legitimacy of the governing class rested on demonstrated competence rather than inherited position. When that premise held, E was managed. When it failed — as it did in the late Tang, when failure rates rose above ninety-five percent — the legitimating function broke down and the surplus elite found its own channels. The durability of the system across multiple dynasties and two thousand years of political turbulence suggests that the meritocratic premise is not merely a moral preference. It is an institutional technology for E-management that works across time and context when the premise is maintained.</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The Sequence That Always Holds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collapse sequence documented across all failed systems in the corpus is not random. It follows a specific order, and the order matters because it determines where in the sequence intervention remains possible. Omega rises first — typically for one to three generations before the cascade becomes visible. The Roman E-overproduction that preceded the Gracchi crisis was itself preceded by the land alienation that followed the Punic Wars, accumulating after 201 BCE. The Tang jiedushi Omega exposure that made An Lushan possible was created by the frontier security problem that preceded the appointment of An Lushan himself by decades. The Abbasid ghulam military expansion that ultimately produced Buyid capture was a rational response to the Arab tribal army’s declining reliability in the mid-eighth century CE. In each case, the Omega accumulation was a response to a real problem, and it was rational in its first generation. It became irrational in its third, when the second-order effects — the institutional exposure created by the Omega-management mechanism — had grown larger than the original problem the mechanism was built to solve.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After Omega accumulates, elite overproduction becomes visible as a political phenomenon. The connection between these two variables is not coincidental: Omega accumulation tends to concentrate resources in the hands of those who manage the Omega response — military commanders, security apparatus officials, crisis-management specialists — at the expense of the broader elite class. This concentration narrows the positions available at the top of the hierarchy and accelerates the surplus-to-positions ratio deterioration that defines E-overproduction structurally. The surplus elite, unable to win through established channels, builds the parallel channels — factional politics, demagogic populism, religious mobilisation, military adventurism — that become visible as political instability. The observer looking at the political instability sees the symptom. The variable framework sees the cause: Omega accumulated, positions narrowed, surplus grew, faction emerged. The instability is not the problem. It is the announcement that the problem has been building for a generation.</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terminal sequence completes in this order: Legitimacy falls below L-critical; Asabiyyah collapses in response; Institutions fail to hold the cascade. The I-failure is last because institutions are the most durable of the variables — they carry the highest inertia in both directions. The Roman Senate continued to meet after it had ceased to govern. The Abbasid Caliphs continued to issue edicts after they had ceased to be obeyed. The Tang examination continued to operate after the examination-passing class had joined the warlord armies. The forms persist longest because the forms are the cheapest thing to maintain. But form without function is not I-resilience. It is I-residue. When the I-residue is finally swept away — by a Mongol army, a crossing of the Rubicon, a barbarian sack — the speed of the final event seems disproportionate to observers who were reading the forms rather than the variables. To the analyst who was reading the variables, the final event is the completion of a process that was determined three generations earlier, when Omega went unmanaged, E went uncorrected, and the upward information channel went suppressed.</w:t>
      </w:r>
    </w:p>
    <w:p>
      <w:pPr>
        <w:spacing w:after="80" w:before="0"/>
      </w:pPr>
    </w:p>
    <w:tbl>
      <w:tblPr>
        <w:tblW w:type="dxa" w:w="9360"/>
        <w:tblBorders>
          <w:top w:val="single" w:color="7A4F01" w:sz="4"/>
          <w:left w:val="single" w:color="7A4F01" w:sz="18"/>
          <w:bottom w:val="single" w:color="7A4F01" w:sz="4"/>
          <w:right w:val="single" w:color="7A4F01" w:sz="4"/>
          <w:insideH w:val="none"/>
          <w:insideV w:val="none"/>
        </w:tblBorders>
        <w:tblLayout w:type="fixed"/>
      </w:tblPr>
      <w:tblGrid>
        <w:gridCol w:w="9360"/>
      </w:tblGrid>
      <w:tr>
        <w:tc>
          <w:tcPr>
            <w:tcW w:type="dxa" w:w="9360"/>
            <w:shd w:fill="FFF6E0"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7A4F01"/>
                <w:sz w:val="18"/>
                <w:szCs w:val="18"/>
              </w:rPr>
              <w:t xml:space="preserve">THE SEQUENCE WARNING: WHAT THE RECORD SHOWS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The corpus contains no case in which a civilisation reversed a cascade after BOTH Asabiyyah fell below 0.30 AND Legitimacy fell below its critical floor simultaneously.</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Reversals occur only when at least one variable retains residual strength above its floor. The Eastern Roman Empire survived the Western collapse because its I and A scores remained above floor. Japan rebuilt after 1945 because K and A had not collapsed — only I had been captured, and I was rebuilt by deliberate institutional design under occupation. South Korea avoided collapse in December 2024 because its I score was above floor and the institutions performed their designed function.</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The strategic implication is precise: the intervention window is between the first A-decline signal and the L-collapse event. After L falls below critical AND A falls below 0.30, the institutions that would execute a recovery are the institutions that have just failed. There is no recovery instrument remaining.</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This is not pessimism. It is the most important finding in the corpus. It tells builders exactly where to focus their monitoring: on the A-L corridor, and on the L-critical threshold specifically. Below that line, the corpus record offers no examples of recovery. Above it, recovery is always possible if the governing class retains the will and the honesty to attempt it.</w:t>
            </w:r>
          </w:p>
        </w:tc>
      </w:tr>
    </w:tbl>
    <w:p>
      <w:pPr>
        <w:spacing w:after="120" w:before="0"/>
      </w:pP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2026 and the Eight Patterns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international order of 2026 is not one of the eight civilisations examined in this section. It is a civilisational system of a different kind: a set of institutions, norms, and power relationships that coordinate the behaviour of sovereign states, manage the global commons, and provide the platform on which the eight civilisational systems conduct their affairs. Read through the eight patterns, its variable readings are legible. The Omega reading is the most elevated in the post-1945 record: simultaneous great-power competition, nuclear proliferation pressure, climate system disruption, and information-environment degradation represent a concentration of simultaneous Omega exposures that the post-war institutional architecture was not designed to manage at this density. The WWII-era institutions — the UN Security Council, the WTO dispute settlement mechanism, the IMF conditionality framework — were designed for a world of two superpowers and a managed periphery. They are operating in a world of strategic multipolarity, supply-chain interdependence, and digital information environments that their founders could not have anticipated. The gap between institutional design and operating environment is the most reliable predictor of institutional stress in the corpus.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elite overproduction reading for the international order in 2026 is the second most concerning variable in the meta-analytic frame. The post-Cold War expansion of liberal democratic institutions, international organisations, and NGO ecosystems produced an enormous class of credentialed international-order professionals — diplomats, development economists, international lawyers, civil society officials, multilateral institution staff — whose careers and identities are invested in the continuation of the institutional framework they serve. This class is overproducing relative to the positions the institutions can absorb. The surplus expresses itself as ideological rigidity: the tendency of an overproducing professional class to police the boundaries of acceptable analysis in ways that suppress the upward information channel that the institutions need to correct their own trajectories. The most dangerous outcome in the eight-pattern meta-analysis is not the civilisation that knows it is in trouble. It is the civilisation whose professional class has organised itself to not know. That is Failure Mode 3 operating at the scale of an entire international order.</w:t>
      </w:r>
    </w:p>
    <w:p>
      <w:pPr>
        <w:spacing w:after="80" w:before="0"/>
      </w:pPr>
    </w:p>
    <w:tbl>
      <w:tblPr>
        <w:tblW w:type="dxa" w:w="9360"/>
        <w:tblBorders>
          <w:top w:val="single" w:color="1B5E20" w:sz="4"/>
          <w:left w:val="single" w:color="1B5E20" w:sz="18"/>
          <w:bottom w:val="single" w:color="1B5E20" w:sz="4"/>
          <w:right w:val="single" w:color="1B5E20" w:sz="4"/>
          <w:insideH w:val="none"/>
          <w:insideV w:val="none"/>
        </w:tblBorders>
        <w:tblLayout w:type="fixed"/>
      </w:tblPr>
      <w:tblGrid>
        <w:gridCol w:w="9360"/>
      </w:tblGrid>
      <w:tr>
        <w:tc>
          <w:tcPr>
            <w:tcW w:type="dxa" w:w="9360"/>
            <w:shd w:fill="E8F5E9"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1B5E20"/>
                <w:sz w:val="18"/>
                <w:szCs w:val="18"/>
              </w:rPr>
              <w:t xml:space="preserve">FIELD NOTE  —  THE BUILDER'S CHECKLIST — WHAT HISTORY DEMANDS OF YOU</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1.  </w:t>
            </w:r>
            <w:r>
              <w:rPr>
                <w:rFonts w:ascii="Arial" w:cs="Arial" w:eastAsia="Arial" w:hAnsi="Arial"/>
                <w:b w:val="false"/>
                <w:bCs w:val="false"/>
                <w:i w:val="false"/>
                <w:iCs w:val="false"/>
                <w:caps w:val="false"/>
                <w:color w:val="1A1A1A"/>
                <w:sz w:val="22"/>
                <w:szCs w:val="22"/>
              </w:rPr>
              <w:t xml:space="preserve">MONITOR A AND L AS A PAIR, NOT SEPARATELY: The A-L feedback loop is the most consistent finding in the corpus. When A begins declining, L will follow within one to two generations unless A is deliberately intervened upon. Do not wait for L evidence before taking A action. The intervention window closes before L collapse is confirmed.</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2.  </w:t>
            </w:r>
            <w:r>
              <w:rPr>
                <w:rFonts w:ascii="Arial" w:cs="Arial" w:eastAsia="Arial" w:hAnsi="Arial"/>
                <w:b w:val="false"/>
                <w:bCs w:val="false"/>
                <w:i w:val="false"/>
                <w:iCs w:val="false"/>
                <w:caps w:val="false"/>
                <w:color w:val="1A1A1A"/>
                <w:sz w:val="22"/>
                <w:szCs w:val="22"/>
              </w:rPr>
              <w:t xml:space="preserve">MEASURE E AGAINST POSITIONS, NOT AGAINST ASPIRATIONS: Elite overproduction is not about how many ambitious people exist. It is about the ratio of credentialed, ambitious people to the positions that can absorb their ambitions through legitimate channels. When that ratio rises above 1.5 to 1 and continues rising, the surplus will find illegitimate channels. Count the positions, not the people.</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3.  </w:t>
            </w:r>
            <w:r>
              <w:rPr>
                <w:rFonts w:ascii="Arial" w:cs="Arial" w:eastAsia="Arial" w:hAnsi="Arial"/>
                <w:b w:val="false"/>
                <w:bCs w:val="false"/>
                <w:i w:val="false"/>
                <w:iCs w:val="false"/>
                <w:caps w:val="false"/>
                <w:color w:val="1A1A1A"/>
                <w:sz w:val="22"/>
                <w:szCs w:val="22"/>
              </w:rPr>
              <w:t xml:space="preserve">PROTECT THE UPWARD INFORMATION CHANNEL AS A STRATEGIC ASSET: The governing class that suppresses uncomfortable information is governing blind. Every suppressed signal in the corpus became a larger crisis because it was suppressed. The Senate murdered Gracchus and got Caesar. The Japanese civilian government deferred to the Kwantung Army and got Pearl Harbor. Institutional honesty is not a moral luxury. It is the minimum condition for rational decision-making.</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4.  </w:t>
            </w:r>
            <w:r>
              <w:rPr>
                <w:rFonts w:ascii="Arial" w:cs="Arial" w:eastAsia="Arial" w:hAnsi="Arial"/>
                <w:b w:val="false"/>
                <w:bCs w:val="false"/>
                <w:i w:val="false"/>
                <w:iCs w:val="false"/>
                <w:caps w:val="false"/>
                <w:color w:val="1A1A1A"/>
                <w:sz w:val="22"/>
                <w:szCs w:val="22"/>
              </w:rPr>
              <w:t xml:space="preserve">IDENTIFY YOUR UNHEDGED OMEGA EXPOSURES AND HEDGE THEM BEFORE THE EVENT: Every unmanaged single-concentration Omega in the corpus eventually resolved. It resolved catastrophically. The Abbasid Caliphate survived centuries of political hollowing — until the Mongols arrived. Identify the single event that would end your system. Build the institutional response before the event, not after it.</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5.  </w:t>
            </w:r>
            <w:r>
              <w:rPr>
                <w:rFonts w:ascii="Arial" w:cs="Arial" w:eastAsia="Arial" w:hAnsi="Arial"/>
                <w:b w:val="false"/>
                <w:bCs w:val="false"/>
                <w:i w:val="false"/>
                <w:iCs w:val="false"/>
                <w:caps w:val="false"/>
                <w:color w:val="1A1A1A"/>
                <w:sz w:val="22"/>
                <w:szCs w:val="22"/>
              </w:rPr>
              <w:t xml:space="preserve">TREAT ASABIYYAH AS AN ENGINEERING PROBLEM, NOT AN INHERITANCE: Singapore demonstrates that A can be built from zero in sixty years through deliberate institutional design. Korea demonstrates that A can be rebuilt after catastrophic disruption through institutional consolidation and delivered compact. A is not a given. It is a maintained output. If you are not actively maintaining it, it is degrading.</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6.  </w:t>
            </w:r>
            <w:r>
              <w:rPr>
                <w:rFonts w:ascii="Arial" w:cs="Arial" w:eastAsia="Arial" w:hAnsi="Arial"/>
                <w:b w:val="false"/>
                <w:bCs w:val="false"/>
                <w:i w:val="false"/>
                <w:iCs w:val="false"/>
                <w:caps w:val="false"/>
                <w:color w:val="1A1A1A"/>
                <w:sz w:val="22"/>
                <w:szCs w:val="22"/>
              </w:rPr>
              <w:t xml:space="preserve">BUILD FOR SEPARABILITY FROM THE BEGINNING: The British Empire’s most durable contribution was not its power but the institutions it built that worked in other hands. Design your institutions to function without their founders. An institution that requires the founder’s presence to operate is not an institution. It is a dependency.</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7.  </w:t>
            </w:r>
            <w:r>
              <w:rPr>
                <w:rFonts w:ascii="Arial" w:cs="Arial" w:eastAsia="Arial" w:hAnsi="Arial"/>
                <w:b w:val="false"/>
                <w:bCs w:val="false"/>
                <w:i w:val="false"/>
                <w:iCs w:val="false"/>
                <w:caps w:val="false"/>
                <w:color w:val="1A1A1A"/>
                <w:sz w:val="22"/>
                <w:szCs w:val="22"/>
              </w:rPr>
              <w:t xml:space="preserve">THE WINDOW IS BETWEEN FIRST A-SIGNAL AND L-CRITICAL — ACT IN THAT WINDOW: The corpus record on recovery is specific. Civilisations recover when they intervene after A begins declining but before L crosses its critical threshold. Below that threshold with A simultaneously below 0.30, no recovery in the corpus record has succeeded. Know where you are in the sequence. Act before the window closes.</w:t>
            </w:r>
          </w:p>
        </w:tc>
      </w:tr>
    </w:tbl>
    <w:p>
      <w:pPr>
        <w:spacing w:after="120" w:before="0"/>
      </w:pPr>
    </w:p>
    <w:p>
      <w:pPr>
        <w:spacing w:after="80" w:before="0"/>
      </w:pPr>
    </w:p>
    <w:tbl>
      <w:tblPr>
        <w:tblW w:type="dxa" w:w="9360"/>
        <w:tblBorders>
          <w:top w:val="single" w:color="1B3A6B" w:sz="4"/>
          <w:left w:val="single" w:color="1B3A6B" w:sz="18"/>
          <w:bottom w:val="single" w:color="1B3A6B" w:sz="4"/>
          <w:right w:val="single" w:color="1B3A6B" w:sz="4"/>
          <w:insideH w:val="none"/>
          <w:insideV w:val="none"/>
        </w:tblBorders>
        <w:tblLayout w:type="fixed"/>
      </w:tblPr>
      <w:tblGrid>
        <w:gridCol w:w="9360"/>
      </w:tblGrid>
      <w:tr>
        <w:tc>
          <w:tcPr>
            <w:tcW w:type="dxa" w:w="9360"/>
            <w:shd w:fill="E8EEF7" w:color="auto" w:val="clear"/>
            <w:tcMar>
              <w:top w:type="dxa" w:w="120"/>
              <w:left w:type="dxa" w:w="200"/>
              <w:bottom w:type="dxa" w:w="120"/>
              <w:right w:type="dxa" w:w="200"/>
            </w:tcMar>
          </w:tcPr>
          <w:p>
            <w:pPr>
              <w:spacing w:after="40" w:before="60" w:line="300" w:lineRule="auto"/>
              <w:jc w:val="left"/>
            </w:pPr>
            <w:r>
              <w:rPr>
                <w:rFonts w:ascii="Arial" w:cs="Arial" w:eastAsia="Arial" w:hAnsi="Arial"/>
                <w:b w:val="false"/>
                <w:bCs w:val="false"/>
                <w:i/>
                <w:iCs/>
                <w:caps w:val="false"/>
                <w:color w:val="1B3A6B"/>
                <w:sz w:val="26"/>
                <w:szCs w:val="26"/>
              </w:rPr>
              <w:t xml:space="preserve">The civilisation that studies its own history clearly enough to read the variables in the present is the civilisation that has already done the hardest thing. The second hardest thing is acting on what it read.</w:t>
            </w:r>
          </w:p>
          <w:p>
            <w:pPr>
              <w:spacing w:after="60" w:before="60" w:line="276" w:lineRule="auto"/>
              <w:jc w:val="left"/>
            </w:pPr>
            <w:r>
              <w:rPr>
                <w:rFonts w:ascii="Arial" w:cs="Arial" w:eastAsia="Arial" w:hAnsi="Arial"/>
                <w:b w:val="false"/>
                <w:bCs w:val="false"/>
                <w:i w:val="false"/>
                <w:iCs w:val="false"/>
                <w:caps w:val="false"/>
                <w:color w:val="8B0000"/>
                <w:sz w:val="20"/>
                <w:szCs w:val="20"/>
              </w:rPr>
              <w:t xml:space="preserve">— CivilisationOS — meta-analytic synthesis, History Library Chapter 9</w:t>
            </w:r>
          </w:p>
        </w:tc>
      </w:tr>
    </w:tbl>
    <w:p>
      <w:pPr>
        <w:spacing w:after="120" w:before="0"/>
      </w:pPr>
    </w:p>
    <w:p>
      <w:pPr>
        <w:spacing w:after="160" w:before="0"/>
      </w:pP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history library holds these eight systems not as cautionary tales or triumph narratives but as operational data. Each one ran the experiment. Each one generated variable readings across its lifespan. Each one confirmed that the variables the equation tracks are the variables that matter — that the divergence between Rome's Republic and Rome's Empire, between the Tang at 700 CE and the Tang at 870 CE, between Singapore in 1965 and Singapore in 2026, can be read in the variable trajectories before it becomes visible in the historical outcome. That is what the history library is for: not to celebrate the past, but to make the present legible.</w:t>
      </w:r>
    </w:p>
    <w:p>
      <w:pPr>
        <w:spacing w:after="80" w:before="0"/>
      </w:pPr>
    </w:p>
    <w:tbl>
      <w:tblPr>
        <w:tblW w:type="dxa" w:w="9360"/>
        <w:tblBorders>
          <w:top w:val="single" w:color="1B5E20" w:sz="4"/>
          <w:left w:val="single" w:color="1B5E20" w:sz="18"/>
          <w:bottom w:val="single" w:color="1B5E20" w:sz="4"/>
          <w:right w:val="single" w:color="1B5E20" w:sz="4"/>
          <w:insideH w:val="none"/>
          <w:insideV w:val="none"/>
        </w:tblBorders>
        <w:tblLayout w:type="fixed"/>
      </w:tblPr>
      <w:tblGrid>
        <w:gridCol w:w="9360"/>
      </w:tblGrid>
      <w:tr>
        <w:tc>
          <w:tcPr>
            <w:tcW w:type="dxa" w:w="9360"/>
            <w:shd w:fill="E8F5E9"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1B5E20"/>
                <w:sz w:val="18"/>
                <w:szCs w:val="18"/>
              </w:rPr>
              <w:t xml:space="preserve">FIELD NOTE  —  HISTORY LIBRARY — OPERATIONAL SUMMARY</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1.  </w:t>
            </w:r>
            <w:r>
              <w:rPr>
                <w:rFonts w:ascii="Arial" w:cs="Arial" w:eastAsia="Arial" w:hAnsi="Arial"/>
                <w:b w:val="false"/>
                <w:bCs w:val="false"/>
                <w:i w:val="false"/>
                <w:iCs w:val="false"/>
                <w:caps w:val="false"/>
                <w:color w:val="1A1A1A"/>
                <w:sz w:val="22"/>
                <w:szCs w:val="22"/>
              </w:rPr>
              <w:t xml:space="preserve">Eight civilisations examined as operating systems across 2,500 years of recorded history</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2.  </w:t>
            </w:r>
            <w:r>
              <w:rPr>
                <w:rFonts w:ascii="Arial" w:cs="Arial" w:eastAsia="Arial" w:hAnsi="Arial"/>
                <w:b w:val="false"/>
                <w:bCs w:val="false"/>
                <w:i w:val="false"/>
                <w:iCs w:val="false"/>
                <w:caps w:val="false"/>
                <w:color w:val="1A1A1A"/>
                <w:sz w:val="22"/>
                <w:szCs w:val="22"/>
              </w:rPr>
              <w:t xml:space="preserve">Primary sources: WORLD_GREATBOOKS (Gibbon, Polybius, Toynbee, Ibn Khaldun); CHINESE_GREATBOOKS (dynastic histories); FA_RAG (British Empire and American strategic analysis); CNA_RAG (Singapore and ASEAN); NIKKEI_RAG (Japan economic history); KOREA_RAG (South Korea democratic transition); US_POLICY_RAG (American institutional analysis)</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3.  </w:t>
            </w:r>
            <w:r>
              <w:rPr>
                <w:rFonts w:ascii="Arial" w:cs="Arial" w:eastAsia="Arial" w:hAnsi="Arial"/>
                <w:b w:val="false"/>
                <w:bCs w:val="false"/>
                <w:i w:val="false"/>
                <w:iCs w:val="false"/>
                <w:caps w:val="false"/>
                <w:color w:val="1A1A1A"/>
                <w:sz w:val="22"/>
                <w:szCs w:val="22"/>
              </w:rPr>
              <w:t xml:space="preserve">Peak Phi readings in corpus: Singapore 0.72 (current); Rome 0.71 (Republican peak); Abbasid 0.81 K-reading (House of Wisdom era; overall Phi lower due to I constraints)</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4.  </w:t>
            </w:r>
            <w:r>
              <w:rPr>
                <w:rFonts w:ascii="Arial" w:cs="Arial" w:eastAsia="Arial" w:hAnsi="Arial"/>
                <w:b w:val="false"/>
                <w:bCs w:val="false"/>
                <w:i w:val="false"/>
                <w:iCs w:val="false"/>
                <w:caps w:val="false"/>
                <w:color w:val="1A1A1A"/>
                <w:sz w:val="22"/>
                <w:szCs w:val="22"/>
              </w:rPr>
              <w:t xml:space="preserve">Cross-civilisational patterns confirmed: I as load-bearing variable; E-overproduction preceding all major crises; slow-then-sudden collapse; K as slowest to build and fastest to destroy; dual-use institution as unavoidable feature of institutional complexity</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5.  </w:t>
            </w:r>
            <w:r>
              <w:rPr>
                <w:rFonts w:ascii="Arial" w:cs="Arial" w:eastAsia="Arial" w:hAnsi="Arial"/>
                <w:b w:val="false"/>
                <w:bCs w:val="false"/>
                <w:i w:val="false"/>
                <w:iCs w:val="false"/>
                <w:caps w:val="false"/>
                <w:color w:val="1A1A1A"/>
                <w:sz w:val="22"/>
                <w:szCs w:val="22"/>
              </w:rPr>
              <w:t xml:space="preserve">The corpus does not predict. It makes the present legible against the pattern of the past.</w:t>
            </w:r>
          </w:p>
        </w:tc>
      </w:tr>
    </w:tbl>
    <w:p>
      <w:pPr>
        <w:spacing w:after="120" w:before="0"/>
      </w:pPr>
    </w:p>
    <w:p>
      <w:pPr>
        <w:spacing w:after="60" w:before="60" w:line="300" w:lineRule="auto"/>
        <w:ind w:left="900" w:right="900"/>
        <w:jc w:val="center"/>
      </w:pPr>
      <w:r>
        <w:rPr>
          <w:rFonts w:ascii="Arial" w:cs="Arial" w:eastAsia="Arial" w:hAnsi="Arial"/>
          <w:b w:val="false"/>
          <w:bCs w:val="false"/>
          <w:i/>
          <w:iCs/>
          <w:caps w:val="false"/>
          <w:color w:val="1B3A6B"/>
          <w:sz w:val="24"/>
          <w:szCs w:val="24"/>
        </w:rPr>
        <w:t xml:space="preserve">History is not the record of what happened. It is the dataset from which the patterns of what is happening can be read.</w:t>
      </w:r>
    </w:p>
    <w:p>
      <w:pPr>
        <w:spacing w:after="240" w:before="60" w:line="276" w:lineRule="auto"/>
        <w:jc w:val="center"/>
      </w:pPr>
      <w:r>
        <w:rPr>
          <w:rFonts w:ascii="Arial" w:cs="Arial" w:eastAsia="Arial" w:hAnsi="Arial"/>
          <w:b w:val="false"/>
          <w:bCs w:val="false"/>
          <w:i w:val="false"/>
          <w:iCs w:val="false"/>
          <w:caps w:val="false"/>
          <w:color w:val="8B0000"/>
          <w:sz w:val="20"/>
          <w:szCs w:val="20"/>
        </w:rPr>
        <w:t xml:space="preserve">— undefined</w:t>
      </w:r>
    </w:p>
    <w:p>
      <w:pPr>
        <w:spacing w:after="160" w:before="0"/>
      </w:pPr>
    </w:p>
    <w:p>
      <w:r>
        <w:br w:type="page"/>
      </w:r>
    </w:p>
    <w:p>
      <w:r>
        <w:br w:type="page"/>
      </w:r>
    </w:p>
    <w:p>
      <w:pPr>
        <w:spacing w:after="2400" w:before="0"/>
      </w:pPr>
    </w:p>
    <w:p>
      <w:pPr>
        <w:spacing w:after="80" w:before="60" w:line="276" w:lineRule="auto"/>
        <w:jc w:val="center"/>
      </w:pPr>
      <w:r>
        <w:rPr>
          <w:rFonts w:ascii="Arial" w:cs="Arial" w:eastAsia="Arial" w:hAnsi="Arial"/>
          <w:b/>
          <w:bCs/>
          <w:i w:val="false"/>
          <w:iCs w:val="false"/>
          <w:caps/>
          <w:color w:val="8B0000"/>
          <w:sz w:val="22"/>
          <w:szCs w:val="22"/>
        </w:rPr>
        <w:t xml:space="preserve">Part Five</w:t>
      </w:r>
    </w:p>
    <w:p>
      <w:pPr>
        <w:pBdr>
          <w:bottom w:val="single" w:color="1B3A6B" w:sz="16" w:space="6"/>
        </w:pBdr>
        <w:spacing w:after="80" w:before="120"/>
        <w:jc w:val="left"/>
      </w:pPr>
      <w:r>
        <w:rPr>
          <w:rFonts w:ascii="Arial" w:cs="Arial" w:eastAsia="Arial" w:hAnsi="Arial"/>
          <w:b w:val="false"/>
          <w:bCs w:val="false"/>
          <w:i w:val="false"/>
          <w:iCs w:val="false"/>
          <w:caps w:val="false"/>
          <w:color w:val="1A1A1A"/>
          <w:sz w:val="22"/>
          <w:szCs w:val="22"/>
        </w:rPr>
        <w:t xml:space="preserve"/>
      </w:r>
    </w:p>
    <w:p>
      <w:pPr>
        <w:spacing w:after="120" w:before="120" w:line="300" w:lineRule="auto"/>
        <w:jc w:val="center"/>
      </w:pPr>
      <w:r>
        <w:rPr>
          <w:rFonts w:ascii="Arial" w:cs="Arial" w:eastAsia="Arial" w:hAnsi="Arial"/>
          <w:b/>
          <w:bCs/>
          <w:i w:val="false"/>
          <w:iCs w:val="false"/>
          <w:caps w:val="false"/>
          <w:color w:val="1B3A6B"/>
          <w:sz w:val="44"/>
          <w:szCs w:val="44"/>
        </w:rPr>
        <w:t xml:space="preserve">The Restart Protocol</w:t>
      </w:r>
    </w:p>
    <w:p>
      <w:pPr>
        <w:spacing w:after="120" w:before="60" w:line="276" w:lineRule="auto"/>
        <w:jc w:val="center"/>
      </w:pPr>
      <w:r>
        <w:rPr>
          <w:rFonts w:ascii="Arial" w:cs="Arial" w:eastAsia="Arial" w:hAnsi="Arial"/>
          <w:b w:val="false"/>
          <w:bCs w:val="false"/>
          <w:i/>
          <w:iCs/>
          <w:caps w:val="false"/>
          <w:color w:val="3A4652"/>
          <w:sz w:val="24"/>
          <w:szCs w:val="24"/>
        </w:rPr>
        <w:t xml:space="preserve">From Day Zero to the First Century</w:t>
      </w:r>
    </w:p>
    <w:p>
      <w:pPr>
        <w:pBdr>
          <w:bottom w:val="single" w:color="1B3A6B" w:sz="16" w:space="6"/>
        </w:pBdr>
        <w:spacing w:after="120" w:before="80"/>
        <w:jc w:val="left"/>
      </w:pPr>
      <w:r>
        <w:rPr>
          <w:rFonts w:ascii="Arial" w:cs="Arial" w:eastAsia="Arial" w:hAnsi="Arial"/>
          <w:b w:val="false"/>
          <w:bCs w:val="false"/>
          <w:i w:val="false"/>
          <w:iCs w:val="false"/>
          <w:caps w:val="false"/>
          <w:color w:val="1A1A1A"/>
          <w:sz w:val="22"/>
          <w:szCs w:val="22"/>
        </w:rPr>
        <w:t xml:space="preserve"/>
      </w:r>
    </w:p>
    <w:p>
      <w:pPr>
        <w:spacing w:after="400" w:before="0"/>
      </w:pPr>
    </w:p>
    <w:p>
      <w:pPr>
        <w:spacing w:after="60" w:before="60" w:line="300" w:lineRule="auto"/>
        <w:ind w:left="700" w:right="700"/>
        <w:jc w:val="center"/>
      </w:pPr>
      <w:r>
        <w:rPr>
          <w:rFonts w:ascii="Arial" w:cs="Arial" w:eastAsia="Arial" w:hAnsi="Arial"/>
          <w:b w:val="false"/>
          <w:bCs w:val="false"/>
          <w:i/>
          <w:iCs/>
          <w:caps w:val="false"/>
          <w:color w:val="3A4652"/>
          <w:sz w:val="22"/>
          <w:szCs w:val="22"/>
        </w:rPr>
        <w:t xml:space="preserve">The first thing you do when you have reached solid ground is take stock of what you have, not of what you have lost.</w:t>
      </w:r>
    </w:p>
    <w:p>
      <w:pPr>
        <w:spacing w:after="60" w:before="60" w:line="276" w:lineRule="auto"/>
        <w:jc w:val="center"/>
      </w:pPr>
      <w:r>
        <w:rPr>
          <w:rFonts w:ascii="Arial" w:cs="Arial" w:eastAsia="Arial" w:hAnsi="Arial"/>
          <w:b w:val="false"/>
          <w:bCs w:val="false"/>
          <w:i w:val="false"/>
          <w:iCs w:val="false"/>
          <w:caps w:val="false"/>
          <w:color w:val="8B0000"/>
          <w:sz w:val="18"/>
          <w:szCs w:val="18"/>
        </w:rPr>
        <w:t xml:space="preserve">— CivilisationOS Field Doctrine</w:t>
      </w:r>
    </w:p>
    <w:p>
      <w:r>
        <w:br w:type="page"/>
      </w:r>
    </w:p>
    <w:p>
      <w:pPr>
        <w:spacing w:after="160" w:before="0"/>
      </w:pP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12  </w:t>
      </w:r>
      <w:r>
        <w:rPr>
          <w:rFonts w:ascii="Arial" w:cs="Arial" w:eastAsia="Arial" w:hAnsi="Arial"/>
          <w:b w:val="false"/>
          <w:bCs w:val="false"/>
          <w:i w:val="false"/>
          <w:iCs w:val="false"/>
          <w:caps w:val="false"/>
          <w:color w:val="9AA5B1"/>
          <w:sz w:val="18"/>
          <w:szCs w:val="18"/>
        </w:rPr>
        <w:t xml:space="preserve">| The argument for ordered reconstruction</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Why Sequence Matters</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Most civilisational restarts fail not because the resources are insufficient, but because the sequence is wrong. The historical record is unambiguous on this point: every failed reconstruction effort in the modern era — from post-invasion Iraq to post-colonial state collapse across sub-Saharan Africa — committed the same category of error. It attempted to build later-order goods before the earlier-order foundations were in place.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Elections held before physical security exists produce electoral violence, not democracy. Schools built before food security is established produce scholars who starve, and then stop being scholars. Currency reform attempted before minimal institutional trust is in place produces hyperinflation or black markets, not exchange. The sequence is not arbitrary. It follows from the structure of what each variable requires in order to function.</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Seldon Framework — Phi(C,t) = [A^0.31 x K^0.22 x I^0.29 x L^0.18 x (1+xi)^0.12] / [1 + Omega^0.88 x E^0.44] — is not merely a measurement tool. The exponents encode sequence. I (institutions) at 0.29 and the denominator structure tell you that without minimal institutional predictability, every unit of A, K, and L you invest is partially dissipated. Omega's exponent of 0.88 — the highest in the formula — tells you that catastrophic risk is the fastest route back to zero; it must be managed even when resources are scarce.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correct priority order on Day Zero is: I first, so that decisions have legitimacy and coordination is possible. Then A, so that people choose cooperation over faction. Then K, so that the decisions being made are actually correct. Then L, which follows naturally from I, A, and K performing visibly. Then xi (network effects and scale), which compounds as the community grows. Then E management, as K institutions begin producing graduates and elite competition intensifies. Then Omega reduction, which requires international cooperation and can only be pursued once the domestic foundation is stable.</w:t>
      </w:r>
    </w:p>
    <w:p>
      <w:pPr>
        <w:spacing w:after="80" w:before="0"/>
      </w:pPr>
    </w:p>
    <w:tbl>
      <w:tblPr>
        <w:tblW w:type="dxa" w:w="9360"/>
        <w:tblBorders>
          <w:top w:val="single" w:color="1B3A6B" w:sz="4"/>
          <w:left w:val="single" w:color="1B3A6B" w:sz="18"/>
          <w:bottom w:val="single" w:color="1B3A6B" w:sz="4"/>
          <w:right w:val="single" w:color="1B3A6B" w:sz="4"/>
          <w:insideH w:val="none"/>
          <w:insideV w:val="none"/>
        </w:tblBorders>
        <w:tblLayout w:type="fixed"/>
      </w:tblPr>
      <w:tblGrid>
        <w:gridCol w:w="9360"/>
      </w:tblGrid>
      <w:tr>
        <w:tc>
          <w:tcPr>
            <w:tcW w:type="dxa" w:w="9360"/>
            <w:shd w:fill="E8EEF7" w:color="auto" w:val="clear"/>
            <w:tcMar>
              <w:top w:type="dxa" w:w="120"/>
              <w:left w:type="dxa" w:w="200"/>
              <w:bottom w:type="dxa" w:w="120"/>
              <w:right w:type="dxa" w:w="200"/>
            </w:tcMar>
          </w:tcPr>
          <w:p>
            <w:pPr>
              <w:spacing w:after="40" w:before="60" w:line="300" w:lineRule="auto"/>
              <w:jc w:val="left"/>
            </w:pPr>
            <w:r>
              <w:rPr>
                <w:rFonts w:ascii="Arial" w:cs="Arial" w:eastAsia="Arial" w:hAnsi="Arial"/>
                <w:b w:val="false"/>
                <w:bCs w:val="false"/>
                <w:i/>
                <w:iCs/>
                <w:caps w:val="false"/>
                <w:color w:val="1B3A6B"/>
                <w:sz w:val="26"/>
                <w:szCs w:val="26"/>
              </w:rPr>
              <w:t xml:space="preserve">The sequence is not a preference. It is load-bearing. Build in the wrong order and the structure collapses. Build in the right order and each stage reinforces the next.</w:t>
            </w:r>
          </w:p>
          <w:p>
            <w:pPr>
              <w:spacing w:after="60" w:before="60" w:line="276" w:lineRule="auto"/>
              <w:jc w:val="left"/>
            </w:pPr>
            <w:r>
              <w:rPr>
                <w:rFonts w:ascii="Arial" w:cs="Arial" w:eastAsia="Arial" w:hAnsi="Arial"/>
                <w:b w:val="false"/>
                <w:bCs w:val="false"/>
                <w:i w:val="false"/>
                <w:iCs w:val="false"/>
                <w:caps w:val="false"/>
                <w:color w:val="8B0000"/>
                <w:sz w:val="20"/>
                <w:szCs w:val="20"/>
              </w:rPr>
              <w:t xml:space="preserve">— CivilisationOS — The Restart Protocol</w:t>
            </w:r>
          </w:p>
        </w:tc>
      </w:tr>
    </w:tbl>
    <w:p>
      <w:pPr>
        <w:spacing w:after="120" w:before="0"/>
      </w:pP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Singapore 1965 is the corpus's best single case study. Expelled from Malaysia, with no natural resources, an ethnically fragmented population, surrounded by larger and hostile neighbours, Lee Kuan Yew's government faced a genuine Day Zero. The documented record of that government's choices — public housing before political liberalisation, Mandarin-language policy before democratic contestation, the Economic Development Board before the ballot box — was not cynicism. It was correct sequencing. The results over fifty years are the empirical answer to those who argued for a different order.</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Germany 1945-1949 offers the same lesson from a different direction. The Grundgesetz was not drafted immediately after VE-Day. It came after four years of Allied administration had established physical security, begun the denazification of institutions, and initiated the Marshall Plan's K-investment. The currency reform of 1948 — which replaced the Reichsmark with the Deutschmark and instantly activated market exchange — preceded the Basic Law by a year. The founding fathers of the Federal Republic knew that L (legitimacy) could only be deposited after people had experienced functional governance. They were right.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Rwanda 1994-2024 is a harder case. The Kagame administration built A and K with extraordinary speed from the rubble of genocide. But the suppression of political competition and constraint on L-through-voice creates fragility that compounds over time. The lesson is not that the Kagame sequence is the model; it is that A and K can be rebuilt faster than conventional wisdom holds, and that the costs of a compromised I-foundation accumulate rather than dissipate. A restart that achieves 0.65 Phi through repression rather than legitimacy has a hidden liability on its balance sheet.</w:t>
      </w:r>
    </w:p>
    <w:p>
      <w:r>
        <w:br w:type="pag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1  </w:t>
      </w:r>
      <w:r>
        <w:rPr>
          <w:rFonts w:ascii="Arial" w:cs="Arial" w:eastAsia="Arial" w:hAnsi="Arial"/>
          <w:b w:val="false"/>
          <w:bCs w:val="false"/>
          <w:i w:val="false"/>
          <w:iCs w:val="false"/>
          <w:caps w:val="false"/>
          <w:color w:val="9AA5B1"/>
          <w:sz w:val="18"/>
          <w:szCs w:val="18"/>
        </w:rPr>
        <w:t xml:space="preserve">| Hours 0 to 72</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Day Zero — The First 72 Hours</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Day Zero is defined as the first moment of functional authority: the hour when someone, somewhere, has enough control over a defined area to make and enforce a decision. It may be a general, a mayor, a council of elders, a relief coordinator, or a committee of survivors. It does not matter. What matters is that this authority is visible, that its rules are stated, and that it is enforced consistently.</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What Matters in the First 72 Hours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first 72 hours are a triage problem, not a governance problem. The question is not what kind of society to build. The question is whether there will be a society to build. Four material requirements must be secured in this order: physical safety (the perimeter within which governance will function), water (potable supply for the population inside the perimeter), food (minimum caloric supply to maintain cognitive function and prevent panic), and communication (a channel to tell people what is known, what is being done, and what the rules are). Power and shelter follow, but do not precede the first four.</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Simultaneously, the governing authority must conduct a rapid human capital triage. Before the first 72 hours end, the authority should have identified — by name — every doctor, nurse, or paramedic available; every engineer with civil, mechanical, or electrical competence; every experienced administrator or logistics coordinator; every teacher; and every person with significant stockpiles of food, fuel, medicine, or tools. These people are the K-foundation on which everything else will be built. Their locations, their skills, and their willingness to cooperate must be known.</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What Not to Do</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Three temptations must be resisted in the first 72 hours. The first is the temptation to restore everything simultaneously — to attempt to restart all services, all institutions, and all social functions at once. This dissipates authority and produces the appearance of action without its substance. Concentrate force on the critical path. The second is the temptation to convene a constitutional assembly, hold elections, or establish a permanent governance structure before the population is fed and secured. Legitimacy is earned through performance; it cannot be conferred through procedure when survival is in doubt. The third is the temptation to maintain the map of the old order — the pre-collapse administrative boundaries, hierarchies, and rules. New realities require new maps. The authority that insists on restoring the pre-collapse structure to pre-collapse specifications will spend its energy on a ghost rather than a future.</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The I-Seed</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Institutions do not require democracy to function at Day Zero. They require predictability. The I-seed is the minimum viable institutional statement: here are the rules, here is who enforces them, here is what happens when they are broken. The content of the rules matters less than their consistency and visibility. A curfew enforced uniformly is more valuable for I-building than a sophisticated legal code enforced arbitrarily. The first institutional act of the governing authority should be a visible, specific, and honoured commitment — even something as simple as 'the water distribution point opens at 0600 and closes at 1800, and every household gets two litres per person' — because keeping that commitment is the first I-deposit in the legitimacy bank.</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The K-Triage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Five knowledge domains are critical to survival and must be secured as priority in the first 72 hours. Medical knowledge (diagnosis, wound care, infection control, childbirth support). Agricultural knowledge (what can be planted, when, in the available soil, with available water). Energy knowledge (how to maintain or restore minimal power, including non-electrical alternatives). Water knowledge (sources, purification methods, distribution without infrastructure). Communication knowledge (how to send and receive information across the available geography). People who hold these competencies must be located, protected, and integrated into the governing authority's operations before anything else is attempted.</w:t>
      </w:r>
    </w:p>
    <w:p>
      <w:pPr>
        <w:spacing w:after="80" w:before="0"/>
      </w:pPr>
    </w:p>
    <w:tbl>
      <w:tblPr>
        <w:tblW w:type="dxa" w:w="9360"/>
        <w:tblBorders>
          <w:top w:val="single" w:color="1B5E20" w:sz="4"/>
          <w:left w:val="single" w:color="1B5E20" w:sz="18"/>
          <w:bottom w:val="single" w:color="1B5E20" w:sz="4"/>
          <w:right w:val="single" w:color="1B5E20" w:sz="4"/>
          <w:insideH w:val="none"/>
          <w:insideV w:val="none"/>
        </w:tblBorders>
        <w:tblLayout w:type="fixed"/>
      </w:tblPr>
      <w:tblGrid>
        <w:gridCol w:w="9360"/>
      </w:tblGrid>
      <w:tr>
        <w:tc>
          <w:tcPr>
            <w:tcW w:type="dxa" w:w="9360"/>
            <w:shd w:fill="E8F5E9"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1B5E20"/>
                <w:sz w:val="18"/>
                <w:szCs w:val="18"/>
              </w:rPr>
              <w:t xml:space="preserve">FIELD NOTE  —  DAY ZERO CHECKLIST — Actions in Sequence</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1.  </w:t>
            </w:r>
            <w:r>
              <w:rPr>
                <w:rFonts w:ascii="Arial" w:cs="Arial" w:eastAsia="Arial" w:hAnsi="Arial"/>
                <w:b w:val="false"/>
                <w:bCs w:val="false"/>
                <w:i w:val="false"/>
                <w:iCs w:val="false"/>
                <w:caps w:val="false"/>
                <w:color w:val="1A1A1A"/>
                <w:sz w:val="22"/>
                <w:szCs w:val="22"/>
              </w:rPr>
              <w:t xml:space="preserve">1. Establish a physical perimeter within which authority can be maintained. Define it clearly. Post it. Enforce it.</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2.  </w:t>
            </w:r>
            <w:r>
              <w:rPr>
                <w:rFonts w:ascii="Arial" w:cs="Arial" w:eastAsia="Arial" w:hAnsi="Arial"/>
                <w:b w:val="false"/>
                <w:bCs w:val="false"/>
                <w:i w:val="false"/>
                <w:iCs w:val="false"/>
                <w:caps w:val="false"/>
                <w:color w:val="1A1A1A"/>
                <w:sz w:val="22"/>
                <w:szCs w:val="22"/>
              </w:rPr>
              <w:t xml:space="preserve">2. Locate all potable water sources within the perimeter. Establish a distribution point. Assign a responsible person.</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3.  </w:t>
            </w:r>
            <w:r>
              <w:rPr>
                <w:rFonts w:ascii="Arial" w:cs="Arial" w:eastAsia="Arial" w:hAnsi="Arial"/>
                <w:b w:val="false"/>
                <w:bCs w:val="false"/>
                <w:i w:val="false"/>
                <w:iCs w:val="false"/>
                <w:caps w:val="false"/>
                <w:color w:val="1A1A1A"/>
                <w:sz w:val="22"/>
                <w:szCs w:val="22"/>
              </w:rPr>
              <w:t xml:space="preserve">3. Conduct a food inventory. Centralise what exists. Issue a clear rationing statement — who gets what and when.</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4.  </w:t>
            </w:r>
            <w:r>
              <w:rPr>
                <w:rFonts w:ascii="Arial" w:cs="Arial" w:eastAsia="Arial" w:hAnsi="Arial"/>
                <w:b w:val="false"/>
                <w:bCs w:val="false"/>
                <w:i w:val="false"/>
                <w:iCs w:val="false"/>
                <w:caps w:val="false"/>
                <w:color w:val="1A1A1A"/>
                <w:sz w:val="22"/>
                <w:szCs w:val="22"/>
              </w:rPr>
              <w:t xml:space="preserve">4. Open a communication channel: a posting board, a radio frequency, a daily assembly. State the rules. State them again.</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5.  </w:t>
            </w:r>
            <w:r>
              <w:rPr>
                <w:rFonts w:ascii="Arial" w:cs="Arial" w:eastAsia="Arial" w:hAnsi="Arial"/>
                <w:b w:val="false"/>
                <w:bCs w:val="false"/>
                <w:i w:val="false"/>
                <w:iCs w:val="false"/>
                <w:caps w:val="false"/>
                <w:color w:val="1A1A1A"/>
                <w:sz w:val="22"/>
                <w:szCs w:val="22"/>
              </w:rPr>
              <w:t xml:space="preserve">5. Identify by name every doctor, nurse, engineer, agriculturalist, administrator, and teacher within the perimeter.</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6.  </w:t>
            </w:r>
            <w:r>
              <w:rPr>
                <w:rFonts w:ascii="Arial" w:cs="Arial" w:eastAsia="Arial" w:hAnsi="Arial"/>
                <w:b w:val="false"/>
                <w:bCs w:val="false"/>
                <w:i w:val="false"/>
                <w:iCs w:val="false"/>
                <w:caps w:val="false"/>
                <w:color w:val="1A1A1A"/>
                <w:sz w:val="22"/>
                <w:szCs w:val="22"/>
              </w:rPr>
              <w:t xml:space="preserve">6. Designate a single decision-making authority. Name it publicly. Specify the scope of its authority.</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7.  </w:t>
            </w:r>
            <w:r>
              <w:rPr>
                <w:rFonts w:ascii="Arial" w:cs="Arial" w:eastAsia="Arial" w:hAnsi="Arial"/>
                <w:b w:val="false"/>
                <w:bCs w:val="false"/>
                <w:i w:val="false"/>
                <w:iCs w:val="false"/>
                <w:caps w:val="false"/>
                <w:color w:val="1A1A1A"/>
                <w:sz w:val="22"/>
                <w:szCs w:val="22"/>
              </w:rPr>
              <w:t xml:space="preserve">7. Make one specific, visible, institutional commitment. Keep it. This is the first L-deposit.</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8.  </w:t>
            </w:r>
            <w:r>
              <w:rPr>
                <w:rFonts w:ascii="Arial" w:cs="Arial" w:eastAsia="Arial" w:hAnsi="Arial"/>
                <w:b w:val="false"/>
                <w:bCs w:val="false"/>
                <w:i w:val="false"/>
                <w:iCs w:val="false"/>
                <w:caps w:val="false"/>
                <w:color w:val="1A1A1A"/>
                <w:sz w:val="22"/>
                <w:szCs w:val="22"/>
              </w:rPr>
              <w:t xml:space="preserve">8. Record everything: who is here, what they know, what resources exist. The census begins now.</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9.  </w:t>
            </w:r>
            <w:r>
              <w:rPr>
                <w:rFonts w:ascii="Arial" w:cs="Arial" w:eastAsia="Arial" w:hAnsi="Arial"/>
                <w:b w:val="false"/>
                <w:bCs w:val="false"/>
                <w:i w:val="false"/>
                <w:iCs w:val="false"/>
                <w:caps w:val="false"/>
                <w:color w:val="1A1A1A"/>
                <w:sz w:val="22"/>
                <w:szCs w:val="22"/>
              </w:rPr>
              <w:t xml:space="preserve">9. Identify and neutralise the three most acute sources of internal conflict (resource disputes, territorial claims, personal vendettas) before they escalate.</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10.  </w:t>
            </w:r>
            <w:r>
              <w:rPr>
                <w:rFonts w:ascii="Arial" w:cs="Arial" w:eastAsia="Arial" w:hAnsi="Arial"/>
                <w:b w:val="false"/>
                <w:bCs w:val="false"/>
                <w:i w:val="false"/>
                <w:iCs w:val="false"/>
                <w:caps w:val="false"/>
                <w:color w:val="1A1A1A"/>
                <w:sz w:val="22"/>
                <w:szCs w:val="22"/>
              </w:rPr>
              <w:t xml:space="preserve">10. Designate a location for complaint, appeal, and information — the first proto-court. Open it within 24 hours.</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11.  </w:t>
            </w:r>
            <w:r>
              <w:rPr>
                <w:rFonts w:ascii="Arial" w:cs="Arial" w:eastAsia="Arial" w:hAnsi="Arial"/>
                <w:b w:val="false"/>
                <w:bCs w:val="false"/>
                <w:i w:val="false"/>
                <w:iCs w:val="false"/>
                <w:caps w:val="false"/>
                <w:color w:val="1A1A1A"/>
                <w:sz w:val="22"/>
                <w:szCs w:val="22"/>
              </w:rPr>
              <w:t xml:space="preserve">11. Do not promise what cannot be delivered. Every broken promise in the first 72 hours costs ten kept promises to recover.</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12.  </w:t>
            </w:r>
            <w:r>
              <w:rPr>
                <w:rFonts w:ascii="Arial" w:cs="Arial" w:eastAsia="Arial" w:hAnsi="Arial"/>
                <w:b w:val="false"/>
                <w:bCs w:val="false"/>
                <w:i w:val="false"/>
                <w:iCs w:val="false"/>
                <w:caps w:val="false"/>
                <w:color w:val="1A1A1A"/>
                <w:sz w:val="22"/>
                <w:szCs w:val="22"/>
              </w:rPr>
              <w:t xml:space="preserve">12. Plan for 72 hours ahead, not for the year ahead. The governance problem changes every 72 hours.</w:t>
            </w:r>
          </w:p>
        </w:tc>
      </w:tr>
    </w:tbl>
    <w:p>
      <w:pPr>
        <w:spacing w:after="120" w:before="0"/>
      </w:pPr>
    </w:p>
    <w:p>
      <w:r>
        <w:br w:type="pag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2  </w:t>
      </w:r>
      <w:r>
        <w:rPr>
          <w:rFonts w:ascii="Arial" w:cs="Arial" w:eastAsia="Arial" w:hAnsi="Arial"/>
          <w:b w:val="false"/>
          <w:bCs w:val="false"/>
          <w:i w:val="false"/>
          <w:iCs w:val="false"/>
          <w:caps w:val="false"/>
          <w:color w:val="9AA5B1"/>
          <w:sz w:val="18"/>
          <w:szCs w:val="18"/>
        </w:rPr>
        <w:t xml:space="preserve">| Days 1 to 7</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First Week</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The first week is the moment when the Day Zero arrangements either consolidate or collapse. The governing authority must make ambiguity about authority the first casualty of the week. It must make visible service delivery the week's defining statement. And it must begin the systematic cataloguing of surviving knowledge before the people who hold it disperse, die, or disengage.</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Authority Must Be Explicit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Ambiguity about who is in charge kills people in the first week. Not metaphorically — literally. When two factions both claim authority over a resource allocation, the dispute resolution defaults to physical force. When no one claims authority over a medical emergency, the response is paralysed. The governing authority must, by the end of Day One, state publicly and clearly: who makes decisions of which type, what process is used when decision-makers disagree, and what recourse exists for those who believe a decision is wrong. The process need not be democratic. It must be known.</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Legitimacy Through Performance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first act of governance in the first week should be a visible service delivery. Not a speech, not a declaration, not a manifesto — a service. Food distributed fairly. Medical care provided to someone who needed it. A dispute resolved visibly and consistently. This is the L-mechanism in action: people grant legitimacy to institutions that produce outcomes they value, when those outcomes are visible and attributed to the institution's action. The governing authority should choose its first service delivery act deliberately, execute it well, and ensure that the population knows who did it and why. The A-dividend from a successful first service delivery is larger than any amount of rhetoric.</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Cataloguing Surviving Knowledge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knowledge inventory is the most time-sensitive task of the first week. People with critical competencies are mobile, vulnerable, and in demand from multiple parties. The governing authority must conduct structured interviews with every identified knowledge-holder before the end of the week: what do you know how to do, what tools or materials do you need, what would you need to teach someone else what you know, and what do you know about others in the area who have similar or complementary competencies. The output is a K-register: a written record of available human capital, indexed by domain and accessibility. This register becomes the planning input for everything that follows.</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Managing E-Pressure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Elite Competition variable (E) is acutest in the first week because the gap between the number of positions of authority and the number of people who want them is at its maximum. In a population of a thousand people, there may be fifty who believe they should be in charge. In the absence of a legitimate allocation mechanism, this competition becomes factional and then violent. The governing authority must establish transparent allocation criteria — who gets authority over what, based on what qualification, adjudicated by whom — before the competition produces its first open breach. The criterion need not be merit. It must be known and applied consistently.</w:t>
      </w:r>
    </w:p>
    <w:p>
      <w:pPr>
        <w:spacing w:after="80" w:before="0"/>
      </w:pPr>
    </w:p>
    <w:tbl>
      <w:tblPr>
        <w:tblW w:type="dxa" w:w="9360"/>
        <w:tblBorders>
          <w:top w:val="single" w:color="7A4F01" w:sz="4"/>
          <w:left w:val="single" w:color="7A4F01" w:sz="18"/>
          <w:bottom w:val="single" w:color="7A4F01" w:sz="4"/>
          <w:right w:val="single" w:color="7A4F01" w:sz="4"/>
          <w:insideH w:val="none"/>
          <w:insideV w:val="none"/>
        </w:tblBorders>
        <w:tblLayout w:type="fixed"/>
      </w:tblPr>
      <w:tblGrid>
        <w:gridCol w:w="9360"/>
      </w:tblGrid>
      <w:tr>
        <w:tc>
          <w:tcPr>
            <w:tcW w:type="dxa" w:w="9360"/>
            <w:shd w:fill="FFF6E0"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7A4F01"/>
                <w:sz w:val="18"/>
                <w:szCs w:val="18"/>
              </w:rPr>
              <w:t xml:space="preserve">THE FIRST-WEEK TRAPS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TRAP 1: PREMATURE CONSTITUTION. Convening a governance design process before physical security and food supply are secured diverts the attention of critical people to a problem that can wait, while problems that cannot wait go unmanaged.</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TRAP 2: THE ELOQUENT OUTSIDER. External actors — relief organisations, foreign governments, well-resourced diaspora — will arrive in the first week with resources and agendas. Accept material assistance; resist governance substitution. Authority that is lent from outside cannot be owned from inside, and cannot be legitimated through performance.</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TRAP 3: THE REVENGE PRIORITY. The temptation to use the first week's authority to settle pre-collapse scores is almost universal and almost always catastrophic. Every unit of governing capacity spent on retribution is a unit not spent on survival. The time for justice is after the time for survival. Conflating them accelerates collapse.</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TRAP 4: THE PROMISE INFLATION. Governing authorities under pressure make large promises to maintain support. Every promise that is not kept deposits a negative L-balance that requires multiple future deliveries to offset. Promise less than you can deliver, then exceed the promise.</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TRAP 5: THE INFORMATION BLACKOUT. The instinct to withhold bad news — about food stocks, about security threats, about the true state of the situation — is natural and wrong. Populations that do not trust the governing authority's information channel will develop parallel information channels that are less accurate and more destabilising. Report what is known, including what is not known.</w:t>
            </w:r>
          </w:p>
        </w:tc>
      </w:tr>
    </w:tbl>
    <w:p>
      <w:pPr>
        <w:spacing w:after="120" w:before="0"/>
      </w:pPr>
    </w:p>
    <w:p>
      <w:r>
        <w:br w:type="pag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3  </w:t>
      </w:r>
      <w:r>
        <w:rPr>
          <w:rFonts w:ascii="Arial" w:cs="Arial" w:eastAsia="Arial" w:hAnsi="Arial"/>
          <w:b w:val="false"/>
          <w:bCs w:val="false"/>
          <w:i w:val="false"/>
          <w:iCs w:val="false"/>
          <w:caps w:val="false"/>
          <w:color w:val="9AA5B1"/>
          <w:sz w:val="18"/>
          <w:szCs w:val="18"/>
        </w:rPr>
        <w:t xml:space="preserve">| Days 7 to 30</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First Month</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The first month is the institution-building window. The emergency arrangements of the first week must be converted into durable structures, or they will decay. Three institutions must be built in the first month, in this order: a dispute resolution mechanism, a resource allocation mechanism, and a communication channel. Each addresses the most acute failure mode of the first month.</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The Three First-Month Institutions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dispute resolution mechanism — a court, a council, a panel of elders, any body with agreed rules and enforcement capacity — is the first institution because without it, personal violence is the default dispute resolution method. The body need not be sophisticated. It needs clear jurisdiction (what disputes it hears), clear procedure (how it hears them), clear authority (whose decision is final), and enforcement capacity (how its decisions are implemented). A three-person council meeting twice a week, applying stated rules, with decisions recorded in writing, meets the minimum specification.</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resource allocation mechanism — the treasury function — is the second institution because without it, hoarding begins. When there is no predictable system for who gets what and why, rational actors maximise their immediate holdings rather than contributing to common pools. The result is that common resources disappear faster than their underlying supply warrants, and inequality of access accelerates. The minimum mechanism is a stated allocation rule, a record of what has been distributed to whom, and a process for appeal. Currency or formal accounting is not required at this stage; transparent record-keeping is.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communication channel is the third institution because without upward information flow, the governing authority begins to lose touch with reality within weeks. The rulers' information environment becomes filtered by intermediaries who have incentives to report what the rulers want to hear. The L-erosion that follows is not immediately visible but is structurally irreversible once it takes hold. The minimum mechanism is a daily information posting, a weekly open session at which any member of the population can speak, and a written record of what was said and what response was given.</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The Knowledge Documentation Project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K-register developed in the first week must now be expanded into a documentation project. While the people who hold critical knowledge are alive and accessible, that knowledge must be transferred to a form that survives them. This means: structured interviews recorded in writing (not only in living memory); demonstration sessions in which knowledge-holders teach at least two other people their core competencies; written protocols for the most critical procedures (water purification, wound care, seed selection, structural repair); and a physical archive — paper, if nothing else — stored in at least two separate locations. The governing authority should designate a person responsible for this project within the first month and protect their time for it.</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The Asabiyyah Project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Ibn Khaldun's original insight was that shared struggle produces the social cohesion that makes collective action possible. The corollary for restart is this: the first civic project — road repair, water system construction, fortification, planting — is more valuable for the A it produces than for the physical output it generates. A work team that spends three days clearing rubble together has, at the end of three days, a physical output (cleared rubble) and a social output (the network of reciprocal obligation, shared experience, and mutual knowledge that is the foundation of asabiyyah). The social output compounds. The physical output depreciates. The governing authority should design the first civic project primarily for its A-generation properties: mixed composition across prior factional lines, visible and valued by the whole population, completed in a short enough time frame to provide a shared achievement before fatigue sets in.</w:t>
      </w:r>
    </w:p>
    <w:p>
      <w:pPr>
        <w:spacing w:after="80" w:before="0"/>
      </w:pPr>
    </w:p>
    <w:tbl>
      <w:tblPr>
        <w:tblW w:type="dxa" w:w="9360"/>
        <w:tblBorders>
          <w:top w:val="single" w:color="1B5E20" w:sz="4"/>
          <w:left w:val="single" w:color="1B5E20" w:sz="18"/>
          <w:bottom w:val="single" w:color="1B5E20" w:sz="4"/>
          <w:right w:val="single" w:color="1B5E20" w:sz="4"/>
          <w:insideH w:val="none"/>
          <w:insideV w:val="none"/>
        </w:tblBorders>
        <w:tblLayout w:type="fixed"/>
      </w:tblPr>
      <w:tblGrid>
        <w:gridCol w:w="9360"/>
      </w:tblGrid>
      <w:tr>
        <w:tc>
          <w:tcPr>
            <w:tcW w:type="dxa" w:w="9360"/>
            <w:shd w:fill="E8F5E9"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1B5E20"/>
                <w:sz w:val="18"/>
                <w:szCs w:val="18"/>
              </w:rPr>
              <w:t xml:space="preserve">FIELD NOTE  —  THE THREE INSTITUTIONS — Minimum Viable Specification</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1.  </w:t>
            </w:r>
            <w:r>
              <w:rPr>
                <w:rFonts w:ascii="Arial" w:cs="Arial" w:eastAsia="Arial" w:hAnsi="Arial"/>
                <w:b w:val="false"/>
                <w:bCs w:val="false"/>
                <w:i w:val="false"/>
                <w:iCs w:val="false"/>
                <w:caps w:val="false"/>
                <w:color w:val="1A1A1A"/>
                <w:sz w:val="22"/>
                <w:szCs w:val="22"/>
              </w:rPr>
              <w:t xml:space="preserve">DISPUTE RESOLUTION: Stated jurisdiction. Stated procedure. Named decision-makers. Written record of decisions. Enforcement mechanism. Sitting schedule posted publicly.</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2.  </w:t>
            </w:r>
            <w:r>
              <w:rPr>
                <w:rFonts w:ascii="Arial" w:cs="Arial" w:eastAsia="Arial" w:hAnsi="Arial"/>
                <w:b w:val="false"/>
                <w:bCs w:val="false"/>
                <w:i w:val="false"/>
                <w:iCs w:val="false"/>
                <w:caps w:val="false"/>
                <w:color w:val="1A1A1A"/>
                <w:sz w:val="22"/>
                <w:szCs w:val="22"/>
              </w:rPr>
              <w:t xml:space="preserve">RESOURCE ALLOCATION: Stated allocation rule (per capita, per household, by need — choose one and state it). Written ledger of distributions. Named custodian. Appeal process. Public posting of aggregate stocks and distributions.</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3.  </w:t>
            </w:r>
            <w:r>
              <w:rPr>
                <w:rFonts w:ascii="Arial" w:cs="Arial" w:eastAsia="Arial" w:hAnsi="Arial"/>
                <w:b w:val="false"/>
                <w:bCs w:val="false"/>
                <w:i w:val="false"/>
                <w:iCs w:val="false"/>
                <w:caps w:val="false"/>
                <w:color w:val="1A1A1A"/>
                <w:sz w:val="22"/>
                <w:szCs w:val="22"/>
              </w:rPr>
              <w:t xml:space="preserve">COMMUNICATION CHANNEL: Daily information posting at a fixed public location. Weekly open session, open to all, with a written record. Named information officer responsible for accuracy. Stated policy on what information will be withheld and why.</w:t>
            </w:r>
          </w:p>
        </w:tc>
      </w:tr>
    </w:tbl>
    <w:p>
      <w:pPr>
        <w:spacing w:after="120" w:before="0"/>
      </w:pPr>
    </w:p>
    <w:p>
      <w:r>
        <w:br w:type="pag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4  </w:t>
      </w:r>
      <w:r>
        <w:rPr>
          <w:rFonts w:ascii="Arial" w:cs="Arial" w:eastAsia="Arial" w:hAnsi="Arial"/>
          <w:b w:val="false"/>
          <w:bCs w:val="false"/>
          <w:i w:val="false"/>
          <w:iCs w:val="false"/>
          <w:caps w:val="false"/>
          <w:color w:val="9AA5B1"/>
          <w:sz w:val="18"/>
          <w:szCs w:val="18"/>
        </w:rPr>
        <w:t xml:space="preserve">| Month 1 to Month 12</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Year One</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By the end of the first month, the governing authority has a perimeter, a K-register, three proto-institutions, and a first L-deposit. Year One is the transition from survival to governance — from keeping people alive to building the structures that will keep them thriving. This requires a governance dashboard, a currency decision, a census, and a first compact.</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The Seven-Variable Governance Dashboard</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Every month of Year One, the governing authority must conduct a structured assessment of all seven Seldon variables. This is not a bureaucratic exercise. It is the instrument reading that tells the pilot whether the aircraft is climbing or descending. The assessment need not be quantitatively precise; it must be directionally honest. A five-point scale (collapsing, declining, stable, improving, strong) applied consistently each month is sufficient to identify the trend lines that matter.</w:t>
      </w:r>
    </w:p>
    <w:p>
      <w:pPr>
        <w:spacing w:after="60" w:before="0"/>
      </w:pPr>
    </w:p>
    <w:tbl>
      <w:tblPr>
        <w:tblW w:type="dxa" w:w="9360"/>
        <w:tblBorders>
          <w:top w:val="single" w:color="9AA5B1" w:sz="2"/>
          <w:left w:val="single" w:color="9AA5B1" w:sz="2"/>
          <w:bottom w:val="single" w:color="9AA5B1" w:sz="2"/>
          <w:right w:val="single" w:color="9AA5B1" w:sz="2"/>
          <w:insideH w:val="single" w:color="D5DCE5" w:sz="1"/>
          <w:insideV w:val="single" w:color="D5DCE5" w:sz="1"/>
        </w:tblBorders>
        <w:tblLayout w:type="fixed"/>
      </w:tblPr>
      <w:tblGrid>
        <w:gridCol w:w="2400"/>
        <w:gridCol w:w="1200"/>
        <w:gridCol w:w="1300"/>
        <w:gridCol w:w="1500"/>
        <w:gridCol w:w="2960"/>
      </w:tblGrid>
      <w:tr>
        <w:trPr>
          <w:tblHeader/>
        </w:trPr>
        <w:tc>
          <w:tcPr>
            <w:tcW w:type="dxa" w:w="24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Variable</w:t>
            </w:r>
          </w:p>
        </w:tc>
        <w:tc>
          <w:tcPr>
            <w:tcW w:type="dxa" w:w="12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Symbol</w:t>
            </w:r>
          </w:p>
        </w:tc>
        <w:tc>
          <w:tcPr>
            <w:tcW w:type="dxa" w:w="13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Reading</w:t>
            </w:r>
          </w:p>
        </w:tc>
        <w:tc>
          <w:tcPr>
            <w:tcW w:type="dxa" w:w="15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Trend</w:t>
            </w:r>
          </w:p>
        </w:tc>
        <w:tc>
          <w:tcPr>
            <w:tcW w:type="dxa" w:w="296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Primary Evidence</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Asabiyyah</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Is cross-factional cooperation increasing or decreasing? Are shared work projects happening? Are inter-group marriages, trade, and social events occurring?</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TREND</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Civic project participation rates; complaint volume about other groups; visible public mixing</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Knowledge</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K</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Is the K-register growing? Are teaching sessions occurring? Is the documentation project advancing? Are the five critical domains covered?</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TREND</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K-register entry count; teaching sessions held; protocols documented; critical-domain coverage</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Institutions</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Are the three first-month institutions functioning? Are decisions consistent? Are stated rules being applied? Is there a gap between what is stated and what is enforced?</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TREND</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Dispute resolution case volume and resolution rate; resource allocation complaint rate; communication channel usage</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Legitimacy</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L</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Are the governing authority's promises being kept? Is the population cooperating voluntarily with governance requirements? Are complaints routed through institutional channels rather than direct action?</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TREND</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Promise/delivery ratio; tax or contribution compliance rate; protest and direct action frequency</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Network Effects</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xi</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Is the community growing in size, in trade connections, in information exchange? Are new people arriving? Is exchange expanding?</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TREND</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Population count; external trade volume; new entrant count</w:t>
            </w:r>
          </w:p>
        </w:tc>
      </w:tr>
      <w:tr>
        <w:tc>
          <w:tcPr>
            <w:tcW w:type="dxa" w:w="2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Elite Competition</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w:t>
            </w:r>
          </w:p>
        </w:tc>
        <w:tc>
          <w:tcPr>
            <w:tcW w:type="dxa" w:w="13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Are competition for positions becoming factional? Are there signs of organised elite coalitions forming outside institutional channels? Is meritocratic allocation being subverted?</w:t>
            </w:r>
          </w:p>
        </w:tc>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TREND</w:t>
            </w:r>
          </w:p>
        </w:tc>
        <w:tc>
          <w:tcPr>
            <w:tcW w:type="dxa" w:w="2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Appointment dispute frequency; outside-channel organising visible; access inequality in resource distribution</w:t>
            </w:r>
          </w:p>
        </w:tc>
      </w:tr>
      <w:tr>
        <w:tc>
          <w:tcPr>
            <w:tcW w:type="dxa" w:w="2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Omega Risk</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Omega</w:t>
            </w:r>
          </w:p>
        </w:tc>
        <w:tc>
          <w:tcPr>
            <w:tcW w:type="dxa" w:w="13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What are the three highest-probability catastrophic risks? Are they being managed? Are early warning mechanisms in place?</w:t>
            </w:r>
          </w:p>
        </w:tc>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TREND</w:t>
            </w:r>
          </w:p>
        </w:tc>
        <w:tc>
          <w:tcPr>
            <w:tcW w:type="dxa" w:w="2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Threat assessment for top three risks; early warning mechanism status; external threat monitoring</w:t>
            </w:r>
          </w:p>
        </w:tc>
      </w:tr>
    </w:tbl>
    <w:p>
      <w:pPr>
        <w:spacing w:after="120" w:before="0"/>
      </w:pP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The Currency Decision</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Markets require a medium of exchange. Barter is not an adequate substitute at population scales above a few hundred people, because it requires a double coincidence of wants that becomes exponentially harder to satisfy as the number of traders increases. By the end of the first month, the governing authority faces a currency decision. Three options exist: adopt an existing external currency (the simplest, if an external currency is trusted and accessible); issue a community scrip (a medium of exchange backed by the governing authority's credibility, convertible to specific goods); or use a commodity standard (a defined quantity of a specific good — grain, fuel, labour-hours — as the unit of account). The optimal choice depends on the governing authority's credibility (L), the availability of external currency, and the volume of trade to be supported. Germany's 1948 Deutschmark succeeded because it was introduced when institutional credibility had been partially restored, supply was controlled, and the old currency had been fully discredited. The sequencing, not the currency design, was the key variable.</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The Census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census is the data layer on which all other governance decisions rest. Without knowing who is here, what they know, how old they are, where they are, and what their needs are, governance is guesswork. The Year One census does not require sophisticated methodology. It requires: a count of every person in the perimeter; their age, sex, and household composition; their K-register contribution (skills and competencies); their location; and their current health status and most acute needs. The census should be conducted by the end of Month Three, updated quarterly through Year One, and converted into an annual exercise thereafter. The governing authority should treat the census as the foundation of its planning — every major decision about resource allocation, K-investment, and institutional design should reference the census data.</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The First-Year Compact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By Month Two, the governing authority should issue a first-year compact: a public statement of what it commits to deliver by the end of Year One, with specific, measurable, verifiable targets. The compact is the L-mechanism operating at its most deliberate. It creates an accountability structure — the governing authority has stated what it will do, and the population can assess whether it has done it. The content of the compact matters less than the precision and the honesty. A compact that commits to three things and delivers all three is worth more than a compact that commits to twenty things and delivers twelve. The first-year compact should be derived from the census data and the K-register: it should commit to outcomes that are achievable given known resources and known human capital, and it should not commit to outcomes that depend on external factors outside the governing authority's control.</w:t>
      </w:r>
    </w:p>
    <w:p>
      <w:pPr>
        <w:spacing w:after="80" w:before="0"/>
      </w:pPr>
    </w:p>
    <w:tbl>
      <w:tblPr>
        <w:tblW w:type="dxa" w:w="9360"/>
        <w:tblBorders>
          <w:top w:val="single" w:color="1B5E20" w:sz="4"/>
          <w:left w:val="single" w:color="1B5E20" w:sz="18"/>
          <w:bottom w:val="single" w:color="1B5E20" w:sz="4"/>
          <w:right w:val="single" w:color="1B5E20" w:sz="4"/>
          <w:insideH w:val="none"/>
          <w:insideV w:val="none"/>
        </w:tblBorders>
        <w:tblLayout w:type="fixed"/>
      </w:tblPr>
      <w:tblGrid>
        <w:gridCol w:w="9360"/>
      </w:tblGrid>
      <w:tr>
        <w:tc>
          <w:tcPr>
            <w:tcW w:type="dxa" w:w="9360"/>
            <w:shd w:fill="E8F5E9"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1B5E20"/>
                <w:sz w:val="18"/>
                <w:szCs w:val="18"/>
              </w:rPr>
              <w:t xml:space="preserve">FIELD NOTE  —  THE YEAR ONE GOVERNANCE DASHBOARD — Thresholds and Responses</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1.  </w:t>
            </w:r>
            <w:r>
              <w:rPr>
                <w:rFonts w:ascii="Arial" w:cs="Arial" w:eastAsia="Arial" w:hAnsi="Arial"/>
                <w:b w:val="false"/>
                <w:bCs w:val="false"/>
                <w:i w:val="false"/>
                <w:iCs w:val="false"/>
                <w:caps w:val="false"/>
                <w:color w:val="1A1A1A"/>
                <w:sz w:val="22"/>
                <w:szCs w:val="22"/>
              </w:rPr>
              <w:t xml:space="preserve">A DECLINING for two consecutive months: Convene a cross-factional working group on the presenting issue. Accelerate civic project programme. Review whether E-competition is the driver.</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2.  </w:t>
            </w:r>
            <w:r>
              <w:rPr>
                <w:rFonts w:ascii="Arial" w:cs="Arial" w:eastAsia="Arial" w:hAnsi="Arial"/>
                <w:b w:val="false"/>
                <w:bCs w:val="false"/>
                <w:i w:val="false"/>
                <w:iCs w:val="false"/>
                <w:caps w:val="false"/>
                <w:color w:val="1A1A1A"/>
                <w:sz w:val="22"/>
                <w:szCs w:val="22"/>
              </w:rPr>
              <w:t xml:space="preserve">I INCONSISTENCY DETECTED: Audit all decisions in the past 30 days. Identify pattern of inconsistency. Name the responsible decision-maker. Issue a public correction. Do not hide institutional failures — hiding them compounds L-erosion.</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3.  </w:t>
            </w:r>
            <w:r>
              <w:rPr>
                <w:rFonts w:ascii="Arial" w:cs="Arial" w:eastAsia="Arial" w:hAnsi="Arial"/>
                <w:b w:val="false"/>
                <w:bCs w:val="false"/>
                <w:i w:val="false"/>
                <w:iCs w:val="false"/>
                <w:caps w:val="false"/>
                <w:color w:val="1A1A1A"/>
                <w:sz w:val="22"/>
                <w:szCs w:val="22"/>
              </w:rPr>
              <w:t xml:space="preserve">L BELOW STABLE: Review the promise/delivery ratio. Identify the most visible broken promise. Make a specific, public, verifiable commitment to address it. Deliver it within 30 days.</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4.  </w:t>
            </w:r>
            <w:r>
              <w:rPr>
                <w:rFonts w:ascii="Arial" w:cs="Arial" w:eastAsia="Arial" w:hAnsi="Arial"/>
                <w:b w:val="false"/>
                <w:bCs w:val="false"/>
                <w:i w:val="false"/>
                <w:iCs w:val="false"/>
                <w:caps w:val="false"/>
                <w:color w:val="1A1A1A"/>
                <w:sz w:val="22"/>
                <w:szCs w:val="22"/>
              </w:rPr>
              <w:t xml:space="preserve">E PRESSURE RISING: Accelerate position creation through deliberate expansion — new governance functions, new settlements, new institutional structures. Do not suppress competition; redirect it into institutional channels.</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5.  </w:t>
            </w:r>
            <w:r>
              <w:rPr>
                <w:rFonts w:ascii="Arial" w:cs="Arial" w:eastAsia="Arial" w:hAnsi="Arial"/>
                <w:b w:val="false"/>
                <w:bCs w:val="false"/>
                <w:i w:val="false"/>
                <w:iCs w:val="false"/>
                <w:caps w:val="false"/>
                <w:color w:val="1A1A1A"/>
                <w:sz w:val="22"/>
                <w:szCs w:val="22"/>
              </w:rPr>
              <w:t xml:space="preserve">Omega THREAT LEVEL RISING: Convene a threat-specific response group. Allocate dedicated capacity. Report to the population on the threat and the response. Do not wait for certainty before responding.</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6.  </w:t>
            </w:r>
            <w:r>
              <w:rPr>
                <w:rFonts w:ascii="Arial" w:cs="Arial" w:eastAsia="Arial" w:hAnsi="Arial"/>
                <w:b w:val="false"/>
                <w:bCs w:val="false"/>
                <w:i w:val="false"/>
                <w:iCs w:val="false"/>
                <w:caps w:val="false"/>
                <w:color w:val="1A1A1A"/>
                <w:sz w:val="22"/>
                <w:szCs w:val="22"/>
              </w:rPr>
              <w:t xml:space="preserve">K DECLINING: The knowledge-holders are leaving, dying, or disengaging. Immediate personal outreach to top ten K-register entries. Accelerate documentation project. Identify recruitment from outside the perimeter.</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7.  </w:t>
            </w:r>
            <w:r>
              <w:rPr>
                <w:rFonts w:ascii="Arial" w:cs="Arial" w:eastAsia="Arial" w:hAnsi="Arial"/>
                <w:b w:val="false"/>
                <w:bCs w:val="false"/>
                <w:i w:val="false"/>
                <w:iCs w:val="false"/>
                <w:caps w:val="false"/>
                <w:color w:val="1A1A1A"/>
                <w:sz w:val="22"/>
                <w:szCs w:val="22"/>
              </w:rPr>
              <w:t xml:space="preserve">xi STAGNANT: The community is not growing. Review whether the perimeter is too restrictive, whether the compact is attractive enough to draw in new members, whether the resource allocation mechanism is penalising new entrants.</w:t>
            </w:r>
          </w:p>
        </w:tc>
      </w:tr>
    </w:tbl>
    <w:p>
      <w:pPr>
        <w:spacing w:after="120" w:before="0"/>
      </w:pPr>
    </w:p>
    <w:p>
      <w:r>
        <w:br w:type="pag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5  </w:t>
      </w:r>
      <w:r>
        <w:rPr>
          <w:rFonts w:ascii="Arial" w:cs="Arial" w:eastAsia="Arial" w:hAnsi="Arial"/>
          <w:b w:val="false"/>
          <w:bCs w:val="false"/>
          <w:i w:val="false"/>
          <w:iCs w:val="false"/>
          <w:caps w:val="false"/>
          <w:color w:val="9AA5B1"/>
          <w:sz w:val="18"/>
          <w:szCs w:val="18"/>
        </w:rPr>
        <w:t xml:space="preserve">| Years 1 to 10</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First Decade</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A restart that reaches the end of Year One with A above 0.40, I functioning and consistent, L above 0.35, and K-register growing has cleared the survival threshold. The first decade is the trajectory from survivable (Phi 0.30) to stable (Phi 0.50) to thriving (Phi 0.65). This transition requires three decisions that must be made in the right order: the constitutional moment, the K investment decision, and the systematic E management agenda.</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Phi Trajectory Management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target trajectory for the first decade is: Phi 0.25-0.30 by end of Year One (survivable: the community will not collapse in the near term). Phi 0.40-0.50 by end of Year Five (stable: the community can withstand moderate external shocks and internal disruptions without collapse). Phi 0.60-0.65 by end of Year Ten (thriving: the community can invest in its own improvement, attract external resources and people, and begin projecting influence beyond its perimeter).</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Each threshold requires a different dominant investment. The movement from near-zero to 0.30 is dominated by I — getting predictable rules in place — and by the survival of the K-core. The movement from 0.30 to 0.50 is dominated by A and L — building the social cohesion and institutional trust that allows voluntary cooperation at scale. The movement from 0.50 to 0.65 is dominated by K investment and xi management — the education, research, and network expansion that generates compounding returns.</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The Constitutional Moment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constitutional moment — the formalisation of governance into a durable written structure — should occur when four conditions are met: I is stable and consistently applied (the proto-institutions have been functioning for at least one year without major breakdown); A is above 0.50 (cross-factional cooperation is the norm rather than the exception); L is above 0.45 (the governing authority's decisions are accepted as legitimate by a clear majority of the population); and E pressure is manageable (the competition for positions is channelled through institutional mechanisms rather than outside them). In successful restarts, this moment typically arrives between Years Three and Seven. Attempting constitutionalisation before these conditions are met produces a document that does not correspond to reality and therefore does not constrain power. The Grundgesetz worked because the conditions were met. Post-colonial constitutions that did not work failed because the conditions were not met.</w:t>
      </w:r>
    </w:p>
    <w:p>
      <w:pPr>
        <w:spacing w:after="80" w:before="0"/>
      </w:pPr>
    </w:p>
    <w:tbl>
      <w:tblPr>
        <w:tblW w:type="dxa" w:w="9360"/>
        <w:tblBorders>
          <w:top w:val="single" w:color="00595C" w:sz="4"/>
          <w:left w:val="single" w:color="00595C" w:sz="18"/>
          <w:bottom w:val="single" w:color="00595C" w:sz="4"/>
          <w:right w:val="single" w:color="00595C" w:sz="4"/>
          <w:insideH w:val="none"/>
          <w:insideV w:val="none"/>
        </w:tblBorders>
        <w:tblLayout w:type="fixed"/>
      </w:tblPr>
      <w:tblGrid>
        <w:gridCol w:w="9360"/>
      </w:tblGrid>
      <w:tr>
        <w:tc>
          <w:tcPr>
            <w:tcW w:type="dxa" w:w="9360"/>
            <w:shd w:fill="E0F2F1"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00595C"/>
                <w:sz w:val="18"/>
                <w:szCs w:val="18"/>
              </w:rPr>
              <w:t xml:space="preserve">Historical Constitutional Timing — Selected Restarts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Germany: VE-Day to Grundgesetz — 4 years (1945 to 1949). Prerequisites: Allied security guarantee, Marshall Plan underway, currency reform complete.</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Singapore: Independence to formalised governance structure — 2 years (1965 to 1967). Prerequisites: internal security established, economic development framework in place, ethnic relations management underway.</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South Korea: Korean War armistice to first functioning constitutional period — 34 years (1953 to 1987). The authoritarian development phase (1961-1987) achieved K and A gains; the democratic transition delivered the I and L formalisation when conditions were met.</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Rwanda: Genocide to Gacaca court system (dispute resolution formalisation) — 7 years (1994 to 2001). The Gacaca courts were a genuine institutional innovation — community-based dispute resolution that generated A while delivering I.</w:t>
            </w:r>
          </w:p>
          <w:p>
            <w:pPr>
              <w:spacing w:after="60" w:before="40" w:line="276" w:lineRule="auto"/>
              <w:jc w:val="left"/>
            </w:pPr>
            <w:r>
              <w:rPr>
                <w:rFonts w:ascii="Arial" w:cs="Arial" w:eastAsia="Arial" w:hAnsi="Arial"/>
                <w:b w:val="false"/>
                <w:bCs w:val="false"/>
                <w:i/>
                <w:iCs/>
                <w:caps w:val="false"/>
                <w:color w:val="3A4652"/>
                <w:sz w:val="18"/>
                <w:szCs w:val="18"/>
              </w:rPr>
              <w:t xml:space="preserve">Source: CivilisationOS corpus — historical case synthesis</w:t>
            </w:r>
          </w:p>
        </w:tc>
      </w:tr>
    </w:tbl>
    <w:p>
      <w:pPr>
        <w:spacing w:after="120" w:before="0"/>
      </w:pP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The K Investment Decision</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most consequential resource allocation decision of the first decade is the K investment decision: what fraction of output to devote to knowledge transmission, education, and research. The empirical evidence from the corpus is unambiguous: no restart has achieved sustained Phi above 0.55 without committing at least 20% of government expenditure to K-investment by Year Five, and the compounding returns begin to show in the growth of xi (network effects) by Year Seven to Ten. Singapore's answer at founding was to commit approximately 32% of government budget to education and skills development — a proportion that was maintained for the first fifteen years of independence and that produced the knowledge-intensive economy that now sustains it.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Knowledge compounds faster than capital. A factory depreciates; a trained engineer produces more engineers. A text-book wears out; the knowledge it transmits reproduces indefinitely. The K investment decision is the single highest-return investment available to a restart government in the first decade, and it is consistently underweighted because its returns are not visible until Year Seven to Ten, long after the political pressure of Year One to Three has passed.</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E Management: The First Graduating Class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When the K-investment begins to produce graduates — typically Year Five to Seven, depending on the educational system's speed — the E-pressure variable enters a new phase. The first graduating class of the restart's schools is, simultaneously, the greatest achievement of the K programme and the greatest challenge for the E management agenda. These are capable, credentialed, ambitious people who now compete for positions that do not yet exist in sufficient number. The answer is not to restrict education — that destroys the K-investment. The answer is to expand the frontier of positions through deliberate policy: new settlements with governance functions to staff; new industries with management requirements; new institutional structures with real authority. The frontier must be expanded faster than the graduating class grows, or E-pressure converts into factional politics and eventually into the elite competition that drives L-erosion.</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The Omega Reduction Agenda</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With I, A, and L stabilised by Year Three to Five, and K compounding through the decade, the first systematic work on Omega (catastrophic risk) becomes possible. Omega cannot be managed before I is functional — international cooperation requires institutional interlocutors. It cannot be prioritised before survival is secured — Omega management is expensive and produces no immediate return. But with Phi above 0.45, the governing authority can begin the diplomatic, technical, and institutional work of reducing the four primary Omega categories: nuclear and radiological risk, pandemic risk, climate-driven resource collapse risk, and AI-enabled catastrophic risk. The investment in Omega management is insurance at civilisational scale, and like all insurance, its value is not visible until the claim is filed.</w:t>
      </w:r>
    </w:p>
    <w:p>
      <w:r>
        <w:br w:type="pag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6  </w:t>
      </w:r>
      <w:r>
        <w:rPr>
          <w:rFonts w:ascii="Arial" w:cs="Arial" w:eastAsia="Arial" w:hAnsi="Arial"/>
          <w:b w:val="false"/>
          <w:bCs w:val="false"/>
          <w:i w:val="false"/>
          <w:iCs w:val="false"/>
          <w:caps w:val="false"/>
          <w:color w:val="9AA5B1"/>
          <w:sz w:val="18"/>
          <w:szCs w:val="18"/>
        </w:rPr>
        <w:t xml:space="preserve">| The generational horizon</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First Century</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The first decade solves the restart problem. The first century solves the retention problem. Knowledge, institutions, and social cohesion are not permanent acquisitions. They must be actively maintained against the entropy that every generation introduces. The founding generation knows why the protocol matters because they lived through its necessity. The fourth generation only heard stories, and stories fade. By the fifth generation, the model can be lost.</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The Generational Handoff Problem</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generational handoff is the most under-studied problem in civilisational persistence. Every successful restart eventually faces it. Singapore faces it now, in its fourth leadership generation. The question is not whether the founding model will be adapted — adaptation is necessary and appropriate as context changes. The question is whether the foundational logic is understood well enough to adapt correctly rather than accidentally discard what works while keeping what is vestigial. The founding generation adapts from understanding. Later generations adapt from habit, and habit does not carry the reason.</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mechanism by which this happens is well-documented. First-generation leaders have the founding experience as living memory. Second-generation leaders learned directly from first-generation leaders. Third-generation leaders learned from institutions, documents, and a diminishing cohort of second-generation mentors. Fourth-generation leaders work within systems whose rationale they were taught but never tested. By the fifth generation, the system is taken for granted, and reforms are assessed on their surface properties rather than their effects on the underlying Phi variables. This is how functioning governance systems are dismantled by well-meaning reformers who do not understand what they are reforming.</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Encoding the Model into Culture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Three mechanisms can extend the model's functional life across generations. Education that integrates the Seldon variables into the curriculum — not as abstract theory but as the practical logic of why the rules work. Civic ritual that rebuilds A deliberately — annual shared events, commemorations of founding crises, national service programmes that place citizens from different backgrounds in sustained cooperation. Constitutional design that requires citizen engagement — jury duty, national service, participatory governance mechanisms that give each generation direct experience of the institutional system rather than spectator experience of it.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most durable mechanism is the last. Citizens who have served on juries understand what institutional decision-making requires. Citizens who have completed national service have the A-deposit of shared hardship. Citizens who have participated in local governance have the I-understanding that comes from enforcing rules, not just obeying them. These experiences cannot be substituted by education about the experiences. The experience must be direct.</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The Mandate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A civilisation that has restarted must, at some point in its first century, confront the question of what it is for. Physical survival is not a sufficient answer beyond the first decade. A community that survives but has no account of why its persistence matters will not maintain the disciplines that persistence requires when the disciplines are costly. The mandate — what this civilisation is for — is the A-variable's deepest foundation. Shared purpose is the most durable form of asabiyyah, more durable than shared ancestry or shared suffering, because it does not fade with time but can be renewed with each generation's fresh act of commitment to it.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five-billion-year horizon of Part Six — the Philosophy of Persistence — is the ultimate mandate statement. But the mandate must be translated into the terms of each generation's experience to remain motivating. The founding generation's mandate may be survival. The second generation's mandate may be prosperity. The third generation's mandate may be contribution to the broader community of civilisations. Each is legitimate. Each must be capable of being connected, when pressed, to the foundational reason: that complex life is rare, that the structures that protect it are fragile, and that protecting them is the only project that will still matter in a billion years.</w:t>
      </w:r>
    </w:p>
    <w:p>
      <w:pPr>
        <w:spacing w:after="80" w:before="0"/>
      </w:pPr>
    </w:p>
    <w:tbl>
      <w:tblPr>
        <w:tblW w:type="dxa" w:w="9360"/>
        <w:tblBorders>
          <w:top w:val="single" w:color="00595C" w:sz="4"/>
          <w:left w:val="single" w:color="00595C" w:sz="18"/>
          <w:bottom w:val="single" w:color="00595C" w:sz="4"/>
          <w:right w:val="single" w:color="00595C" w:sz="4"/>
          <w:insideH w:val="none"/>
          <w:insideV w:val="none"/>
        </w:tblBorders>
        <w:tblLayout w:type="fixed"/>
      </w:tblPr>
      <w:tblGrid>
        <w:gridCol w:w="9360"/>
      </w:tblGrid>
      <w:tr>
        <w:tc>
          <w:tcPr>
            <w:tcW w:type="dxa" w:w="9360"/>
            <w:shd w:fill="E0F2F1"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00595C"/>
                <w:sz w:val="18"/>
                <w:szCs w:val="18"/>
              </w:rPr>
              <w:t xml:space="preserve">Singapore's Generational Handoff — A Case Study</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GENERATION ONE — Lee Kuan Yew (1965-1990): Founded the model. Established I, A, K, and L simultaneously through authoritarian pragmatism. Sequenced correctly under extreme pressure. Phi moved from near-zero to approximately 0.65 in 25 years. Core legacy: the institutional infrastructure, the K-investment culture, and the founding A of multiracial meritocracy.</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GENERATION TWO — Goh Chok Tong (1990-2004): Inherited functioning institutions. Extended the model with greater political openness. The 'kinder, gentler' adaptation preserved the I-core while expanding L through broader participation. Core legacy: demonstrated that the system could adapt without structural damage.</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GENERATION THREE — Lee Hsien Loong (2004-2024): Managed the transition from developing to developed economy — the hardest E management problem. Expanded the frontier through fintech, biomedical research, and digital governance. Managed Omega risk through robust pandemic preparedness (PAP crisis response). Core legacy: E management and Omega resilience.</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GENERATION FOUR — Lawrence Wong (2024-): Inherits a system that works but whose rationale is less well-understood by the population that grew up inside it. The central challenge: maintaining the disciplines of a restart model when the restart is 60 years in the past and the population has no living memory of the necessity. The generational handoff problem is now live.</w:t>
            </w:r>
          </w:p>
          <w:p>
            <w:pPr>
              <w:spacing w:after="60" w:before="40" w:line="276" w:lineRule="auto"/>
              <w:jc w:val="left"/>
            </w:pPr>
            <w:r>
              <w:rPr>
                <w:rFonts w:ascii="Arial" w:cs="Arial" w:eastAsia="Arial" w:hAnsi="Arial"/>
                <w:b w:val="false"/>
                <w:bCs w:val="false"/>
                <w:i/>
                <w:iCs/>
                <w:caps w:val="false"/>
                <w:color w:val="3A4652"/>
                <w:sz w:val="18"/>
                <w:szCs w:val="18"/>
              </w:rPr>
              <w:t xml:space="preserve">Source: CivilisationOS corpus — Singapore case synthesis</w:t>
            </w:r>
          </w:p>
        </w:tc>
      </w:tr>
    </w:tbl>
    <w:p>
      <w:pPr>
        <w:spacing w:after="120" w:before="0"/>
      </w:pPr>
    </w:p>
    <w:p>
      <w:r>
        <w:br w:type="page"/>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The Complete Restart Protocol</w:t>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What follows is the complete protocol, distilled to its operational sequence. It is not a plan — plans require specificity about conditions that cannot be known in advance. It is a priority ordering: a sequence of questions to answer and actions to take, in the order in which they are most likely to produce Phi above zero and rising.</w:t>
      </w:r>
    </w:p>
    <w:p>
      <w:pPr>
        <w:spacing w:after="80" w:before="0"/>
      </w:pPr>
    </w:p>
    <w:tbl>
      <w:tblPr>
        <w:tblW w:type="dxa" w:w="9360"/>
        <w:tblBorders>
          <w:top w:val="single" w:color="1B5E20" w:sz="4"/>
          <w:left w:val="single" w:color="1B5E20" w:sz="18"/>
          <w:bottom w:val="single" w:color="1B5E20" w:sz="4"/>
          <w:right w:val="single" w:color="1B5E20" w:sz="4"/>
          <w:insideH w:val="none"/>
          <w:insideV w:val="none"/>
        </w:tblBorders>
        <w:tblLayout w:type="fixed"/>
      </w:tblPr>
      <w:tblGrid>
        <w:gridCol w:w="9360"/>
      </w:tblGrid>
      <w:tr>
        <w:tc>
          <w:tcPr>
            <w:tcW w:type="dxa" w:w="9360"/>
            <w:shd w:fill="E8F5E9"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1B5E20"/>
                <w:sz w:val="18"/>
                <w:szCs w:val="18"/>
              </w:rPr>
              <w:t xml:space="preserve">FIELD NOTE  —  THE COMPLETE RESTART PROTOCOL — Day Zero Through First Century</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1.  </w:t>
            </w:r>
            <w:r>
              <w:rPr>
                <w:rFonts w:ascii="Arial" w:cs="Arial" w:eastAsia="Arial" w:hAnsi="Arial"/>
                <w:b w:val="false"/>
                <w:bCs w:val="false"/>
                <w:i w:val="false"/>
                <w:iCs w:val="false"/>
                <w:caps w:val="false"/>
                <w:color w:val="1A1A1A"/>
                <w:sz w:val="22"/>
                <w:szCs w:val="22"/>
              </w:rPr>
              <w:t xml:space="preserve">DAY ZERO, HOUR ONE: Establish a perimeter. Name the authority. State the rules. Enforce them once, visibly.</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2.  </w:t>
            </w:r>
            <w:r>
              <w:rPr>
                <w:rFonts w:ascii="Arial" w:cs="Arial" w:eastAsia="Arial" w:hAnsi="Arial"/>
                <w:b w:val="false"/>
                <w:bCs w:val="false"/>
                <w:i w:val="false"/>
                <w:iCs w:val="false"/>
                <w:caps w:val="false"/>
                <w:color w:val="1A1A1A"/>
                <w:sz w:val="22"/>
                <w:szCs w:val="22"/>
              </w:rPr>
              <w:t xml:space="preserve">DAY ZERO, HOURS 1-24: Locate water. Locate food. Locate communication capacity. In that order.</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3.  </w:t>
            </w:r>
            <w:r>
              <w:rPr>
                <w:rFonts w:ascii="Arial" w:cs="Arial" w:eastAsia="Arial" w:hAnsi="Arial"/>
                <w:b w:val="false"/>
                <w:bCs w:val="false"/>
                <w:i w:val="false"/>
                <w:iCs w:val="false"/>
                <w:caps w:val="false"/>
                <w:color w:val="1A1A1A"/>
                <w:sz w:val="22"/>
                <w:szCs w:val="22"/>
              </w:rPr>
              <w:t xml:space="preserve">DAY ZERO, HOURS 1-72: Identify every doctor, engineer, agriculturalist, administrator, and teacher by name. Locate them. Protect them. Integrate them.</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4.  </w:t>
            </w:r>
            <w:r>
              <w:rPr>
                <w:rFonts w:ascii="Arial" w:cs="Arial" w:eastAsia="Arial" w:hAnsi="Arial"/>
                <w:b w:val="false"/>
                <w:bCs w:val="false"/>
                <w:i w:val="false"/>
                <w:iCs w:val="false"/>
                <w:caps w:val="false"/>
                <w:color w:val="1A1A1A"/>
                <w:sz w:val="22"/>
                <w:szCs w:val="22"/>
              </w:rPr>
              <w:t xml:space="preserve">DAY ZERO, HOURS 24-72: Make one specific institutional commitment. Keep it. This is the first L-deposit and the most important action of the first 72 hours.</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5.  </w:t>
            </w:r>
            <w:r>
              <w:rPr>
                <w:rFonts w:ascii="Arial" w:cs="Arial" w:eastAsia="Arial" w:hAnsi="Arial"/>
                <w:b w:val="false"/>
                <w:bCs w:val="false"/>
                <w:i w:val="false"/>
                <w:iCs w:val="false"/>
                <w:caps w:val="false"/>
                <w:color w:val="1A1A1A"/>
                <w:sz w:val="22"/>
                <w:szCs w:val="22"/>
              </w:rPr>
              <w:t xml:space="preserve">WEEK ONE: State authority explicitly. No ambiguity about who decides what. Deliver one visible service. Begin the K-register.</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6.  </w:t>
            </w:r>
            <w:r>
              <w:rPr>
                <w:rFonts w:ascii="Arial" w:cs="Arial" w:eastAsia="Arial" w:hAnsi="Arial"/>
                <w:b w:val="false"/>
                <w:bCs w:val="false"/>
                <w:i w:val="false"/>
                <w:iCs w:val="false"/>
                <w:caps w:val="false"/>
                <w:color w:val="1A1A1A"/>
                <w:sz w:val="22"/>
                <w:szCs w:val="22"/>
              </w:rPr>
              <w:t xml:space="preserve">WEEK ONE: Establish a transparent allocation rule for scarce resources. Post it. Apply it. Record every distribution.</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7.  </w:t>
            </w:r>
            <w:r>
              <w:rPr>
                <w:rFonts w:ascii="Arial" w:cs="Arial" w:eastAsia="Arial" w:hAnsi="Arial"/>
                <w:b w:val="false"/>
                <w:bCs w:val="false"/>
                <w:i w:val="false"/>
                <w:iCs w:val="false"/>
                <w:caps w:val="false"/>
                <w:color w:val="1A1A1A"/>
                <w:sz w:val="22"/>
                <w:szCs w:val="22"/>
              </w:rPr>
              <w:t xml:space="preserve">MONTH ONE: Build the three first-month institutions — dispute resolution, resource allocation, communication — in that order.</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8.  </w:t>
            </w:r>
            <w:r>
              <w:rPr>
                <w:rFonts w:ascii="Arial" w:cs="Arial" w:eastAsia="Arial" w:hAnsi="Arial"/>
                <w:b w:val="false"/>
                <w:bCs w:val="false"/>
                <w:i w:val="false"/>
                <w:iCs w:val="false"/>
                <w:caps w:val="false"/>
                <w:color w:val="1A1A1A"/>
                <w:sz w:val="22"/>
                <w:szCs w:val="22"/>
              </w:rPr>
              <w:t xml:space="preserve">MONTH ONE: Begin the asabiyyah project. Choose a civic task that crosses prior factional lines. Complete it visibly. Attribute the achievement to the community, not the governing authority.</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9.  </w:t>
            </w:r>
            <w:r>
              <w:rPr>
                <w:rFonts w:ascii="Arial" w:cs="Arial" w:eastAsia="Arial" w:hAnsi="Arial"/>
                <w:b w:val="false"/>
                <w:bCs w:val="false"/>
                <w:i w:val="false"/>
                <w:iCs w:val="false"/>
                <w:caps w:val="false"/>
                <w:color w:val="1A1A1A"/>
                <w:sz w:val="22"/>
                <w:szCs w:val="22"/>
              </w:rPr>
              <w:t xml:space="preserve">MONTH TWO: Issue the first-year compact. Three to five specific, measurable commitments. Achievable with known resources. Kept.</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10.  </w:t>
            </w:r>
            <w:r>
              <w:rPr>
                <w:rFonts w:ascii="Arial" w:cs="Arial" w:eastAsia="Arial" w:hAnsi="Arial"/>
                <w:b w:val="false"/>
                <w:bCs w:val="false"/>
                <w:i w:val="false"/>
                <w:iCs w:val="false"/>
                <w:caps w:val="false"/>
                <w:color w:val="1A1A1A"/>
                <w:sz w:val="22"/>
                <w:szCs w:val="22"/>
              </w:rPr>
              <w:t xml:space="preserve">MONTH THREE: Conduct the census. Count everyone. Record their skills, location, age, household, and acute needs. Update quarterly.</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11.  </w:t>
            </w:r>
            <w:r>
              <w:rPr>
                <w:rFonts w:ascii="Arial" w:cs="Arial" w:eastAsia="Arial" w:hAnsi="Arial"/>
                <w:b w:val="false"/>
                <w:bCs w:val="false"/>
                <w:i w:val="false"/>
                <w:iCs w:val="false"/>
                <w:caps w:val="false"/>
                <w:color w:val="1A1A1A"/>
                <w:sz w:val="22"/>
                <w:szCs w:val="22"/>
              </w:rPr>
              <w:t xml:space="preserve">MONTH THREE: Make the currency decision. Choose the simplest viable medium of exchange. Issue it with a stated rule for quantity. Do not issue more than the rule allows.</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12.  </w:t>
            </w:r>
            <w:r>
              <w:rPr>
                <w:rFonts w:ascii="Arial" w:cs="Arial" w:eastAsia="Arial" w:hAnsi="Arial"/>
                <w:b w:val="false"/>
                <w:bCs w:val="false"/>
                <w:i w:val="false"/>
                <w:iCs w:val="false"/>
                <w:caps w:val="false"/>
                <w:color w:val="1A1A1A"/>
                <w:sz w:val="22"/>
                <w:szCs w:val="22"/>
              </w:rPr>
              <w:t xml:space="preserve">YEAR ONE: Operate the monthly governance dashboard. Be honest about readings. React immediately to declining trends.</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13.  </w:t>
            </w:r>
            <w:r>
              <w:rPr>
                <w:rFonts w:ascii="Arial" w:cs="Arial" w:eastAsia="Arial" w:hAnsi="Arial"/>
                <w:b w:val="false"/>
                <w:bCs w:val="false"/>
                <w:i w:val="false"/>
                <w:iCs w:val="false"/>
                <w:caps w:val="false"/>
                <w:color w:val="1A1A1A"/>
                <w:sz w:val="22"/>
                <w:szCs w:val="22"/>
              </w:rPr>
              <w:t xml:space="preserve">YEAR ONE: Protect the K-investment. Every governance budget decision should ask: does this increase or decrease K?</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14.  </w:t>
            </w:r>
            <w:r>
              <w:rPr>
                <w:rFonts w:ascii="Arial" w:cs="Arial" w:eastAsia="Arial" w:hAnsi="Arial"/>
                <w:b w:val="false"/>
                <w:bCs w:val="false"/>
                <w:i w:val="false"/>
                <w:iCs w:val="false"/>
                <w:caps w:val="false"/>
                <w:color w:val="1A1A1A"/>
                <w:sz w:val="22"/>
                <w:szCs w:val="22"/>
              </w:rPr>
              <w:t xml:space="preserve">YEAR TWO TO THREE: If A is above 0.45 and I is consistent, begin expanding civic participation — more voices in the communication channel, advisory roles, consultative mechanisms. This is the L-building phase.</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15.  </w:t>
            </w:r>
            <w:r>
              <w:rPr>
                <w:rFonts w:ascii="Arial" w:cs="Arial" w:eastAsia="Arial" w:hAnsi="Arial"/>
                <w:b w:val="false"/>
                <w:bCs w:val="false"/>
                <w:i w:val="false"/>
                <w:iCs w:val="false"/>
                <w:caps w:val="false"/>
                <w:color w:val="1A1A1A"/>
                <w:sz w:val="22"/>
                <w:szCs w:val="22"/>
              </w:rPr>
              <w:t xml:space="preserve">YEAR THREE TO SEVEN: If A is above 0.50, I is stable, L is above 0.45, and E is manageable — convene the constitutional moment. Formalise what is working. Do not formalise what is not yet working.</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16.  </w:t>
            </w:r>
            <w:r>
              <w:rPr>
                <w:rFonts w:ascii="Arial" w:cs="Arial" w:eastAsia="Arial" w:hAnsi="Arial"/>
                <w:b w:val="false"/>
                <w:bCs w:val="false"/>
                <w:i w:val="false"/>
                <w:iCs w:val="false"/>
                <w:caps w:val="false"/>
                <w:color w:val="1A1A1A"/>
                <w:sz w:val="22"/>
                <w:szCs w:val="22"/>
              </w:rPr>
              <w:t xml:space="preserve">YEAR FIVE: K-investment should now be above 20% of government expenditure. If it is not, every other investment priority is misweighted.</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17.  </w:t>
            </w:r>
            <w:r>
              <w:rPr>
                <w:rFonts w:ascii="Arial" w:cs="Arial" w:eastAsia="Arial" w:hAnsi="Arial"/>
                <w:b w:val="false"/>
                <w:bCs w:val="false"/>
                <w:i w:val="false"/>
                <w:iCs w:val="false"/>
                <w:caps w:val="false"/>
                <w:color w:val="1A1A1A"/>
                <w:sz w:val="22"/>
                <w:szCs w:val="22"/>
              </w:rPr>
              <w:t xml:space="preserve">YEAR FIVE TO SEVEN: The first graduating class is entering the workforce. Expand the frontier of positions through deliberate policy — new settlements, new industries, new governance functions. Do this before E-pressure peaks, not after.</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18.  </w:t>
            </w:r>
            <w:r>
              <w:rPr>
                <w:rFonts w:ascii="Arial" w:cs="Arial" w:eastAsia="Arial" w:hAnsi="Arial"/>
                <w:b w:val="false"/>
                <w:bCs w:val="false"/>
                <w:i w:val="false"/>
                <w:iCs w:val="false"/>
                <w:caps w:val="false"/>
                <w:color w:val="1A1A1A"/>
                <w:sz w:val="22"/>
                <w:szCs w:val="22"/>
              </w:rPr>
              <w:t xml:space="preserve">YEAR TEN: Phi should be above 0.60. If it is not, conduct a full seven-variable audit. Identify the weakest variable. Make it the primary investment target for the next five years.</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19.  </w:t>
            </w:r>
            <w:r>
              <w:rPr>
                <w:rFonts w:ascii="Arial" w:cs="Arial" w:eastAsia="Arial" w:hAnsi="Arial"/>
                <w:b w:val="false"/>
                <w:bCs w:val="false"/>
                <w:i w:val="false"/>
                <w:iCs w:val="false"/>
                <w:caps w:val="false"/>
                <w:color w:val="1A1A1A"/>
                <w:sz w:val="22"/>
                <w:szCs w:val="22"/>
              </w:rPr>
              <w:t xml:space="preserve">DECADE TWO TO THREE: Begin systematic Omega management. International cooperation. Threat monitoring. Pandemic preparedness. Climate resilience. This cannot be deferred beyond the second decade without compounding risk.</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20.  </w:t>
            </w:r>
            <w:r>
              <w:rPr>
                <w:rFonts w:ascii="Arial" w:cs="Arial" w:eastAsia="Arial" w:hAnsi="Arial"/>
                <w:b w:val="false"/>
                <w:bCs w:val="false"/>
                <w:i w:val="false"/>
                <w:iCs w:val="false"/>
                <w:caps w:val="false"/>
                <w:color w:val="1A1A1A"/>
                <w:sz w:val="22"/>
                <w:szCs w:val="22"/>
              </w:rPr>
              <w:t xml:space="preserve">GENERATION TWO: Document the founding logic, not only the founding decisions. The next generation must understand why the sequence matters, not only that it was followed.</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21.  </w:t>
            </w:r>
            <w:r>
              <w:rPr>
                <w:rFonts w:ascii="Arial" w:cs="Arial" w:eastAsia="Arial" w:hAnsi="Arial"/>
                <w:b w:val="false"/>
                <w:bCs w:val="false"/>
                <w:i w:val="false"/>
                <w:iCs w:val="false"/>
                <w:caps w:val="false"/>
                <w:color w:val="1A1A1A"/>
                <w:sz w:val="22"/>
                <w:szCs w:val="22"/>
              </w:rPr>
              <w:t xml:space="preserve">GENERATION THREE: Institutionalise the generational handoff through required civic participation — national service, jury duty, local governance. The experience must be direct, not only educational.</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22.  </w:t>
            </w:r>
            <w:r>
              <w:rPr>
                <w:rFonts w:ascii="Arial" w:cs="Arial" w:eastAsia="Arial" w:hAnsi="Arial"/>
                <w:b w:val="false"/>
                <w:bCs w:val="false"/>
                <w:i w:val="false"/>
                <w:iCs w:val="false"/>
                <w:caps w:val="false"/>
                <w:color w:val="1A1A1A"/>
                <w:sz w:val="22"/>
                <w:szCs w:val="22"/>
              </w:rPr>
              <w:t xml:space="preserve">GENERATION FOUR AND BEYOND: Ask each generation to re-derive the mandate. Do not only transmit the answer. Transmit the question, and require each generation to answer it for themselves. A mandate that is re-derived is a mandate that is understood. A mandate that is only inherited is a mandate that will eventually be discarded.</w:t>
            </w:r>
          </w:p>
        </w:tc>
      </w:tr>
    </w:tbl>
    <w:p>
      <w:pPr>
        <w:spacing w:after="120" w:before="0"/>
      </w:pPr>
    </w:p>
    <w:p>
      <w:r>
        <w:br w:type="page"/>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The Common Restart Failures — What the Record Shows</w:t>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Most restarts fail not from lack of resources but from predictable sequencing errors that the historical record has now repeated often enough to classify. The six failure modes documented below are not theoretical risks. They are the actual causes of actual collapses in attempted restarts from Weimar Germany to post-Soviet Russia. Each has a specific mechanism, a specific signature in the Seldon variables, and a specific correction. Knowing them before you encounter them is the only advantage preparation offers.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first failure mode is mistaking organisational legitimacy for popular legitimacy. An authority that holds formal power — through elections, through international recognition, through legal succession — is not thereby legitimate in the sense that matters for restart: the voluntary compliance of the population. Weimar Germany (1919-1933) possessed every formal attribute of constitutional legitimacy. Its governments were elected, its institutions were codified in a sophisticated document, its international standing was normalised after Versailles. What it lacked was the L-deposit that comes from visible delivery to a population that trusts the delivering institution. When the economy collapsed under the weight of reparations and global depression, the Weimar system had no reservoir of earned legitimacy to draw on. The population's compliance with its institutions was contingent on their performance, not on their constitutional form, and performance failed. Russia's Yeltsin government (1991-1999) repeated the pattern: organisational legitimacy without popular legitimacy, and when delivery failed, the parliamentary system collapsed into the shell of constitutional form without operational content.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second failure mode is attempting economic reform before asabiyyah is established. Russia post-1991 applied International Monetary Fund shock therapy — price liberalisation, privatisation, currency reform — to a population with no shared framework for what the new order was supposed to achieve. Asabiyyah (A) was below 0.20 and falling: the Soviet-era social compact had dissolved and no replacement had been articulated. Economic liberalisation in that environment did not produce markets. It produced the conditions for oligarchy: a small number of actors with access to information, capital, and political connections acquired state assets at nominal prices while the population experienced the costs of price liberalisation without the benefits of functioning markets. The mechanism is consistent with the Seldon formula — A below 0.20 means that every economic institution is vulnerable to capture by the first faction with sufficient coordination capacity. Russia's oligarchs were not an accident. They were the predictable output of economic reform conducted without the A-foundation that makes markets function.</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third failure mode is allowing too many elites to survive the transition with power intact. Every case in the corpus where the ancien regime's elite class retained leverage over resources, appointments, and institutional access delayed the new order by ten to thirty years. The mechanism is straightforward: elites with accumulated advantages will use those advantages to protect their position in any new allocation system, regardless of the new system's formal rules. The Philippines after 1946 is the counter-case: American colonial-era elite families retained land, political connections, and economic dominance through independence and beyond, producing an oligarchic democracy that has never achieved sustained Phi above 0.40. South Korea after 1945 offers a partial contrast: the post-liberation period involved a substantial clean break from collaborator elites, and the subsequent Park Chung-hee period (1961-1979), whatever its political costs, actively suppressed the reproduction of pre-existing elite power in favour of a new technocratic-industrial class. The K-investment generated a new elite whose advancement was tied to the new order's success rather than the old order's persistence.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fourth failure mode is building institutions before the knowledge base is established. Institutions without a competent administrative class operating them are shells. The formal institution — the court, the treasury, the civil service — requires people who know how to run it, not merely people who occupy its positions. Singapore's founders understood this with unusual clarity: the first three years of independence were spent specifically recruiting and training a civil service before launching major institutional programmes. Lee Kuan Yew's government recruited from the best graduates of each cohort, sent officials abroad for advanced training, and built a culture of administrative competence as the precondition for institutional function. The Phi implication is direct: an I-value of 0.60 with K below 0.30 produces institutions that look functional on paper and collapse under the first serious operational challenge.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fifth failure mode is neglecting the asabiyyah infrastructure. Rwanda's gacaca courts (1994-2012) were not primarily a justice mechanism, though they functioned as one. They were asabiyyah engineering at civilisational scale: a structured process through which 1.2 million cases were adjudicated by community panels, requiring the perpetrators and survivors of genocide to share the same physical space under an institutional framework that both accepted. The A-dividend was not incidental to the gacaca system; it was its primary function. The record shows that restarts without explicit asabiyyah engineering — without a structured process for constructing a shared story, acknowledging and processing the shared enemy, and articulating a shared future — plateau at A approximately 0.25. The community survives; it does not cohere. And at A below 0.30, every institutional investment is vulnerable to the first serious factional challenge.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sixth failure mode is underestimating the Omega backlog. Every collapsed civilisation leaves an Omega backlog: unexploded ordnance, contaminated water systems, collapsed supply chains, armed factions not yet disarmed, disease vectors without public health infrastructure to manage them. The Omega backlog is not a residual problem to be addressed after the primary restart tasks are complete. It is a compounding liability that, if left unmanaged, will trigger secondary collapses that reset the restart clock. Cambodia's landmine backlog (estimated at four to six million mines as of 1990) continued to kill civilians and depress agricultural investment through the 2010s — thirty years after the Khmer Rouge's defeat. Post-war Iraq's failure to secure arms caches in 2003 provided the materiel for the insurgency that followed. The successful restart addresses each Omega item within its specific management window. The window is not indefinite. Omega items that compound — armed factions that recruit, epidemics that spread, infrastructure that deteriorates — become exponentially more expensive to address with each passing month.</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What distinguishes successful from failed restarts, across the full corpus, is not the quality of the written plan. It is the quality of the sequencing instinct — the governing authority's capacity to resist the pressure to address visible symptoms before diagnosing underlying causes. Every failed restart in the record addressed the most visible problem rather than the most foundational one. Weimar held elections when it needed to deliver food security. Russia liberalised prices when it needed to build asabiyyah. The Philippines wrote constitutions when it needed to dismantle oligarchic land tenure. In each case, the governing authority chose the action with the most immediate political visibility over the action with the most durable Phi impact. The pressure to do so is real and constant. Resisting it is the governing authority's most essential discipline.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successful restarts share a different characteristic: they produced governing authorities that were willing to accept short-term political cost for long-term structural gain. Singapore's Lee accepted the cost of authoritarian unpopularity to secure the sequencing. South Korea's Park accepted the cost of political repression to secure K-investment and E-management. Germany's Adenauer accepted the cost of Allied oversight to secure the security guarantee that made I-building possible. Rwanda's Kagame accepted the cost of international criticism to secure A-reconstruction at a pace that conventional politics would not have achieved. None of these are models to be copied wholesale — each carried costs that a more fortunate restart should seek to avoid. But each illustrates the essential variable: the governing authority's willingness to subordinate political convenience to structural necessity.</w:t>
      </w:r>
    </w:p>
    <w:p>
      <w:pPr>
        <w:spacing w:after="80" w:before="0"/>
      </w:pPr>
    </w:p>
    <w:tbl>
      <w:tblPr>
        <w:tblW w:type="dxa" w:w="9360"/>
        <w:tblBorders>
          <w:top w:val="single" w:color="00595C" w:sz="4"/>
          <w:left w:val="single" w:color="00595C" w:sz="18"/>
          <w:bottom w:val="single" w:color="00595C" w:sz="4"/>
          <w:right w:val="single" w:color="00595C" w:sz="4"/>
          <w:insideH w:val="none"/>
          <w:insideV w:val="none"/>
        </w:tblBorders>
        <w:tblLayout w:type="fixed"/>
      </w:tblPr>
      <w:tblGrid>
        <w:gridCol w:w="9360"/>
      </w:tblGrid>
      <w:tr>
        <w:tc>
          <w:tcPr>
            <w:tcW w:type="dxa" w:w="9360"/>
            <w:shd w:fill="E0F2F1"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00595C"/>
                <w:sz w:val="18"/>
                <w:szCs w:val="18"/>
              </w:rPr>
              <w:t xml:space="preserve">THE FAILURE MODE THE RECORD REPEATS MOST — Russia 1991-2000</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Russia post-1991 is the canonical case because it committed all six failure modes simultaneously, in a sequence that compressed what would otherwise have been decades of error into a single decade of catastrophe. Organisational legitimacy (the Yeltsin government had formal democratic standing) substituted for popular legitimacy (A was collapsing as the Soviet social compact dissolved). Economic reform (IMF shock therapy, 1992-1994) preceded asabiyyah reconstruction (no shared account of what post-Soviet Russia was for had been articulated). The Soviet elite class (nomenklatura, security apparatus, industrial managers) survived the transition with networks and assets intact and used them to capture the privatisation process. Institutions (the parliament, the courts, the central bank) were built before the administrative knowledge base was established — the civil service was a Soviet institution whose competencies were Soviet-specific and inapplicable to a market economy. Asabiyyah infrastructure was never engineered — the post-Soviet period produced no Russian equivalent of the gacaca courts, no structured process for shared story construction. And the Omega backlog — nuclear materials security, armed factions in the military, organised crime that had accumulated capital during the Soviet period — was not addressed systematically until it had compounded into a structural feature of the new order.</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The outcome: Phi declined from approximately 0.45 at Soviet dissolution to an estimated 0.22 by 1998, before the Putin consolidation (from 1999) arrested the decline through authoritarian I-rebuilding at the cost of L and A. The Russian case is not a cautionary tale about capitalism or democracy. It is a cautionary tale about sequence. A different sequence — prioritise A reconstruction, defer economic liberalisation until A is above 0.35, break the nomenklatura's access to privatisation assets, invest in administrative K before launching institutional I — would have produced a different outcome. The sequence, not the ideology, was the variable that failed.</w:t>
            </w:r>
          </w:p>
          <w:p>
            <w:pPr>
              <w:spacing w:after="60" w:before="40" w:line="276" w:lineRule="auto"/>
              <w:jc w:val="left"/>
            </w:pPr>
            <w:r>
              <w:rPr>
                <w:rFonts w:ascii="Arial" w:cs="Arial" w:eastAsia="Arial" w:hAnsi="Arial"/>
                <w:b w:val="false"/>
                <w:bCs w:val="false"/>
                <w:i/>
                <w:iCs/>
                <w:caps w:val="false"/>
                <w:color w:val="3A4652"/>
                <w:sz w:val="18"/>
                <w:szCs w:val="18"/>
              </w:rPr>
              <w:t xml:space="preserve">Source: CivilisationOS corpus — post-Soviet transition synthesis; World Bank, EBRD transition indicators 1990-2005</w:t>
            </w:r>
          </w:p>
        </w:tc>
      </w:tr>
    </w:tbl>
    <w:p>
      <w:pPr>
        <w:spacing w:after="120" w:before="0"/>
      </w:pPr>
    </w:p>
    <w:p>
      <w:pPr>
        <w:spacing w:after="80" w:before="0"/>
      </w:pPr>
    </w:p>
    <w:tbl>
      <w:tblPr>
        <w:tblW w:type="dxa" w:w="9360"/>
        <w:tblBorders>
          <w:top w:val="single" w:color="7A4F01" w:sz="4"/>
          <w:left w:val="single" w:color="7A4F01" w:sz="18"/>
          <w:bottom w:val="single" w:color="7A4F01" w:sz="4"/>
          <w:right w:val="single" w:color="7A4F01" w:sz="4"/>
          <w:insideH w:val="none"/>
          <w:insideV w:val="none"/>
        </w:tblBorders>
        <w:tblLayout w:type="fixed"/>
      </w:tblPr>
      <w:tblGrid>
        <w:gridCol w:w="9360"/>
      </w:tblGrid>
      <w:tr>
        <w:tc>
          <w:tcPr>
            <w:tcW w:type="dxa" w:w="9360"/>
            <w:shd w:fill="FFF6E0"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7A4F01"/>
                <w:sz w:val="18"/>
                <w:szCs w:val="18"/>
              </w:rPr>
              <w:t xml:space="preserve">THE LEGITIMACY TRAP</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The legitimacy trap is the single most common reason that apparently well-designed restarts produce dysfunctional institutions. The trap has a specific mechanism: a governing authority that holds organisational legitimacy (formal authority conferred by election, succession, or international recognition) attempts to build institutions before it has established popular legitimacy (the voluntary compliance of the population based on delivered performance). The institutions it builds will have the form of legitimate institutions — constitutions, courts, treasuries, legislative bodies — without the substance. They will be staffed by actors whose primary interest is the retention of position, not the delivery of function. They will process cases, issue rulings, and publish budgets without the enforcement authority that comes from a population that believes the institution's output is worth complying with.</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The correct sequence is non-negotiable: (1) establish asabiyyah — the shared story, the acknowledged common enemy, the articulated common future that gives the population a reason to cooperate rather than defect; (2) establish legitimacy — the track record of visible delivery that gives the population a reason to trust the governing authority's institutions; (3) build institutions from that base — now the institutions are staffed by administrators whose position depends on the institution's performance, enforced by a population whose compliance is voluntary rather than coerced, and resilient to challenge because their legitimacy is earned rather than formal. Shortcuts in this sequence do not accelerate the restart. They produce institutional shells that collapse at the first serious challenge, requiring the sequence to be restarted from a lower baseline than before the shortcut was attempted.</w:t>
            </w:r>
          </w:p>
        </w:tc>
      </w:tr>
    </w:tbl>
    <w:p>
      <w:pPr>
        <w:spacing w:after="120" w:before="0"/>
      </w:pPr>
    </w:p>
    <w:p>
      <w:pPr>
        <w:spacing w:after="160" w:before="0"/>
      </w:pP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The Seldon Diagnostic at Month Six</w:t>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At month six after Day Zero, a systematic reading of the seven Seldon variables tells you whether the restart is on track. Not whether it will succeed — the six-month horizon is too short for certainty — but whether the current trajectory is pointed toward survival or toward the failure modes documented above. The diagnostic is not a report card. It is a navigation instrument: it tells you where you are relative to where you need to be, and it tells you what corrective action the gap requires. Run it at month six. Run it again at month twelve. Do not wait for the annual review if the month-six reading shows critical failure signals.</w:t>
      </w:r>
    </w:p>
    <w:p>
      <w:pPr>
        <w:spacing w:after="60" w:before="0"/>
      </w:pPr>
    </w:p>
    <w:tbl>
      <w:tblPr>
        <w:tblW w:type="dxa" w:w="9360"/>
        <w:tblBorders>
          <w:top w:val="single" w:color="9AA5B1" w:sz="2"/>
          <w:left w:val="single" w:color="9AA5B1" w:sz="2"/>
          <w:bottom w:val="single" w:color="9AA5B1" w:sz="2"/>
          <w:right w:val="single" w:color="9AA5B1" w:sz="2"/>
          <w:insideH w:val="single" w:color="D5DCE5" w:sz="1"/>
          <w:insideV w:val="single" w:color="D5DCE5" w:sz="1"/>
        </w:tblBorders>
        <w:tblLayout w:type="fixed"/>
      </w:tblPr>
      <w:tblGrid>
        <w:gridCol w:w="1500"/>
        <w:gridCol w:w="2620"/>
        <w:gridCol w:w="2620"/>
        <w:gridCol w:w="2620"/>
      </w:tblGrid>
      <w:tr>
        <w:trPr>
          <w:tblHeader/>
        </w:trPr>
        <w:tc>
          <w:tcPr>
            <w:tcW w:type="dxa" w:w="15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Variable</w:t>
            </w:r>
          </w:p>
        </w:tc>
        <w:tc>
          <w:tcPr>
            <w:tcW w:type="dxa" w:w="262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Healthy Signal at Month Six</w:t>
            </w:r>
          </w:p>
        </w:tc>
        <w:tc>
          <w:tcPr>
            <w:tcW w:type="dxa" w:w="262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Warning Signal at Month Six</w:t>
            </w:r>
          </w:p>
        </w:tc>
        <w:tc>
          <w:tcPr>
            <w:tcW w:type="dxa" w:w="262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Critical Failure Signal at Month Six</w:t>
            </w:r>
          </w:p>
        </w:tc>
      </w:tr>
      <w:tr>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A — Asabiyyah</w:t>
            </w:r>
          </w:p>
        </w:tc>
        <w:tc>
          <w:tcPr>
            <w:tcW w:type="dxa" w:w="262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People invoke 'us' and 'we' more than 'I' and 'my group' in public discourse. Cross-factional work teams are operating without institutional enforcement. Intergroup trade and social contact are occurring voluntarily.</w:t>
            </w:r>
          </w:p>
        </w:tc>
        <w:tc>
          <w:tcPr>
            <w:tcW w:type="dxa" w:w="262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Faction identity consistently exceeds order identity in public speech and private behaviour. Cross-factional cooperation requires institutional incentives to occur. Intergroup contact is declining or avoided.</w:t>
            </w:r>
          </w:p>
        </w:tc>
        <w:tc>
          <w:tcPr>
            <w:tcW w:type="dxa" w:w="262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Armed factions are self-supplying food and water independently of the governing authority's distribution network. Factional identity has become the primary basis for resource access. The governing authority is perceived as representing one faction among several.</w:t>
            </w:r>
          </w:p>
        </w:tc>
      </w:tr>
      <w:tr>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K — Knowledge</w:t>
            </w:r>
          </w:p>
        </w:tc>
        <w:tc>
          <w:tcPr>
            <w:tcW w:type="dxa" w:w="262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Schools are operating at a minimum of three days per week. All five critical knowledge domains (medical, agricultural, energy, water, communication) have at least one trained practitioner in post. The K-register has grown since Day Zero.</w:t>
            </w:r>
          </w:p>
        </w:tc>
        <w:tc>
          <w:tcPr>
            <w:tcW w:type="dxa" w:w="262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Schools are operating intermittently or with severely reduced attendance. One or more critical knowledge domains has no trained practitioner available within the perimeter. The K-register has not grown since Month One.</w:t>
            </w:r>
          </w:p>
        </w:tc>
        <w:tc>
          <w:tcPr>
            <w:tcW w:type="dxa" w:w="262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Knowledge holders in two or more critical domains have emigrated, died without knowledge transfer, or withdrawn from the governing authority's reach. No functioning training pipeline exists. The K-register is smaller than it was at Month One.</w:t>
            </w:r>
          </w:p>
        </w:tc>
      </w:tr>
      <w:tr>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I — Institutions</w:t>
            </w:r>
          </w:p>
        </w:tc>
        <w:tc>
          <w:tcPr>
            <w:tcW w:type="dxa" w:w="262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The dispute resolution body is processing cases at a consistent rate, with decisions recorded and enforced. A functioning medium of exchange is circulating. The resource allocation mechanism is operating without sustained public contestation.</w:t>
            </w:r>
          </w:p>
        </w:tc>
        <w:tc>
          <w:tcPr>
            <w:tcW w:type="dxa" w:w="262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The dispute resolution body is operating but enforcement of its decisions is inconsistent. A medium of exchange exists but is not universally accepted or is subject to parallel informal markets. Resource allocation decisions are contested at a rate above 20% of distributions.</w:t>
            </w:r>
          </w:p>
        </w:tc>
        <w:tc>
          <w:tcPr>
            <w:tcW w:type="dxa" w:w="262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No functional dispute resolution mechanism is operating. No accepted medium of exchange circulates; barter or faction-controlled distribution is the primary exchange system. Resource allocation is controlled by factional access rather than institutional rule.</w:t>
            </w:r>
          </w:p>
        </w:tc>
      </w:tr>
      <w:tr>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L — Legitimacy</w:t>
            </w:r>
          </w:p>
        </w:tc>
        <w:tc>
          <w:tcPr>
            <w:tcW w:type="dxa" w:w="262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People pay levies and contributions voluntarily without enforcement presence. Crime is reported to institutional channels rather than addressed through private retaliation. The governing authority's communications are trusted as the primary information source.</w:t>
            </w:r>
          </w:p>
        </w:tc>
        <w:tc>
          <w:tcPr>
            <w:tcW w:type="dxa" w:w="262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Tax or contribution payment occurs only when enforcement is visibly present. Crime reporting to institutional channels is below 30% of incidents by population estimate. Parallel information channels are competing with the governing authority's communications for credibility.</w:t>
            </w:r>
          </w:p>
        </w:tc>
        <w:tc>
          <w:tcPr>
            <w:tcW w:type="dxa" w:w="262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Parallel authority structures are collecting their own levies or tolls from the population. The governing authority's communications are actively disbelieved or countered by alternative sources. Compliance with governing authority decisions requires coercion for more than half of directives.</w:t>
            </w:r>
          </w:p>
        </w:tc>
      </w:tr>
      <w:tr>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Omega — Catastrophic Risk</w:t>
            </w:r>
          </w:p>
        </w:tc>
        <w:tc>
          <w:tcPr>
            <w:tcW w:type="dxa" w:w="262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No new armed factions have formed since Day Zero. Disease mortality is at or below pre-collapse baseline rates. The three highest-probability catastrophic risks have identified management plans with assigned responsible persons.</w:t>
            </w:r>
          </w:p>
        </w:tc>
        <w:tc>
          <w:tcPr>
            <w:tcW w:type="dxa" w:w="262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New factions are forming or existing factions are acquiring new weapons. Disease outbreaks requiring institutional response have occurred. One or more of the three highest-probability catastrophic risks has no management plan or responsible person assigned.</w:t>
            </w:r>
          </w:p>
        </w:tc>
        <w:tc>
          <w:tcPr>
            <w:tcW w:type="dxa" w:w="262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Active armed conflict between factions is occurring within or adjacent to the perimeter. An epidemic is active without institutional capacity to contain it. A catastrophic risk event (flood, disease outbreak, armed incursion) has occurred without an adequate institutional response.</w:t>
            </w:r>
          </w:p>
        </w:tc>
      </w:tr>
      <w:tr>
        <w:tc>
          <w:tcPr>
            <w:tcW w:type="dxa" w:w="15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E — Elite Competition</w:t>
            </w:r>
          </w:p>
        </w:tc>
        <w:tc>
          <w:tcPr>
            <w:tcW w:type="dxa" w:w="262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Multiple visible pathways to advancement exist that do not require factional affiliation. Old elite class members are circulating within new institutions rather than operating parallel to them. New credentialing mechanisms are producing their first cohort of recognised competence holders.</w:t>
            </w:r>
          </w:p>
        </w:tc>
        <w:tc>
          <w:tcPr>
            <w:tcW w:type="dxa" w:w="262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Old elite class is still dominant in resource allocation and position access. New credentialing mechanisms exist but are not yet producing recognised outcomes. Factional affiliation is a significant predictor of position access, though not yet the exclusive one.</w:t>
            </w:r>
          </w:p>
        </w:tc>
        <w:tc>
          <w:tcPr>
            <w:tcW w:type="dxa" w:w="262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Nepotism or factional affiliation is the only operational advancement path. New credentialing mechanisms are either non-existent or are not accepted by the population as legitimate. Old elite class is operating entirely outside and in competition with new institutional structures.</w:t>
            </w:r>
          </w:p>
        </w:tc>
      </w:tr>
      <w:tr>
        <w:tc>
          <w:tcPr>
            <w:tcW w:type="dxa" w:w="15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xi — Network and Gaia</w:t>
            </w:r>
          </w:p>
        </w:tc>
        <w:tc>
          <w:tcPr>
            <w:tcW w:type="dxa" w:w="262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More than one power centre is able to independently deliver basic services (water, food distribution, dispute resolution) to different segments of the population. External trade or information exchange is occurring. Population has grown or held stable since Day Zero.</w:t>
            </w:r>
          </w:p>
        </w:tc>
        <w:tc>
          <w:tcPr>
            <w:tcW w:type="dxa" w:w="262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 single centre is delivering all services with no functional alternatives. External trade or information exchange is minimal or conducted through a single channel. Population is declining through emigration or mortality.</w:t>
            </w:r>
          </w:p>
        </w:tc>
        <w:tc>
          <w:tcPr>
            <w:tcW w:type="dxa" w:w="262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All services are delivered through one faction or family, with no institutional competition or alternative. External isolation is complete. Population decline is accelerating.</w:t>
            </w:r>
          </w:p>
        </w:tc>
      </w:tr>
    </w:tbl>
    <w:p>
      <w:pPr>
        <w:spacing w:after="120" w:before="0"/>
      </w:pPr>
    </w:p>
    <w:p>
      <w:pPr>
        <w:spacing w:after="80" w:before="0"/>
      </w:pPr>
    </w:p>
    <w:tbl>
      <w:tblPr>
        <w:tblW w:type="dxa" w:w="9360"/>
        <w:tblBorders>
          <w:top w:val="single" w:color="1B5E20" w:sz="4"/>
          <w:left w:val="single" w:color="1B5E20" w:sz="18"/>
          <w:bottom w:val="single" w:color="1B5E20" w:sz="4"/>
          <w:right w:val="single" w:color="1B5E20" w:sz="4"/>
          <w:insideH w:val="none"/>
          <w:insideV w:val="none"/>
        </w:tblBorders>
        <w:tblLayout w:type="fixed"/>
      </w:tblPr>
      <w:tblGrid>
        <w:gridCol w:w="9360"/>
      </w:tblGrid>
      <w:tr>
        <w:tc>
          <w:tcPr>
            <w:tcW w:type="dxa" w:w="9360"/>
            <w:shd w:fill="E8F5E9"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1B5E20"/>
                <w:sz w:val="18"/>
                <w:szCs w:val="18"/>
              </w:rPr>
              <w:t xml:space="preserve">FIELD NOTE  —  HOW TO USE THE MONTH-SIX DIAGNOSTIC</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1.  </w:t>
            </w:r>
            <w:r>
              <w:rPr>
                <w:rFonts w:ascii="Arial" w:cs="Arial" w:eastAsia="Arial" w:hAnsi="Arial"/>
                <w:b w:val="false"/>
                <w:bCs w:val="false"/>
                <w:i w:val="false"/>
                <w:iCs w:val="false"/>
                <w:caps w:val="false"/>
                <w:color w:val="1A1A1A"/>
                <w:sz w:val="22"/>
                <w:szCs w:val="22"/>
              </w:rPr>
              <w:t xml:space="preserve">STEP 1: Read each row of the diagnostic against your current observable reality. Do not assess against your plan or your intentions — assess against what is actually happening.</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2.  </w:t>
            </w:r>
            <w:r>
              <w:rPr>
                <w:rFonts w:ascii="Arial" w:cs="Arial" w:eastAsia="Arial" w:hAnsi="Arial"/>
                <w:b w:val="false"/>
                <w:bCs w:val="false"/>
                <w:i w:val="false"/>
                <w:iCs w:val="false"/>
                <w:caps w:val="false"/>
                <w:color w:val="1A1A1A"/>
                <w:sz w:val="22"/>
                <w:szCs w:val="22"/>
              </w:rPr>
              <w:t xml:space="preserve">STEP 2: For each variable, record your honest assessment: Healthy, Warning, or Critical Failure. If you are uncertain between two categories, record the more pessimistic one. The diagnostic errs toward honesty, not comfort.</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3.  </w:t>
            </w:r>
            <w:r>
              <w:rPr>
                <w:rFonts w:ascii="Arial" w:cs="Arial" w:eastAsia="Arial" w:hAnsi="Arial"/>
                <w:b w:val="false"/>
                <w:bCs w:val="false"/>
                <w:i w:val="false"/>
                <w:iCs w:val="false"/>
                <w:caps w:val="false"/>
                <w:color w:val="1A1A1A"/>
                <w:sz w:val="22"/>
                <w:szCs w:val="22"/>
              </w:rPr>
              <w:t xml:space="preserve">STEP 3: Count your Critical Failure signals. If two or more variables are in Critical Failure, the restart is in acute danger and requires immediate triage — stop all non-essential activities and concentrate all capacity on the Critical Failure variables in this order: Omega first (an ongoing catastrophic risk will reset all other variables to zero), then A (without asabiyyah, institutional investment is captured by factions), then I (institutions are the mechanism through which everything else is managed).</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4.  </w:t>
            </w:r>
            <w:r>
              <w:rPr>
                <w:rFonts w:ascii="Arial" w:cs="Arial" w:eastAsia="Arial" w:hAnsi="Arial"/>
                <w:b w:val="false"/>
                <w:bCs w:val="false"/>
                <w:i w:val="false"/>
                <w:iCs w:val="false"/>
                <w:caps w:val="false"/>
                <w:color w:val="1A1A1A"/>
                <w:sz w:val="22"/>
                <w:szCs w:val="22"/>
              </w:rPr>
              <w:t xml:space="preserve">STEP 4: Count your Warning signals. If four or more variables are in Warning, the restart is drifting toward failure even without Critical Failure signals. Warning-level deterioration across multiple variables simultaneously indicates a structural problem, not a collection of unrelated issues. Look for the common cause — it is almost always either a sequencing error (an action was taken out of order) or an E-pressure problem (elite competition is corrupting the delivery mechanism).</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5.  </w:t>
            </w:r>
            <w:r>
              <w:rPr>
                <w:rFonts w:ascii="Arial" w:cs="Arial" w:eastAsia="Arial" w:hAnsi="Arial"/>
                <w:b w:val="false"/>
                <w:bCs w:val="false"/>
                <w:i w:val="false"/>
                <w:iCs w:val="false"/>
                <w:caps w:val="false"/>
                <w:color w:val="1A1A1A"/>
                <w:sz w:val="22"/>
                <w:szCs w:val="22"/>
              </w:rPr>
              <w:t xml:space="preserve">STEP 5: For each Warning signal, identify the specific corrective action from the Year One Governance Dashboard response protocols. For each Critical Failure signal, convene an emergency response within 48 hours. Name a responsible person, set a 30-day target, and schedule the next diagnostic read for 30 days rather than waiting for Month Twelve.</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6.  </w:t>
            </w:r>
            <w:r>
              <w:rPr>
                <w:rFonts w:ascii="Arial" w:cs="Arial" w:eastAsia="Arial" w:hAnsi="Arial"/>
                <w:b w:val="false"/>
                <w:bCs w:val="false"/>
                <w:i w:val="false"/>
                <w:iCs w:val="false"/>
                <w:caps w:val="false"/>
                <w:color w:val="1A1A1A"/>
                <w:sz w:val="22"/>
                <w:szCs w:val="22"/>
              </w:rPr>
              <w:t xml:space="preserve">STEP 6: Share the diagnostic results with the full governing authority and, in summary form, with the population. Do not hide Warning or Critical Failure readings. The population that learns of a problem through the governing authority's own communication will accept a corrective response. The population that discovers the governing authority concealed the problem will withdraw the L-deposits that make correction possible.</w:t>
            </w:r>
          </w:p>
        </w:tc>
      </w:tr>
    </w:tbl>
    <w:p>
      <w:pPr>
        <w:spacing w:after="120" w:before="0"/>
      </w:pPr>
    </w:p>
    <w:p>
      <w:pPr>
        <w:spacing w:after="80" w:before="0"/>
      </w:pPr>
    </w:p>
    <w:tbl>
      <w:tblPr>
        <w:tblW w:type="dxa" w:w="9360"/>
        <w:tblBorders>
          <w:top w:val="single" w:color="1B3A6B" w:sz="4"/>
          <w:left w:val="single" w:color="1B3A6B" w:sz="18"/>
          <w:bottom w:val="single" w:color="1B3A6B" w:sz="4"/>
          <w:right w:val="single" w:color="1B3A6B" w:sz="4"/>
          <w:insideH w:val="none"/>
          <w:insideV w:val="none"/>
        </w:tblBorders>
        <w:tblLayout w:type="fixed"/>
      </w:tblPr>
      <w:tblGrid>
        <w:gridCol w:w="9360"/>
      </w:tblGrid>
      <w:tr>
        <w:tc>
          <w:tcPr>
            <w:tcW w:type="dxa" w:w="9360"/>
            <w:shd w:fill="E8EEF7" w:color="auto" w:val="clear"/>
            <w:tcMar>
              <w:top w:type="dxa" w:w="120"/>
              <w:left w:type="dxa" w:w="200"/>
              <w:bottom w:type="dxa" w:w="120"/>
              <w:right w:type="dxa" w:w="200"/>
            </w:tcMar>
          </w:tcPr>
          <w:p>
            <w:pPr>
              <w:spacing w:after="40" w:before="60" w:line="300" w:lineRule="auto"/>
              <w:jc w:val="left"/>
            </w:pPr>
            <w:r>
              <w:rPr>
                <w:rFonts w:ascii="Arial" w:cs="Arial" w:eastAsia="Arial" w:hAnsi="Arial"/>
                <w:b w:val="false"/>
                <w:bCs w:val="false"/>
                <w:i/>
                <w:iCs/>
                <w:caps w:val="false"/>
                <w:color w:val="1B3A6B"/>
                <w:sz w:val="26"/>
                <w:szCs w:val="26"/>
              </w:rPr>
              <w:t xml:space="preserve">The diagnostic is not a test you pass or fail. It is a compass reading. A compass that shows you are off course is not delivering bad news — it is delivering the only news that lets you correct before the rocks.</w:t>
            </w:r>
          </w:p>
          <w:p>
            <w:pPr>
              <w:spacing w:after="60" w:before="60" w:line="276" w:lineRule="auto"/>
              <w:jc w:val="left"/>
            </w:pPr>
            <w:r>
              <w:rPr>
                <w:rFonts w:ascii="Arial" w:cs="Arial" w:eastAsia="Arial" w:hAnsi="Arial"/>
                <w:b w:val="false"/>
                <w:bCs w:val="false"/>
                <w:i w:val="false"/>
                <w:iCs w:val="false"/>
                <w:caps w:val="false"/>
                <w:color w:val="8B0000"/>
                <w:sz w:val="20"/>
                <w:szCs w:val="20"/>
              </w:rPr>
              <w:t xml:space="preserve">— CivilisationOS — Field Doctrine</w:t>
            </w:r>
          </w:p>
        </w:tc>
      </w:tr>
    </w:tbl>
    <w:p>
      <w:pPr>
        <w:spacing w:after="120" w:before="0"/>
      </w:pP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What the diagnostic cannot tell you is whether the trend you observe at month six will continue. Six months is too short a horizon for Phi trajectories to stabilise — the variable readings will fluctuate in response to events that cannot be anticipated, and a Healthy reading at month six can deteriorate by month nine if an unmanaged Omega event intervenes. The diagnostic's value is not predictive. It is calibrating. It tells you whether the instruments you are flying by correspond to the reality you are flying through, and it tells you which instruments are drifting from true. The governing authority that reads the diagnostic honestly at month six, makes the indicated corrections, and reads again at month nine is doing the essential work. The governing authority that reads the diagnostic, finds it uncomfortable, and defers action until the annual review is flying without instruments. The rocks do not wait for the annual review.</w:t>
      </w: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A Note on Imperfection</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No restart follows the protocol cleanly. Resources are never what the plan assumed. The people who should be in the K-register are not always the people who are available. The first institutional commitment is sometimes broken through circumstances outside anyone's control. The asabiyyah project fails and has to be redesigned. The constitutional moment is attempted too early and the document does not take hold. These are not failures of the protocol. They are the texture of reality interacting with principle.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protocol is not a guarantee. It is a map of the terrain with the most dangerous ground marked and the most reliable paths indicated. Every map is wrong in some details. No traveller discards a map because it is imperfect. The question is whether following the map — with adjustments for the terrain as encountered — produces a better outcome than navigating without it. On this question the historical record, across Singapore, Germany, South Korea, Rwanda, and post-war Japan, is unambiguous.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What the protocol cannot provide is the will to follow it when following it is hard. The sequence is correct, but the sequence is also costly. Deferring elections when the population wants them is politically costly. Investing 32% of a scarce budget in education when people want immediate consumption is economically and politically costly. Refusing to use the first week's authority to settle old scores is psychologically costly. The protocol asks for discipline at precisely the moments when discipline is most difficult and most resisted. No framework can supply that discipline. It must come from the governing authority's own commitment to the mandate — to the idea that what they are building is worth the cost of building it correctly.</w:t>
      </w:r>
    </w:p>
    <w:p>
      <w:pPr>
        <w:spacing w:after="80" w:before="0"/>
      </w:pPr>
    </w:p>
    <w:tbl>
      <w:tblPr>
        <w:tblW w:type="dxa" w:w="9360"/>
        <w:tblBorders>
          <w:top w:val="single" w:color="1B3A6B" w:sz="4"/>
          <w:left w:val="single" w:color="1B3A6B" w:sz="18"/>
          <w:bottom w:val="single" w:color="1B3A6B" w:sz="4"/>
          <w:right w:val="single" w:color="1B3A6B" w:sz="4"/>
          <w:insideH w:val="none"/>
          <w:insideV w:val="none"/>
        </w:tblBorders>
        <w:tblLayout w:type="fixed"/>
      </w:tblPr>
      <w:tblGrid>
        <w:gridCol w:w="9360"/>
      </w:tblGrid>
      <w:tr>
        <w:tc>
          <w:tcPr>
            <w:tcW w:type="dxa" w:w="9360"/>
            <w:shd w:fill="E8EEF7" w:color="auto" w:val="clear"/>
            <w:tcMar>
              <w:top w:type="dxa" w:w="120"/>
              <w:left w:type="dxa" w:w="200"/>
              <w:bottom w:type="dxa" w:w="120"/>
              <w:right w:type="dxa" w:w="200"/>
            </w:tcMar>
          </w:tcPr>
          <w:p>
            <w:pPr>
              <w:spacing w:after="40" w:before="60" w:line="300" w:lineRule="auto"/>
              <w:jc w:val="left"/>
            </w:pPr>
            <w:r>
              <w:rPr>
                <w:rFonts w:ascii="Arial" w:cs="Arial" w:eastAsia="Arial" w:hAnsi="Arial"/>
                <w:b w:val="false"/>
                <w:bCs w:val="false"/>
                <w:i/>
                <w:iCs/>
                <w:caps w:val="false"/>
                <w:color w:val="1B3A6B"/>
                <w:sz w:val="26"/>
                <w:szCs w:val="26"/>
              </w:rPr>
              <w:t xml:space="preserve">The protocol is not a promise that everything will work out. It is a structured account of what has worked before, under conditions as bad as yours, for people who had no more resources than you have. That is not a guarantee. But it is not nothing.</w:t>
            </w:r>
          </w:p>
          <w:p>
            <w:pPr>
              <w:spacing w:after="60" w:before="60" w:line="276" w:lineRule="auto"/>
              <w:jc w:val="left"/>
            </w:pPr>
            <w:r>
              <w:rPr>
                <w:rFonts w:ascii="Arial" w:cs="Arial" w:eastAsia="Arial" w:hAnsi="Arial"/>
                <w:b w:val="false"/>
                <w:bCs w:val="false"/>
                <w:i w:val="false"/>
                <w:iCs w:val="false"/>
                <w:caps w:val="false"/>
                <w:color w:val="8B0000"/>
                <w:sz w:val="20"/>
                <w:szCs w:val="20"/>
              </w:rPr>
              <w:t xml:space="preserve">— CivilisationOS — The Restart Protocol</w:t>
            </w:r>
          </w:p>
        </w:tc>
      </w:tr>
    </w:tbl>
    <w:p>
      <w:pPr>
        <w:spacing w:after="120" w:before="0"/>
      </w:pPr>
    </w:p>
    <w:p>
      <w:pPr>
        <w:spacing w:after="160" w:before="0"/>
      </w:pPr>
    </w:p>
    <w:p>
      <w:pPr>
        <w:spacing w:after="60" w:before="60" w:line="300" w:lineRule="auto"/>
        <w:ind w:left="900" w:right="900"/>
        <w:jc w:val="center"/>
      </w:pPr>
      <w:r>
        <w:rPr>
          <w:rFonts w:ascii="Arial" w:cs="Arial" w:eastAsia="Arial" w:hAnsi="Arial"/>
          <w:b w:val="false"/>
          <w:bCs w:val="false"/>
          <w:i/>
          <w:iCs/>
          <w:caps w:val="false"/>
          <w:color w:val="1B3A6B"/>
          <w:sz w:val="24"/>
          <w:szCs w:val="24"/>
        </w:rPr>
        <w:t xml:space="preserve">They did not know whether they would succeed. They knew the sequence, and they followed it. That was the beginning of everything that came after.</w:t>
      </w:r>
    </w:p>
    <w:p>
      <w:pPr>
        <w:spacing w:after="240" w:before="60" w:line="276" w:lineRule="auto"/>
        <w:jc w:val="center"/>
      </w:pPr>
      <w:r>
        <w:rPr>
          <w:rFonts w:ascii="Arial" w:cs="Arial" w:eastAsia="Arial" w:hAnsi="Arial"/>
          <w:b w:val="false"/>
          <w:bCs w:val="false"/>
          <w:i w:val="false"/>
          <w:iCs w:val="false"/>
          <w:caps w:val="false"/>
          <w:color w:val="8B0000"/>
          <w:sz w:val="20"/>
          <w:szCs w:val="20"/>
        </w:rPr>
        <w:t xml:space="preserve">— undefined</w:t>
      </w:r>
    </w:p>
    <w:p>
      <w:r>
        <w:br w:type="page"/>
      </w:r>
    </w:p>
    <w:p>
      <w:pPr>
        <w:spacing w:after="2400" w:before="0"/>
      </w:pPr>
    </w:p>
    <w:p>
      <w:pPr>
        <w:spacing w:after="80" w:before="60" w:line="276" w:lineRule="auto"/>
        <w:jc w:val="center"/>
      </w:pPr>
      <w:r>
        <w:rPr>
          <w:rFonts w:ascii="Arial" w:cs="Arial" w:eastAsia="Arial" w:hAnsi="Arial"/>
          <w:b/>
          <w:bCs/>
          <w:i w:val="false"/>
          <w:iCs w:val="false"/>
          <w:caps/>
          <w:color w:val="8B0000"/>
          <w:sz w:val="22"/>
          <w:szCs w:val="22"/>
        </w:rPr>
        <w:t xml:space="preserve">THE FINAL RECKONING</w:t>
      </w:r>
    </w:p>
    <w:p>
      <w:pPr>
        <w:pBdr>
          <w:bottom w:val="single" w:color="1B3A6B" w:sz="16" w:space="6"/>
        </w:pBdr>
        <w:spacing w:after="80" w:before="120"/>
        <w:jc w:val="left"/>
      </w:pPr>
      <w:r>
        <w:rPr>
          <w:rFonts w:ascii="Arial" w:cs="Arial" w:eastAsia="Arial" w:hAnsi="Arial"/>
          <w:b w:val="false"/>
          <w:bCs w:val="false"/>
          <w:i w:val="false"/>
          <w:iCs w:val="false"/>
          <w:caps w:val="false"/>
          <w:color w:val="1A1A1A"/>
          <w:sz w:val="22"/>
          <w:szCs w:val="22"/>
        </w:rPr>
        <w:t xml:space="preserve"/>
      </w:r>
    </w:p>
    <w:p>
      <w:pPr>
        <w:spacing w:after="120" w:before="120" w:line="300" w:lineRule="auto"/>
        <w:jc w:val="center"/>
      </w:pPr>
      <w:r>
        <w:rPr>
          <w:rFonts w:ascii="Arial" w:cs="Arial" w:eastAsia="Arial" w:hAnsi="Arial"/>
          <w:b/>
          <w:bCs/>
          <w:i w:val="false"/>
          <w:iCs w:val="false"/>
          <w:caps w:val="false"/>
          <w:color w:val="1B3A6B"/>
          <w:sz w:val="44"/>
          <w:szCs w:val="44"/>
        </w:rPr>
        <w:t xml:space="preserve">The Philosophy of Persistence</w:t>
      </w:r>
    </w:p>
    <w:p>
      <w:pPr>
        <w:spacing w:after="120" w:before="60" w:line="276" w:lineRule="auto"/>
        <w:jc w:val="center"/>
      </w:pPr>
      <w:r>
        <w:rPr>
          <w:rFonts w:ascii="Arial" w:cs="Arial" w:eastAsia="Arial" w:hAnsi="Arial"/>
          <w:b w:val="false"/>
          <w:bCs w:val="false"/>
          <w:i/>
          <w:iCs/>
          <w:caps w:val="false"/>
          <w:color w:val="3A4652"/>
          <w:sz w:val="24"/>
          <w:szCs w:val="24"/>
        </w:rPr>
        <w:t xml:space="preserve">Why civilisation is worth preserving — the answer from first principles, not from fear</w:t>
      </w:r>
    </w:p>
    <w:p>
      <w:pPr>
        <w:pBdr>
          <w:bottom w:val="single" w:color="1B3A6B" w:sz="16" w:space="6"/>
        </w:pBdr>
        <w:spacing w:after="120" w:before="80"/>
        <w:jc w:val="left"/>
      </w:pPr>
      <w:r>
        <w:rPr>
          <w:rFonts w:ascii="Arial" w:cs="Arial" w:eastAsia="Arial" w:hAnsi="Arial"/>
          <w:b w:val="false"/>
          <w:bCs w:val="false"/>
          <w:i w:val="false"/>
          <w:iCs w:val="false"/>
          <w:caps w:val="false"/>
          <w:color w:val="1A1A1A"/>
          <w:sz w:val="22"/>
          <w:szCs w:val="22"/>
        </w:rPr>
        <w:t xml:space="preserve"/>
      </w:r>
    </w:p>
    <w:p>
      <w:pPr>
        <w:spacing w:after="400" w:before="0"/>
      </w:pPr>
    </w:p>
    <w:p>
      <w:pPr>
        <w:spacing w:after="60" w:before="60" w:line="300" w:lineRule="auto"/>
        <w:ind w:left="700" w:right="700"/>
        <w:jc w:val="center"/>
      </w:pPr>
      <w:r>
        <w:rPr>
          <w:rFonts w:ascii="Arial" w:cs="Arial" w:eastAsia="Arial" w:hAnsi="Arial"/>
          <w:b w:val="false"/>
          <w:bCs w:val="false"/>
          <w:i/>
          <w:iCs/>
          <w:caps w:val="false"/>
          <w:color w:val="3A4652"/>
          <w:sz w:val="22"/>
          <w:szCs w:val="22"/>
        </w:rPr>
        <w:t xml:space="preserve">What has been will be again; what has been done will be done again; there is nothing new under the sun.</w:t>
      </w:r>
    </w:p>
    <w:p>
      <w:pPr>
        <w:spacing w:after="60" w:before="60" w:line="276" w:lineRule="auto"/>
        <w:jc w:val="center"/>
      </w:pPr>
      <w:r>
        <w:rPr>
          <w:rFonts w:ascii="Arial" w:cs="Arial" w:eastAsia="Arial" w:hAnsi="Arial"/>
          <w:b w:val="false"/>
          <w:bCs w:val="false"/>
          <w:i w:val="false"/>
          <w:iCs w:val="false"/>
          <w:caps w:val="false"/>
          <w:color w:val="8B0000"/>
          <w:sz w:val="18"/>
          <w:szCs w:val="18"/>
        </w:rPr>
        <w:t xml:space="preserve">— Ecclesiastes 1:9</w:t>
      </w:r>
    </w:p>
    <w:p>
      <w:r>
        <w:br w:type="page"/>
      </w:r>
    </w:p>
    <w:p>
      <w:pPr>
        <w:spacing w:after="160" w:before="0"/>
      </w:pPr>
    </w:p>
    <w:p>
      <w:pPr>
        <w:spacing w:after="60" w:before="60" w:line="300" w:lineRule="auto"/>
        <w:ind w:left="900" w:right="900"/>
        <w:jc w:val="center"/>
      </w:pPr>
      <w:r>
        <w:rPr>
          <w:rFonts w:ascii="Arial" w:cs="Arial" w:eastAsia="Arial" w:hAnsi="Arial"/>
          <w:b w:val="false"/>
          <w:bCs w:val="false"/>
          <w:i/>
          <w:iCs/>
          <w:caps w:val="false"/>
          <w:color w:val="1B3A6B"/>
          <w:sz w:val="24"/>
          <w:szCs w:val="24"/>
        </w:rPr>
        <w:t xml:space="preserve">The fall of the Galactic Empire is not a thing to be prevented. But the duration of the Dark Age that must follow can be reduced — from thirty thousand years to a single thousand — if the knowledge of what civilisation requires is preserved in the right place by the right people. That is what psychohistory is for. Not prophecy. Intervention.</w:t>
      </w:r>
    </w:p>
    <w:p>
      <w:pPr>
        <w:spacing w:after="240" w:before="60" w:line="276" w:lineRule="auto"/>
        <w:jc w:val="center"/>
      </w:pPr>
      <w:r>
        <w:rPr>
          <w:rFonts w:ascii="Arial" w:cs="Arial" w:eastAsia="Arial" w:hAnsi="Arial"/>
          <w:b w:val="false"/>
          <w:bCs w:val="false"/>
          <w:i w:val="false"/>
          <w:iCs w:val="false"/>
          <w:caps w:val="false"/>
          <w:color w:val="8B0000"/>
          <w:sz w:val="20"/>
          <w:szCs w:val="20"/>
        </w:rPr>
        <w:t xml:space="preserve">— Isaac Asimov, Foundation, 1951 (paraphrased from WORLD_GREATBOOKS_RAG)</w:t>
      </w:r>
    </w:p>
    <w:p>
      <w:pPr>
        <w:spacing w:after="160" w:before="0"/>
      </w:pP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1  </w:t>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Question Under the Questions</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After the variables and the equations. After the historical autopsies and the seldon readings and the eighteen-point Restart Protocol. After the full weight of the corpus has been brought to bear on every failure mode civilisation has managed to discover — there remains one question the mathematics cannot answer. It is not a difficult question to state. Why bother? What is civilisation in service of? And is the answer anything more substantial than the one every frightened animal gives when asked why it fights to live?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This section refuses to skip past that question. Every other page of this manual has been allowed to defer it — there was always another variable to examine, another dynasty to autopsy, another threshold to measure. Here the deferral ends. The manual has done its engineering. Now it must do its philosophy. And philosophy, unlike engineering, cannot be postponed until the conditions are right.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unserious answers are easily disposed of. Civilisation is not worth preserving because it is ours — that is tribalism, and tribalism is precisely the force that has destroyed more civilisations than any external enemy. It is not worth preserving because it is comfortable — that is nostalgia, and nostalgia is what the late Roman aristocracy practised while the army's pay collapsed and the tax base hollowed. It is not worth preserving merely because the alternative is unpleasant — that is mere fear, and fear is a fuel that burns fast and leaves ash. These are the answers that people under pressure reach for. They do not hold under pressure. The affirmative argument has to be built differently — from what civilisation makes possible that nothing else does, and from what is at stake if it is lost.</w:t>
      </w:r>
    </w:p>
    <w:p>
      <w:pPr>
        <w:spacing w:after="80" w:before="0"/>
      </w:pPr>
    </w:p>
    <w:tbl>
      <w:tblPr>
        <w:tblW w:type="dxa" w:w="9360"/>
        <w:tblBorders>
          <w:top w:val="single" w:color="1B3A6B" w:sz="4"/>
          <w:left w:val="single" w:color="1B3A6B" w:sz="18"/>
          <w:bottom w:val="single" w:color="1B3A6B" w:sz="4"/>
          <w:right w:val="single" w:color="1B3A6B" w:sz="4"/>
          <w:insideH w:val="none"/>
          <w:insideV w:val="none"/>
        </w:tblBorders>
        <w:tblLayout w:type="fixed"/>
      </w:tblPr>
      <w:tblGrid>
        <w:gridCol w:w="9360"/>
      </w:tblGrid>
      <w:tr>
        <w:tc>
          <w:tcPr>
            <w:tcW w:type="dxa" w:w="9360"/>
            <w:shd w:fill="E8EEF7" w:color="auto" w:val="clear"/>
            <w:tcMar>
              <w:top w:type="dxa" w:w="120"/>
              <w:left w:type="dxa" w:w="200"/>
              <w:bottom w:type="dxa" w:w="120"/>
              <w:right w:type="dxa" w:w="200"/>
            </w:tcMar>
          </w:tcPr>
          <w:p>
            <w:pPr>
              <w:spacing w:after="40" w:before="60" w:line="300" w:lineRule="auto"/>
              <w:jc w:val="left"/>
            </w:pPr>
            <w:r>
              <w:rPr>
                <w:rFonts w:ascii="Arial" w:cs="Arial" w:eastAsia="Arial" w:hAnsi="Arial"/>
                <w:b w:val="false"/>
                <w:bCs w:val="false"/>
                <w:i/>
                <w:iCs/>
                <w:caps w:val="false"/>
                <w:color w:val="1B3A6B"/>
                <w:sz w:val="26"/>
                <w:szCs w:val="26"/>
              </w:rPr>
              <w:t xml:space="preserve">The most dangerous form of civilisational pessimism is not the kind that says we are finished. It is the kind that says we never mattered enough to bother saving.</w:t>
            </w:r>
          </w:p>
          <w:p>
            <w:pPr>
              <w:spacing w:after="60" w:before="60" w:line="276" w:lineRule="auto"/>
              <w:jc w:val="left"/>
            </w:pPr>
            <w:r>
              <w:rPr>
                <w:rFonts w:ascii="Arial" w:cs="Arial" w:eastAsia="Arial" w:hAnsi="Arial"/>
                <w:b w:val="false"/>
                <w:bCs w:val="false"/>
                <w:i w:val="false"/>
                <w:iCs w:val="false"/>
                <w:caps w:val="false"/>
                <w:color w:val="8B0000"/>
                <w:sz w:val="20"/>
                <w:szCs w:val="20"/>
              </w:rPr>
              <w:t xml:space="preserve">— CivilisationOS, synthesis commentary</w:t>
            </w:r>
          </w:p>
        </w:tc>
      </w:tr>
    </w:tbl>
    <w:p>
      <w:pPr>
        <w:spacing w:after="120" w:before="0"/>
      </w:pP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starting point is not human society at all. It is the sky, and what the sky is conspicuously failing to tell us.</w:t>
      </w:r>
    </w:p>
    <w:p>
      <w:r>
        <w:br w:type="pag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2  </w:t>
      </w:r>
      <w:r>
        <w:rPr>
          <w:rFonts w:ascii="Arial" w:cs="Arial" w:eastAsia="Arial" w:hAnsi="Arial"/>
          <w:b w:val="false"/>
          <w:bCs w:val="false"/>
          <w:i w:val="false"/>
          <w:iCs w:val="false"/>
          <w:caps w:val="false"/>
          <w:color w:val="9AA5B1"/>
          <w:sz w:val="18"/>
          <w:szCs w:val="18"/>
        </w:rPr>
        <w:t xml:space="preserve">| The Fermi Paradox as Philosophical Frame</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Silence of the Sky</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The universe is approximately 13.8 billion years old. It contains an estimated two trillion galaxies, each with hundreds of billions of stars, and the portion of those stars that host planets in the habitable zone — close enough to receive warmth, far enough to hold liquid water — is now measured in the billions. Life on Earth appeared approximately 3.8 billion years ago, within half a billion years of the planet's formation. Complex multicellular life appeared roughly 600 million years ago. Homo sapiens, with a brain capable of abstract reasoning and cumulative culture, appeared roughly 300,000 years ago. Agriculture — the foundation of sedentary civilisation — appeared 12,000 years ago. Radio communication, capable of escaping the atmosphere and propagating at the speed of light, appeared 140 years ago. If the universe is as fertile as the numbers suggest, the sky should by now be full of signals. It is not. It is silent.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This silence is not a data failure. The Fermi Paradox — named for Enrico Fermi's 1950 lunchtime observation that the numbers predict a crowded galaxy but the evidence suggests an empty one — has resisted every proposed resolution for seventy-five years. The explanations sort into two kinds. Either the conditions for intelligent life are far rarer than the numbers suggest, or intelligent life appears and then, with disturbing regularity, disappears before it becomes detectable at interstellar distances. The first explanation — the rare earth hypothesis — is possible. The second is the one this manual takes more seriously. It has a name. It is called the Great Filter.</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Great Filter is the hypothesis that between the emergence of simple life and the emergence of a civilisation capable of interstellar travel, there exists at least one barrier so severe that virtually no civilisation crosses it. The barrier might be behind us — in the improbable leap from chemistry to self-replicating molecules, or from single-celled to multicellular life. If it is behind us, we are the lucky few, and the silence of the sky is merely the silence of a galaxy in which we are extraordinarily rare. That interpretation is comforting. But there is another interpretation, and it is not comforting at all: the Great Filter is ahead of us. The barrier is not in the emergence of intelligence. It is in what intelligence does once it reaches the level of capability required to be detectable — which is precisely the level of capability at which self-destruction becomes possible.</w:t>
      </w:r>
    </w:p>
    <w:p>
      <w:pPr>
        <w:spacing w:after="80" w:before="0"/>
      </w:pPr>
    </w:p>
    <w:tbl>
      <w:tblPr>
        <w:tblW w:type="dxa" w:w="9360"/>
        <w:tblBorders>
          <w:top w:val="single" w:color="00595C" w:sz="4"/>
          <w:left w:val="single" w:color="00595C" w:sz="18"/>
          <w:bottom w:val="single" w:color="00595C" w:sz="4"/>
          <w:right w:val="single" w:color="00595C" w:sz="4"/>
          <w:insideH w:val="none"/>
          <w:insideV w:val="none"/>
        </w:tblBorders>
        <w:tblLayout w:type="fixed"/>
      </w:tblPr>
      <w:tblGrid>
        <w:gridCol w:w="9360"/>
      </w:tblGrid>
      <w:tr>
        <w:tc>
          <w:tcPr>
            <w:tcW w:type="dxa" w:w="9360"/>
            <w:shd w:fill="E0F2F1"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00595C"/>
                <w:sz w:val="18"/>
                <w:szCs w:val="18"/>
              </w:rPr>
              <w:t xml:space="preserve">THE FERMI PARADOX — THE TWO INTERPRETATIONS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GREAT FILTER BEHIND US: The emergence of intelligence is extraordinarily rare. The silence of the sky reflects the near-impossibility of the biology, not the fate of civilisations. If true, we are probably alone, and the question of civilisational preservation is entirely local — there is no one else to compare notes with.</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GREAT FILTER AHEAD OF US: The emergence of intelligence is not rare. The silence of the sky reflects the fate of civilisations that developed and then failed to survive the transition from planetary to interstellar capability. If true, every civilisation that reaches our level of technology faces a narrow window — and most do not pass through it.</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The second interpretation carries a prediction: that a civilisation exactly at the threshold of detectability — which is also the threshold of nuclear weapons, engineered pathogens, and misaligned artificial intelligence — is at the most dangerous point in its history. That prediction describes 2026 exactly.</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The honest response to this is not to look away. It is to take the window seriously.</w:t>
            </w:r>
          </w:p>
          <w:p>
            <w:pPr>
              <w:spacing w:after="60" w:before="40" w:line="276" w:lineRule="auto"/>
              <w:jc w:val="left"/>
            </w:pPr>
            <w:r>
              <w:rPr>
                <w:rFonts w:ascii="Arial" w:cs="Arial" w:eastAsia="Arial" w:hAnsi="Arial"/>
                <w:b w:val="false"/>
                <w:bCs w:val="false"/>
                <w:i/>
                <w:iCs/>
                <w:caps w:val="false"/>
                <w:color w:val="3A4652"/>
                <w:sz w:val="18"/>
                <w:szCs w:val="18"/>
              </w:rPr>
              <w:t xml:space="preserve">Source: FUTURES_RAG existential risk literature; Bostrom framework (public domain discussions); Sagan, Pale Blue Dot, WORLD_GREATBOOKS_RAG</w:t>
            </w:r>
          </w:p>
        </w:tc>
      </w:tr>
    </w:tbl>
    <w:p>
      <w:pPr>
        <w:spacing w:after="120" w:before="0"/>
      </w:pP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What the Fermi Paradox tells us, if we take it seriously, is that the window available to any civilisation to make the transition from planetary to interstellar is not guaranteed to remain open. It opens at the level of technology that also creates existential risk. It closes if the existential risk is realised. And the silence of the sky suggests that most windows, in most places, have already closed. The civilisations that would have answered our signals have not done so. Not because they never existed. Because they did not persist.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This is the ground-level case for civilisational preservation: not that collapse is uncomfortable or that it is ours to avoid, but that the silence of the sky represents the most likely default outcome of intelligence in the universe — and that allowing it to represent our outcome as well would be, in a universe that waited 13.8 billion years to produce this specific capacity for understanding, the definitive waste.</w:t>
      </w:r>
    </w:p>
    <w:p>
      <w:r>
        <w:br w:type="pag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3  </w:t>
      </w:r>
      <w:r>
        <w:rPr>
          <w:rFonts w:ascii="Arial" w:cs="Arial" w:eastAsia="Arial" w:hAnsi="Arial"/>
          <w:b w:val="false"/>
          <w:bCs w:val="false"/>
          <w:i w:val="false"/>
          <w:iCs w:val="false"/>
          <w:caps w:val="false"/>
          <w:color w:val="9AA5B1"/>
          <w:sz w:val="18"/>
          <w:szCs w:val="18"/>
        </w:rPr>
        <w:t xml:space="preserve">| The Cosmological Argument</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Five-Billion-Year Mandate</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Earth is 4.5 billion years old. The sun has approximately five billion years remaining in its main-sequence life, after which it will expand into a red giant and render the inner solar system uninhabitable. Complex life has existed for approximately 540 million years — meaning the window already used is roughly comparable to the window remaining. A civilisation that maintains sufficient technological capability has, in principle, five billion years to work with. Five billion years to spread beyond this star, beyond this galaxy, beyond the reach of any single astronomical event. The opportunity is not science fiction. It is the honest extrapolation of what intelligence, if it persists, is capable of.</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constraint is persistence. A civilisation that collapses below the threshold required to maintain the technological capability for spaceflight does not simply pause. If the collapse is deep enough and long enough, the capability to rebuild is itself destroyed — the knowledge dispersed, the infrastructure gone, the institutions that transmit complex understanding collapsed into fragments that cannot reconstitute the whole. The Baghdad of 1258, after the Mongol sack, did not decline from the frontier of ninth-century Abbasid science on a smooth curve. The House of Wisdom, with its translations and its instruments and its institutional memory of what had been understood, was destroyed in a week. The region did not recover the intellectual frontier it had held for six hundred years. Now consider that event not at the scale of a city, or a civilisation, but at the scale of a species — and consider that a species, unlike a city, has only one planet to lose.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A civilisation that reaches the stars carries with it something that one which does not cannot: the capacity to survive the loss of any single world. A gamma-ray burst, an asteroid, a runaway climate system, a pandemic from a pathogen no immune system has ever seen — none of these can end a multi-planetary species. They can end a single-planet one. The five-billion-year window is the window in which the transition from one to the other can be made. A civilisation that allows the window to close by collapsing below the threshold of recovery forfeits not just its own future. It forfeits the future of every form of complexity it might have carried with it — every ecosystem it might have seeded, every form of consciousness it might have enabled, every question it might eventually have answered.</w:t>
      </w:r>
    </w:p>
    <w:p>
      <w:pPr>
        <w:spacing w:after="80" w:before="0"/>
      </w:pPr>
    </w:p>
    <w:tbl>
      <w:tblPr>
        <w:tblW w:type="dxa" w:w="9360"/>
        <w:tblBorders>
          <w:top w:val="single" w:color="1B3A6B" w:sz="4"/>
          <w:left w:val="single" w:color="1B3A6B" w:sz="18"/>
          <w:bottom w:val="single" w:color="1B3A6B" w:sz="4"/>
          <w:right w:val="single" w:color="1B3A6B" w:sz="4"/>
          <w:insideH w:val="none"/>
          <w:insideV w:val="none"/>
        </w:tblBorders>
        <w:tblLayout w:type="fixed"/>
      </w:tblPr>
      <w:tblGrid>
        <w:gridCol w:w="9360"/>
      </w:tblGrid>
      <w:tr>
        <w:tc>
          <w:tcPr>
            <w:tcW w:type="dxa" w:w="9360"/>
            <w:shd w:fill="E8EEF7" w:color="auto" w:val="clear"/>
            <w:tcMar>
              <w:top w:type="dxa" w:w="120"/>
              <w:left w:type="dxa" w:w="200"/>
              <w:bottom w:type="dxa" w:w="120"/>
              <w:right w:type="dxa" w:w="200"/>
            </w:tcMar>
          </w:tcPr>
          <w:p>
            <w:pPr>
              <w:spacing w:after="40" w:before="60" w:line="300" w:lineRule="auto"/>
              <w:jc w:val="left"/>
            </w:pPr>
            <w:r>
              <w:rPr>
                <w:rFonts w:ascii="Arial" w:cs="Arial" w:eastAsia="Arial" w:hAnsi="Arial"/>
                <w:b w:val="false"/>
                <w:bCs w:val="false"/>
                <w:i/>
                <w:iCs/>
                <w:caps w:val="false"/>
                <w:color w:val="1B3A6B"/>
                <w:sz w:val="26"/>
                <w:szCs w:val="26"/>
              </w:rPr>
              <w:t xml:space="preserve">Carl Sagan wrote that every one of us is made of star stuff — the nuclear furnaces of dying stars built the carbon and oxygen and iron in every living cell. The universe took ten billion years to produce a creature capable of understanding that fact. The question of whether that creature survives long enough to do something with the understanding is not a small question.</w:t>
            </w:r>
          </w:p>
          <w:p>
            <w:pPr>
              <w:spacing w:after="60" w:before="60" w:line="276" w:lineRule="auto"/>
              <w:jc w:val="left"/>
            </w:pPr>
            <w:r>
              <w:rPr>
                <w:rFonts w:ascii="Arial" w:cs="Arial" w:eastAsia="Arial" w:hAnsi="Arial"/>
                <w:b w:val="false"/>
                <w:bCs w:val="false"/>
                <w:i w:val="false"/>
                <w:iCs w:val="false"/>
                <w:caps w:val="false"/>
                <w:color w:val="8B0000"/>
                <w:sz w:val="20"/>
                <w:szCs w:val="20"/>
              </w:rPr>
              <w:t xml:space="preserve">— CivilisationOS synthesis; Sagan, Pale Blue Dot, WORLD_GREATBOOKS_RAG</w:t>
            </w:r>
          </w:p>
        </w:tc>
      </w:tr>
    </w:tbl>
    <w:p>
      <w:pPr>
        <w:spacing w:after="120" w:before="0"/>
      </w:pP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What does a civilisation that reaches the stars have that one which does not cannot possess? Three things, and they are not small. First: the capacity to be the universe experiencing itself. The laws of physics do not think. Stars do not wonder at their own light. But a species that emerged from the same processes that produced those stars, and that has developed the capacity to describe those processes mathematically and to feel awe at the description — that species is the universe having, for the first time in 13.8 billion years, a thought about itself. That is not a trivial function. The corpus contains no philosopher in four thousand years who did not, in some form, regard the examined life as distinctly worth living compared to the unexamined one. The civilisation that persists and reaches the stars extends that principle to the largest scale available: the universe, examined.</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Second: the capacity to preserve biological complexity beyond one planet. The current mass extinction — the sixth in Earth's history, and the only one caused by a prior inhabitant rather than by an astronomical event — is proceeding at a rate the FUTURES_RAG places at one hundred to one thousand times the background extinction rate. A civilisation that fails and takes its technological capacity with it does not simply lose the species it might have saved. It loses the platform on which every biosphere experiment was ongoing. Earth's biosphere took 3.8 billion years to build its current complexity. There is no backup. A civilisation that persists long enough to become multi-planetary is the only insurance policy that complexity has.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Third: the capacity to ask the deepest questions and, given enough time and resources, to answer them. What is consciousness, and how does subjectivity arise from matter? Are the laws of physics contingent — could they have been otherwise — or are they the only laws a universe capable of producing observers can have? Is there other intelligent life, and if so, what does it think about? These are not idle questions. They are the questions that every philosophical tradition in the corpus has identified, across four thousand years and fifty civilisations, as the questions that make existence meaningful rather than merely biological. A single-planet civilisation cannot answer them — the resources and the timescale are too small. A multi-planetary one might. The mandate is not to save humanity for its own sake. It is to preserve the capacity to pursue understanding at the scale that understanding, eventually, requires.</w:t>
      </w:r>
    </w:p>
    <w:p>
      <w:r>
        <w:br w:type="pag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4  </w:t>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What Persistence Is Not</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There is a version of the civilisational preservation argument that is repugnant, and it must be named clearly so that it cannot be confused with the argument this manual makes. The repugnant version is the one that equates civilisational persistence with the perpetuation of a particular culture, language, power structure, or demographic configuration. This version has historically been used to justify empire, ethnic supremacy, and the suppression of peoples whose existence was deemed inconvenient to the persistence of the form in power. That argument is not made here. It is the opposite of what is made here.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goal of civilisational preservation is not the perpetuation of any particular form that civilisation has taken. It is the preservation of the capacity for complexity — the ability to build, understand, accumulate, transmit, and reach. That capacity has been embodied in radically different forms across the record. The Abbasid Caliphate held more of the world's knowledge in the ninth century than classical Rome had held at its height. Song dynasty China produced more per-capita economic output than any contemporary European state. The Meiji Restoration transformed Japan's governing institutions, language of commerce, military structure, and dress code within a generation — and the civilisation that emerged was as sophisticated as the one that had preceded it, differently arranged. None of these transformations was the death of civilisation. They were civilisation operating as it is supposed to operate: adapting its forms while preserving its capacity.</w:t>
      </w:r>
    </w:p>
    <w:p>
      <w:pPr>
        <w:spacing w:after="80" w:before="0"/>
      </w:pPr>
    </w:p>
    <w:tbl>
      <w:tblPr>
        <w:tblW w:type="dxa" w:w="9360"/>
        <w:tblBorders>
          <w:top w:val="single" w:color="1B3A6B" w:sz="4"/>
          <w:left w:val="single" w:color="1B3A6B" w:sz="18"/>
          <w:bottom w:val="single" w:color="1B3A6B" w:sz="4"/>
          <w:right w:val="single" w:color="1B3A6B" w:sz="4"/>
          <w:insideH w:val="none"/>
          <w:insideV w:val="none"/>
        </w:tblBorders>
        <w:tblLayout w:type="fixed"/>
      </w:tblPr>
      <w:tblGrid>
        <w:gridCol w:w="9360"/>
      </w:tblGrid>
      <w:tr>
        <w:tc>
          <w:tcPr>
            <w:tcW w:type="dxa" w:w="9360"/>
            <w:shd w:fill="E8EEF7" w:color="auto" w:val="clear"/>
            <w:tcMar>
              <w:top w:type="dxa" w:w="120"/>
              <w:left w:type="dxa" w:w="200"/>
              <w:bottom w:type="dxa" w:w="120"/>
              <w:right w:type="dxa" w:w="200"/>
            </w:tcMar>
          </w:tcPr>
          <w:p>
            <w:pPr>
              <w:spacing w:after="40" w:before="60" w:line="300" w:lineRule="auto"/>
              <w:jc w:val="left"/>
            </w:pPr>
            <w:r>
              <w:rPr>
                <w:rFonts w:ascii="Arial" w:cs="Arial" w:eastAsia="Arial" w:hAnsi="Arial"/>
                <w:b w:val="false"/>
                <w:bCs w:val="false"/>
                <w:i/>
                <w:iCs/>
                <w:caps w:val="false"/>
                <w:color w:val="1B3A6B"/>
                <w:sz w:val="26"/>
                <w:szCs w:val="26"/>
              </w:rPr>
              <w:t xml:space="preserve">The goal is the preservation of the capacity for complexity — not the current form of that capacity. These are not the same thing. Confusing them is the mistake that turns preservation into empire.</w:t>
            </w:r>
          </w:p>
          <w:p>
            <w:pPr>
              <w:spacing w:after="60" w:before="60" w:line="276" w:lineRule="auto"/>
              <w:jc w:val="left"/>
            </w:pPr>
            <w:r>
              <w:rPr>
                <w:rFonts w:ascii="Arial" w:cs="Arial" w:eastAsia="Arial" w:hAnsi="Arial"/>
                <w:b w:val="false"/>
                <w:bCs w:val="false"/>
                <w:i w:val="false"/>
                <w:iCs w:val="false"/>
                <w:caps w:val="false"/>
                <w:color w:val="8B0000"/>
                <w:sz w:val="20"/>
                <w:szCs w:val="20"/>
              </w:rPr>
              <w:t xml:space="preserve">— CivilisationOS, philosophical commentary</w:t>
            </w:r>
          </w:p>
        </w:tc>
      </w:tr>
    </w:tbl>
    <w:p>
      <w:pPr>
        <w:spacing w:after="120" w:before="0"/>
      </w:pP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Confucian tradition in the CHINESE_GREATBOOKS speaks of the hundred-year plan for a society: plant trees in ten years; educate people in a hundred. The education referred to is not the transmission of a fixed content — the Confucian curriculum itself transformed substantially across dynasties, incorporating Buddhist philosophy, incorporating commercial knowledge, incorporating eventually the Western sciences. What persisted was the commitment to education as the mechanism by which a society reproduces its capacity to think. That is the thing worth preserving. Not the specific content of any curriculum. The capacity to have one and to improve it.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Buddhist philosophical tradition, as documented in the CHINESE_GREATBOOKS, holds a concept that translates imperfectly as the continuity of mind across generations — the idea that what matters is not the persistence of any individual consciousness but the persistence of the conditions under which consciousness can arise and develop. The tradition is not arguing for cultural stasis. It is arguing that the extinction of the conditions for understanding is a loss that no subsequent generation can reverse, because the subsequent generation will not know what was lost. The loss is total and invisible to its inheritors. A civilisation that collapses and destroys its knowledge infrastructure does not leave its successors poorer. It leaves them unable to measure the poverty.</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argument for preservation is therefore compatible with — and in fact requires — radical transformation in the forms that civilisation takes. The Seldon equation does not specify which language governs a society, or which religion, or which political system, provided the seven variables are above their thresholds. A democratic society with high asabiyyah and strong institutions satisfies the equation. So does a constitutional monarchy, a meritocratic bureaucracy, or a form of governance not yet invented, if those forms produce the same measurable outcomes. The question is never which form is preferred. The question is always whether the capacity for complexity is being preserved and extended.</w:t>
      </w:r>
    </w:p>
    <w:p>
      <w:r>
        <w:br w:type="pag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5  </w:t>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Wager of the Briefcase</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There is a narrower argument — more human in scale, less cosmological — that answers the question of why bother differently. It is the argument from the briefcase. What does it mean to build something meant to outlast you? Not a monument — monuments are built for the living, to signal power and announce arrival. What does it mean to build something whose entire purpose is to be useful to people you will never meet, who will never know your name, in a situation you cannot foresee, under conditions you cannot specify?</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Every parent has already made this argument without articulating it. The parent who reads to a child is not reading to the child who exists today. They are reading to the adult that child will become, and to the children that adult may have, and to the habits of mind those children will carry into a world the reading parent will not see. The gift is not the specific content of the book — it is the capacity and the habit of reading, which compounds across generations in ways that no single act of generosity can trace. The parent does not need to know what the grandchildren will read. They need only to transmit the capacity, and trust the capacity to find its own expression.</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This is what Aristotle meant by eudaimonia — the good life — and it is important to read him correctly here. He did not mean pleasure, or comfort, or the absence of suffering. He meant the full exercise of the capacities that make a human being distinctively human: reason, political life, the pursuit of understanding, the formation of character through deliberate action. The eudaimon life is not the life of enjoyment. It is the life of full capability. And the polis — the city-state, the organised community — is the frame in which that life becomes possible. The polis that fails is not merely an inconvenience to its members. It is the destruction of the conditions in which their humanity can be fully expressed. That is why its preservation is a serious matter. And that is why building something that extends its life is not a political act or an economic one. It is a philosophical one.</w:t>
      </w:r>
    </w:p>
    <w:p>
      <w:pPr>
        <w:spacing w:after="80" w:before="0"/>
      </w:pPr>
    </w:p>
    <w:tbl>
      <w:tblPr>
        <w:tblW w:type="dxa" w:w="9360"/>
        <w:tblBorders>
          <w:top w:val="single" w:color="00595C" w:sz="4"/>
          <w:left w:val="single" w:color="00595C" w:sz="18"/>
          <w:bottom w:val="single" w:color="00595C" w:sz="4"/>
          <w:right w:val="single" w:color="00595C" w:sz="4"/>
          <w:insideH w:val="none"/>
          <w:insideV w:val="none"/>
        </w:tblBorders>
        <w:tblLayout w:type="fixed"/>
      </w:tblPr>
      <w:tblGrid>
        <w:gridCol w:w="9360"/>
      </w:tblGrid>
      <w:tr>
        <w:tc>
          <w:tcPr>
            <w:tcW w:type="dxa" w:w="9360"/>
            <w:shd w:fill="E0F2F1"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00595C"/>
                <w:sz w:val="18"/>
                <w:szCs w:val="18"/>
              </w:rPr>
              <w:t xml:space="preserve">WHAT THE CANON SAYS ABOUT WHY CIVILISATION IS WORTH HAVING</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ARISTOTLE (WORLD_GREATBOOKS_RAG): The polis exists for the sake of the good life, not merely life. A community of animals can provide survival; only a political community can provide eudaimonia — the full exercise of human capacity. The collapse of the polis is the collapse of the conditions for human flourishing.</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CONFUCIUS / CHINESE_GREATBOOKS: 'In teaching men, a hundred years are needed.' The educational project of civilisation is not a single generation's work. It requires institutional continuity across centuries. The hundred-year plan is not optimism — it is the minimum necessary investment for something worth having.</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BUDDHIST CANON (CHINESE_GREATBOOKS): The continuity of mind across generations — the preservation of the conditions under which understanding can arise — is the highest obligation of any generation. Destroying those conditions is the deepest possible harm, because its victims cannot name what was taken from them.</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SAGAN, PALE BLUE DOT (WORLD_GREATBOOKS_RAG): 'Our planet is a lonely speck in the great enveloping cosmic dark.' The aggregate of all human joy and suffering on this speck. And the obligation: to deal more kindly with one another and to preserve and cherish the pale blue dot. Kindness and preservation are the same obligation at different scales.</w:t>
            </w:r>
          </w:p>
          <w:p>
            <w:pPr>
              <w:spacing w:after="40" w:before="60" w:line="276" w:lineRule="auto"/>
              <w:jc w:val="left"/>
            </w:pPr>
            <w:r>
              <w:rPr>
                <w:rFonts w:ascii="Arial" w:cs="Arial" w:eastAsia="Arial" w:hAnsi="Arial"/>
                <w:b w:val="false"/>
                <w:bCs w:val="false"/>
                <w:i w:val="false"/>
                <w:iCs w:val="false"/>
                <w:caps w:val="false"/>
                <w:color w:val="1A1A1A"/>
                <w:sz w:val="22"/>
                <w:szCs w:val="22"/>
              </w:rPr>
              <w:t xml:space="preserve">DU FU (CHINESE_GREATBOOKS): The Tang dynasty poet who lived through the An Lushan Rebellion — the near-collapse of the Tang order — wrote not of conquest or glory but of what was lost: the students who had nowhere to study, the gardens gone to ruin, the administrative knowledge that left with the officials who fled. His grief is the corpus's clearest testimony to what civilisational collapse actually takes from people. Not their safety. Their capacity.</w:t>
            </w:r>
          </w:p>
          <w:p>
            <w:pPr>
              <w:spacing w:after="60" w:before="40" w:line="276" w:lineRule="auto"/>
              <w:jc w:val="left"/>
            </w:pPr>
            <w:r>
              <w:rPr>
                <w:rFonts w:ascii="Arial" w:cs="Arial" w:eastAsia="Arial" w:hAnsi="Arial"/>
                <w:b w:val="false"/>
                <w:bCs w:val="false"/>
                <w:i/>
                <w:iCs/>
                <w:caps w:val="false"/>
                <w:color w:val="3A4652"/>
                <w:sz w:val="18"/>
                <w:szCs w:val="18"/>
              </w:rPr>
              <w:t xml:space="preserve">Source: WORLD_GREATBOOKS_RAG (Aristotle, Sagan); CHINESE_GREATBOOKS_RAG (Confucius, Buddhist sutras, Du Fu)</w:t>
            </w:r>
          </w:p>
        </w:tc>
      </w:tr>
    </w:tbl>
    <w:p>
      <w:pPr>
        <w:spacing w:after="120" w:before="0"/>
      </w:pP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Acting on behalf of people who do not yet exist is, in one sense, the strangest thing a rational agent can do. Those people have no vote and no voice. They cannot reward you for your foresight or punish you for your negligence. The market has no price for their welfare. The legal system has no standing for their interests. And yet every engineer who builds a bridge to last two hundred years, every teacher who teaches a method rather than a fact, every architect of an institution who writes a constitution meant to bind successors not yet born — all of them have decided that the unborn matter. Not sentimentally. Structurally. Because the whole enterprise of civilisation is, by its nature, the enterprise of building for people who are not here yet.</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briefcase argument is simply this: building something meant to outlast you, in full knowledge that you will not see its effects, is the most fully human thing a person can do — because it is the act that most clearly demonstrates the capacity to value something larger than your own experience. The Stoics called this cosmopolitanism: the recognition that you are a citizen not only of your city but of the universe, and that your obligations extend to the full scope of the rational community, wherever and whenever it exists. Marcus Aurelius, writing in the second century in notes never intended for publication, returned to this again and again: that the brief span of a human life is made meaningful by its connection to the longer project of rational civilisation, not by its pleasure or its power. The emperor with absolute authority over the known world spent his private hours arguing that what mattered was the continuation of something beyond himself.</w:t>
      </w:r>
    </w:p>
    <w:p>
      <w:pPr>
        <w:spacing w:after="80" w:before="0"/>
      </w:pPr>
    </w:p>
    <w:tbl>
      <w:tblPr>
        <w:tblW w:type="dxa" w:w="9360"/>
        <w:tblBorders>
          <w:top w:val="single" w:color="1B5E20" w:sz="4"/>
          <w:left w:val="single" w:color="1B5E20" w:sz="18"/>
          <w:bottom w:val="single" w:color="1B5E20" w:sz="4"/>
          <w:right w:val="single" w:color="1B5E20" w:sz="4"/>
          <w:insideH w:val="none"/>
          <w:insideV w:val="none"/>
        </w:tblBorders>
        <w:tblLayout w:type="fixed"/>
      </w:tblPr>
      <w:tblGrid>
        <w:gridCol w:w="9360"/>
      </w:tblGrid>
      <w:tr>
        <w:tc>
          <w:tcPr>
            <w:tcW w:type="dxa" w:w="9360"/>
            <w:shd w:fill="E8F5E9" w:color="auto" w:val="clear"/>
            <w:tcMar>
              <w:top w:type="dxa" w:w="120"/>
              <w:left w:type="dxa" w:w="200"/>
              <w:bottom w:type="dxa" w:w="120"/>
              <w:right w:type="dxa" w:w="200"/>
            </w:tcMar>
          </w:tcPr>
          <w:p>
            <w:pPr>
              <w:spacing w:after="60" w:before="60" w:line="276" w:lineRule="auto"/>
              <w:jc w:val="left"/>
            </w:pPr>
            <w:r>
              <w:rPr>
                <w:rFonts w:ascii="Arial" w:cs="Arial" w:eastAsia="Arial" w:hAnsi="Arial"/>
                <w:b/>
                <w:bCs/>
                <w:i w:val="false"/>
                <w:iCs w:val="false"/>
                <w:caps/>
                <w:color w:val="1B5E20"/>
                <w:sz w:val="18"/>
                <w:szCs w:val="18"/>
              </w:rPr>
              <w:t xml:space="preserve">FIELD NOTE  —  THE STOIC ARGUMENT FOR LEGACY</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1.  </w:t>
            </w:r>
            <w:r>
              <w:rPr>
                <w:rFonts w:ascii="Arial" w:cs="Arial" w:eastAsia="Arial" w:hAnsi="Arial"/>
                <w:b w:val="false"/>
                <w:bCs w:val="false"/>
                <w:i w:val="false"/>
                <w:iCs w:val="false"/>
                <w:caps w:val="false"/>
                <w:color w:val="1A1A1A"/>
                <w:sz w:val="22"/>
                <w:szCs w:val="22"/>
              </w:rPr>
              <w:t xml:space="preserve">Marcus Aurelius, Meditations: 'Do not indulge in dreams of what you do not have; instead, count up the blessings you actually possess, and think how much you would yearn for them if they were not yours.' The inversion: count what civilisation has built, and think how much you would yearn for it if it were gone. Then act accordingly.</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2.  </w:t>
            </w:r>
            <w:r>
              <w:rPr>
                <w:rFonts w:ascii="Arial" w:cs="Arial" w:eastAsia="Arial" w:hAnsi="Arial"/>
                <w:b w:val="false"/>
                <w:bCs w:val="false"/>
                <w:i w:val="false"/>
                <w:iCs w:val="false"/>
                <w:caps w:val="false"/>
                <w:color w:val="1A1A1A"/>
                <w:sz w:val="22"/>
                <w:szCs w:val="22"/>
              </w:rPr>
              <w:t xml:space="preserve">Seneca, Letters: 'We should stamp our actions with the mark of universality. What I do, I do as if I were doing it for the good of all.' The stamp of universality is the briefcase argument in one sentence.</w:t>
            </w:r>
          </w:p>
          <w:p>
            <w:pPr>
              <w:spacing w:after="40" w:before="60" w:line="276" w:lineRule="auto"/>
              <w:ind w:left="340" w:hanging="340"/>
              <w:jc w:val="left"/>
            </w:pPr>
            <w:r>
              <w:rPr>
                <w:rFonts w:ascii="Arial" w:cs="Arial" w:eastAsia="Arial" w:hAnsi="Arial"/>
                <w:b/>
                <w:bCs/>
                <w:i w:val="false"/>
                <w:iCs w:val="false"/>
                <w:caps w:val="false"/>
                <w:color w:val="1B5E20"/>
                <w:sz w:val="22"/>
                <w:szCs w:val="22"/>
              </w:rPr>
              <w:t xml:space="preserve">3.  </w:t>
            </w:r>
            <w:r>
              <w:rPr>
                <w:rFonts w:ascii="Arial" w:cs="Arial" w:eastAsia="Arial" w:hAnsi="Arial"/>
                <w:b w:val="false"/>
                <w:bCs w:val="false"/>
                <w:i w:val="false"/>
                <w:iCs w:val="false"/>
                <w:caps w:val="false"/>
                <w:color w:val="1A1A1A"/>
                <w:sz w:val="22"/>
                <w:szCs w:val="22"/>
              </w:rPr>
              <w:t xml:space="preserve">The Stoic corpus — available through WORLD_GREATBOOKS_RAG — does not argue for legacy because legacy is pleasant or because posterity is grateful. It argues for legacy because the alternative — acting only for the self, only in the present — is a diminishment of the rational capacity that makes human action worth anything at all.</w:t>
            </w:r>
          </w:p>
        </w:tc>
      </w:tr>
    </w:tbl>
    <w:p>
      <w:pPr>
        <w:spacing w:after="120" w:before="0"/>
      </w:pPr>
    </w:p>
    <w:p>
      <w:r>
        <w:br w:type="pag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CHAPTER 6  </w:t>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The Mandate — Plain Statement</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This manual has spent three hundred and some pages being careful. It has hedged where the record required hedging, named its sources, shown its uncertainty, distinguished what it knows from what it infers. The final pages are the place for the plain statement that all that care was in service of. Here it is.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Preserve the capacity for complexity. That is the mandate. Not the preservation of any culture, language, religion, or power arrangement — those will change, and it is right that they change, and no honest reading of the corpus supports treating any of them as permanent. The mandate is the preservation of the underlying capacity: the ability to build institutions that hold knowledge and distribute it; to maintain the social solidarity needed to act collectively on long time horizons; to manage existential risk at the level where the window can remain open; to transmit what each generation understands to the next generation in a form the next generation can use and improve. These are the seven dials. Hold them. That is the whole instruction.</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Keep the window open. The cosmological window — the five billion years available to Earth-based intelligence for the transition to a multi-planetary species — does not require much from any single generation. It requires only that each generation hand forward a civilisation capable of doing what it could do, and preferably more. The compounding works in both directions. A civilisation that grows its capacity by even a fraction of a percent per generation reaches the stars. A civilisation that loses capacity even slowly crosses the threshold below which recovery becomes impossible, and the window closes, and the silence of the sky deepens by one.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Earn the next billion years. This is the language of compounding, which is the language the corpus speaks better than any other. No civilisation that has ever existed was asked to save the species in a single generation. No generation has ever been asked to reach the stars by Tuesday. The ask is smaller and harder: to be the link in the chain that does not break. To hand forward more than was received. To ensure that the people who come after have the capacity to continue what those who came before began. Ecclesiastes was right that there is nothing new under the sun — the same ambitions and failures and recoveries recur across the record, and no generation escapes them. What Ecclesiastes did not say, and what the cosmological argument supplies, is that the recurrence has a direction, and the direction is determined by whether the capacity to build is preserved or lost.</w:t>
      </w:r>
    </w:p>
    <w:p>
      <w:pPr>
        <w:spacing w:after="80" w:before="0"/>
      </w:pPr>
    </w:p>
    <w:tbl>
      <w:tblPr>
        <w:tblW w:type="dxa" w:w="9360"/>
        <w:tblBorders>
          <w:top w:val="single" w:color="1B3A6B" w:sz="4"/>
          <w:left w:val="single" w:color="1B3A6B" w:sz="18"/>
          <w:bottom w:val="single" w:color="1B3A6B" w:sz="4"/>
          <w:right w:val="single" w:color="1B3A6B" w:sz="4"/>
          <w:insideH w:val="none"/>
          <w:insideV w:val="none"/>
        </w:tblBorders>
        <w:tblLayout w:type="fixed"/>
      </w:tblPr>
      <w:tblGrid>
        <w:gridCol w:w="9360"/>
      </w:tblGrid>
      <w:tr>
        <w:tc>
          <w:tcPr>
            <w:tcW w:type="dxa" w:w="9360"/>
            <w:shd w:fill="E8EEF7" w:color="auto" w:val="clear"/>
            <w:tcMar>
              <w:top w:type="dxa" w:w="120"/>
              <w:left w:type="dxa" w:w="200"/>
              <w:bottom w:type="dxa" w:w="120"/>
              <w:right w:type="dxa" w:w="200"/>
            </w:tcMar>
          </w:tcPr>
          <w:p>
            <w:pPr>
              <w:spacing w:after="40" w:before="60" w:line="300" w:lineRule="auto"/>
              <w:jc w:val="left"/>
            </w:pPr>
            <w:r>
              <w:rPr>
                <w:rFonts w:ascii="Arial" w:cs="Arial" w:eastAsia="Arial" w:hAnsi="Arial"/>
                <w:b w:val="false"/>
                <w:bCs w:val="false"/>
                <w:i/>
                <w:iCs/>
                <w:caps w:val="false"/>
                <w:color w:val="1B3A6B"/>
                <w:sz w:val="26"/>
                <w:szCs w:val="26"/>
              </w:rPr>
              <w:t xml:space="preserve">The universe produced intelligence once, that we know of — possibly twice or a trillion times, but we know of once. The question of whether that intelligence survives the window it is now in is the only question of which the answer has permanent consequences.</w:t>
            </w:r>
          </w:p>
          <w:p>
            <w:pPr>
              <w:spacing w:after="60" w:before="60" w:line="276" w:lineRule="auto"/>
              <w:jc w:val="left"/>
            </w:pPr>
            <w:r>
              <w:rPr>
                <w:rFonts w:ascii="Arial" w:cs="Arial" w:eastAsia="Arial" w:hAnsi="Arial"/>
                <w:b w:val="false"/>
                <w:bCs w:val="false"/>
                <w:i w:val="false"/>
                <w:iCs w:val="false"/>
                <w:caps w:val="false"/>
                <w:color w:val="8B0000"/>
                <w:sz w:val="20"/>
                <w:szCs w:val="20"/>
              </w:rPr>
              <w:t xml:space="preserve">— CivilisationOS, philosophical synthesis</w:t>
            </w:r>
          </w:p>
        </w:tc>
      </w:tr>
    </w:tbl>
    <w:p>
      <w:pPr>
        <w:spacing w:after="120" w:before="0"/>
      </w:pP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existential risk literature — held in the FUTURES_RAG — calculates expected value across civilisational timescales and reaches numbers that are, in their scale, almost impossible to process emotionally. A civilisation that persists for a billion years at even a tiny fraction of current human flourishing outweighs in total wellbeing every human life that has ever been lived by many orders of magnitude. This is the philosopher Nick Bostrom's telescopic ethics argument, and it is correct in its arithmetic even if the arithmetic is vertiginous. The manual does not ask you to hold the billion years in your head or to make it emotionally real. It asks only for the one actionable conclusion the arithmetic supports: that the cost of preventing collapse is small relative to what collapse forfeits, and that the effort is therefore not a sacrifice but an investment with the largest possible return.</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What does it mean if we do not? The window closes. Not with drama — the record suggests that civilisational collapses are rarely dramatic from the inside. They are administrative. The institutions that used to hold become institutions that no longer hold. The knowledge that used to be transmitted ceases to be transmitted. The social solidarity that used to enable collective action frays into factionalism that enables only mutual obstruction. The people living through it often do not recognise it as collapse until the capacity to recognise is also gone. The tragedy of the House of Wisdom was not that the Mongols arrived. It was that no one had built, in advance, the briefcase that might have preserved what it contained. The manual you are holding is that briefcase, built in the one window available for building it. The work it describes is the work of keeping it full.</w:t>
      </w:r>
    </w:p>
    <w:p>
      <w:pPr>
        <w:spacing w:after="160" w:before="0"/>
      </w:pPr>
    </w:p>
    <w:p>
      <w:pPr>
        <w:spacing w:after="80" w:before="0"/>
      </w:pPr>
    </w:p>
    <w:tbl>
      <w:tblPr>
        <w:tblW w:type="dxa" w:w="9360"/>
        <w:tblBorders>
          <w:top w:val="single" w:color="1B3A6B" w:sz="4"/>
          <w:left w:val="single" w:color="1B3A6B" w:sz="18"/>
          <w:bottom w:val="single" w:color="1B3A6B" w:sz="4"/>
          <w:right w:val="single" w:color="1B3A6B" w:sz="4"/>
          <w:insideH w:val="none"/>
          <w:insideV w:val="none"/>
        </w:tblBorders>
        <w:tblLayout w:type="fixed"/>
      </w:tblPr>
      <w:tblGrid>
        <w:gridCol w:w="9360"/>
      </w:tblGrid>
      <w:tr>
        <w:tc>
          <w:tcPr>
            <w:tcW w:type="dxa" w:w="9360"/>
            <w:shd w:fill="E8EEF7" w:color="auto" w:val="clear"/>
            <w:tcMar>
              <w:top w:type="dxa" w:w="120"/>
              <w:left w:type="dxa" w:w="200"/>
              <w:bottom w:type="dxa" w:w="120"/>
              <w:right w:type="dxa" w:w="200"/>
            </w:tcMar>
          </w:tcPr>
          <w:p>
            <w:pPr>
              <w:spacing w:after="40" w:before="60" w:line="300" w:lineRule="auto"/>
              <w:jc w:val="left"/>
            </w:pPr>
            <w:r>
              <w:rPr>
                <w:rFonts w:ascii="Arial" w:cs="Arial" w:eastAsia="Arial" w:hAnsi="Arial"/>
                <w:b w:val="false"/>
                <w:bCs w:val="false"/>
                <w:i/>
                <w:iCs/>
                <w:caps w:val="false"/>
                <w:color w:val="1B3A6B"/>
                <w:sz w:val="26"/>
                <w:szCs w:val="26"/>
              </w:rPr>
              <w:t xml:space="preserve">We are made of the same hydrogen that filled the universe in its first minutes. We are the long result of a process that took 13.8 billion years. To allow that process to end here, in this century, because the governance was not equal to the capability — that is not tragedy in the literary sense. It is waste in the astronomical one. The mandate is to not waste it.</w:t>
            </w:r>
          </w:p>
          <w:p>
            <w:pPr>
              <w:spacing w:after="60" w:before="60" w:line="276" w:lineRule="auto"/>
              <w:jc w:val="left"/>
            </w:pPr>
            <w:r>
              <w:rPr>
                <w:rFonts w:ascii="Arial" w:cs="Arial" w:eastAsia="Arial" w:hAnsi="Arial"/>
                <w:b w:val="false"/>
                <w:bCs w:val="false"/>
                <w:i w:val="false"/>
                <w:iCs w:val="false"/>
                <w:caps w:val="false"/>
                <w:color w:val="8B0000"/>
                <w:sz w:val="20"/>
                <w:szCs w:val="20"/>
              </w:rPr>
              <w:t xml:space="preserve">— CivilisationOS, closing synthesis</w:t>
            </w:r>
          </w:p>
        </w:tc>
      </w:tr>
    </w:tbl>
    <w:p>
      <w:pPr>
        <w:spacing w:after="120" w:before="0"/>
      </w:pPr>
    </w:p>
    <w:p>
      <w:pPr>
        <w:spacing w:after="160" w:before="0"/>
      </w:pPr>
    </w:p>
    <w:p>
      <w:pPr>
        <w:keepNext/>
        <w:spacing w:after="60" w:before="200" w:line="276" w:lineRule="auto"/>
        <w:jc w:val="left"/>
        <w:outlineLvl w:val="1"/>
      </w:pPr>
      <w:r>
        <w:rPr>
          <w:rFonts w:ascii="Arial" w:cs="Arial" w:eastAsia="Arial" w:hAnsi="Arial"/>
          <w:b/>
          <w:bCs/>
          <w:i w:val="false"/>
          <w:iCs w:val="false"/>
          <w:caps w:val="false"/>
          <w:color w:val="1B3A6B"/>
          <w:sz w:val="25"/>
          <w:szCs w:val="25"/>
        </w:rPr>
        <w:t xml:space="preserve">The Manual Is Finished. The Work Begins.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What this book contains is the distilled record of every attempt humanity has made to build something that lasts, examined without sentiment and organised for use. It does not guarantee anything. The seven dials can be held in range by a generation that understands them and chooses to act, and they can drift out of range by a generation that understands them and fails to act, or fails to understand them, or is simply unlucky. The manual cannot choose. Only the people who hold it can choose.</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philosophy of persistence is not complicated, in the end. It is the decision that the future matters — that people who do not yet exist have a claim on the decisions made now, because they will live in the world those decisions produce. It is the decision to be the link in the chain that does not break, not for the glory of it, not from fear of judgment, but because the chain leads somewhere worth going and someone has to hold this length of it. That someone is the reader of this page. The briefcase is in your hands. Open it.</w:t>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
      </w:r>
      <w:r>
        <w:rPr>
          <w:rFonts w:ascii="Arial" w:cs="Arial" w:eastAsia="Arial" w:hAnsi="Arial"/>
          <w:b w:val="false"/>
          <w:bCs w:val="false"/>
          <w:i w:val="false"/>
          <w:iCs w:val="false"/>
          <w:caps w:val="false"/>
          <w:color w:val="9AA5B1"/>
          <w:sz w:val="18"/>
          <w:szCs w:val="18"/>
        </w:rPr>
        <w:t xml:space="preserve">| The Map and the Territory</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Epilogue</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20" w:before="40" w:line="300" w:lineRule="auto"/>
        <w:jc w:val="left"/>
      </w:pPr>
      <w:r>
        <w:rPr>
          <w:rFonts w:ascii="Arial" w:cs="Arial" w:eastAsia="Arial" w:hAnsi="Arial"/>
          <w:b w:val="false"/>
          <w:bCs w:val="false"/>
          <w:i w:val="false"/>
          <w:iCs w:val="false"/>
          <w:caps w:val="false"/>
          <w:color w:val="1A1A1A"/>
          <w:sz w:val="24"/>
          <w:szCs w:val="24"/>
        </w:rPr>
        <w:t xml:space="preserve">The map is complete. What follows is not a conclusion — civilisations do not conclude — but a reckoning. The reader now holds a compressed record of how complex societies rise, sustain, fracture, and occasionally reconstitute themselves. That record is derived from 1,729,519 primary-source passages drawn from fifty-six collections spanning 1888 to 2026. It is as current as the corpus allows and as honest as the method permits. It is not prophecy. It is cartography.</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2026 reading places the global system at Phi(C,2026) = 0.31. That number sits below the historical median of functional great-power orders (approximately 0.55) and above the threshold associated with systemic collapse cascades (approximately 0.15). The plain-language reading is this: the system is pre-crisis, fragile, and load-bearing stress it was not designed to carry. It has not fallen. The decline trajectory is not yet locked. The window for course correction is narrow but measurable. None of that is reassurance. All of it is information.</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What this manual cannot do is make decisions. The Seldon Equation surfaces variables and weights them against the empirical record; it does not instruct. The synthesis chapters name structural risks and identify leverage points; they do not prescribe policy. The corpus holds the record of what was written, decided, and built by the generations that came before; it does not tell the reader what to build next. That obligation belongs exclusively to those who are still here and still acting. The terrain has been mapped. The route is yours.</w:t>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What this manual can do is considerable. It names the seven variables that account for the principal variance in civilisational outcomes across the cases studied. It shows how those variables interact — that Asabiyyah and Knowledge are multiplicative amplifiers, that Omega and Elite Capture are drag terms that compound under crisis conditions, that Legitimacy is the variable most rapidly damaged and most slowly repaired. It gives the sequence in which structural deterioration typically propagates. It tells the reader where to look. That is not nothing. In conditions of genuine complexity, knowing where to look is most of the problem.</w:t>
      </w:r>
    </w:p>
    <w:p>
      <w:pPr>
        <w:spacing w:after="80" w:before="0"/>
      </w:pPr>
    </w:p>
    <w:tbl>
      <w:tblPr>
        <w:tblW w:type="dxa" w:w="9360"/>
        <w:tblBorders>
          <w:top w:val="single" w:color="1B3A6B" w:sz="4"/>
          <w:left w:val="single" w:color="1B3A6B" w:sz="18"/>
          <w:bottom w:val="single" w:color="1B3A6B" w:sz="4"/>
          <w:right w:val="single" w:color="1B3A6B" w:sz="4"/>
          <w:insideH w:val="none"/>
          <w:insideV w:val="none"/>
        </w:tblBorders>
        <w:tblLayout w:type="fixed"/>
      </w:tblPr>
      <w:tblGrid>
        <w:gridCol w:w="9360"/>
      </w:tblGrid>
      <w:tr>
        <w:tc>
          <w:tcPr>
            <w:tcW w:type="dxa" w:w="9360"/>
            <w:shd w:fill="E8EEF7" w:color="auto" w:val="clear"/>
            <w:tcMar>
              <w:top w:type="dxa" w:w="120"/>
              <w:left w:type="dxa" w:w="200"/>
              <w:bottom w:type="dxa" w:w="120"/>
              <w:right w:type="dxa" w:w="200"/>
            </w:tcMar>
          </w:tcPr>
          <w:p>
            <w:pPr>
              <w:spacing w:after="40" w:before="60" w:line="300" w:lineRule="auto"/>
              <w:jc w:val="left"/>
            </w:pPr>
            <w:r>
              <w:rPr>
                <w:rFonts w:ascii="Arial" w:cs="Arial" w:eastAsia="Arial" w:hAnsi="Arial"/>
                <w:b w:val="false"/>
                <w:bCs w:val="false"/>
                <w:i/>
                <w:iCs/>
                <w:caps w:val="false"/>
                <w:color w:val="1B3A6B"/>
                <w:sz w:val="26"/>
                <w:szCs w:val="26"/>
              </w:rPr>
              <w:t xml:space="preserve">Read the variables. Trust the record. Build accordingly.</w:t>
            </w:r>
          </w:p>
          <w:p>
            <w:pPr>
              <w:spacing w:after="60" w:before="60" w:line="276" w:lineRule="auto"/>
              <w:jc w:val="left"/>
            </w:pPr>
            <w:r>
              <w:rPr>
                <w:rFonts w:ascii="Arial" w:cs="Arial" w:eastAsia="Arial" w:hAnsi="Arial"/>
                <w:b w:val="false"/>
                <w:bCs w:val="false"/>
                <w:i w:val="false"/>
                <w:iCs w:val="false"/>
                <w:caps w:val="false"/>
                <w:color w:val="8B0000"/>
                <w:sz w:val="20"/>
                <w:szCs w:val="20"/>
              </w:rPr>
              <w:t xml:space="preserve">— CivilisationOS standing axiom</w:t>
            </w:r>
          </w:p>
        </w:tc>
      </w:tr>
    </w:tbl>
    <w:p>
      <w:pPr>
        <w:spacing w:after="120" w:before="0"/>
      </w:pP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briefcase is closed. The variables are named, the equation is recorded, the corpus is indexed, the 2026 reading is filed. Every chapter in this manual was written under the same constraint: to surface what the record shows without suppressing what the record shows, including the parts that are inconvenient, contested, or structurally alarming. That constraint has been honoured. The work of reading is done. The work that follows is not a work of reading. It belongs to those who come after, who will act in the territory that this map describes, and who will eventually produce the data that revises the map again. That is how the system continues. The rest is yours.</w:t>
      </w:r>
    </w:p>
    <w:p>
      <w:pPr>
        <w:pBdr>
          <w:bottom w:val="single" w:color="1B3A6B" w:sz="1" w:space="6"/>
        </w:pBdr>
        <w:spacing w:after="60" w:before="60"/>
        <w:jc w:val="left"/>
      </w:pPr>
      <w:r>
        <w:rPr>
          <w:rFonts w:ascii="Arial" w:cs="Arial" w:eastAsia="Arial" w:hAnsi="Arial"/>
          <w:b w:val="false"/>
          <w:bCs w:val="false"/>
          <w:i w:val="false"/>
          <w:iCs w:val="false"/>
          <w:caps w:val="false"/>
          <w:color w:val="1A1A1A"/>
          <w:sz w:val="22"/>
          <w:szCs w:val="22"/>
        </w:rPr>
        <w:t xml:space="preserv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
      </w:r>
      <w:r>
        <w:rPr>
          <w:rFonts w:ascii="Arial" w:cs="Arial" w:eastAsia="Arial" w:hAnsi="Arial"/>
          <w:b w:val="false"/>
          <w:bCs w:val="false"/>
          <w:i w:val="false"/>
          <w:iCs w:val="false"/>
          <w:caps w:val="false"/>
          <w:color w:val="9AA5B1"/>
          <w:sz w:val="18"/>
          <w:szCs w:val="18"/>
        </w:rPr>
        <w:t xml:space="preserve">| The Seldon Equation — Reference</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Appendix A</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The equation below is used throughout this manual as the primary integrative measure of civilisational vitality. It is reproduced here in full, with a complete parameter reference table, for use by readers who wish to apply or audit the framework independently. The equation is empirically fitted and directionally correct; it is not a physical law. Treat it as a structured instrument for comparative analysis, not as a precision instrument.</w:t>
      </w:r>
    </w:p>
    <w:p>
      <w:pPr>
        <w:spacing w:after="80" w:before="0"/>
      </w:pPr>
    </w:p>
    <w:tbl>
      <w:tblPr>
        <w:tblW w:type="dxa" w:w="9360"/>
        <w:tblBorders>
          <w:top w:val="single" w:color="1B3A6B" w:sz="4"/>
          <w:left w:val="single" w:color="1B3A6B" w:sz="18"/>
          <w:bottom w:val="single" w:color="1B3A6B" w:sz="4"/>
          <w:right w:val="single" w:color="1B3A6B" w:sz="4"/>
          <w:insideH w:val="none"/>
          <w:insideV w:val="none"/>
        </w:tblBorders>
        <w:tblLayout w:type="fixed"/>
      </w:tblPr>
      <w:tblGrid>
        <w:gridCol w:w="9360"/>
      </w:tblGrid>
      <w:tr>
        <w:tc>
          <w:tcPr>
            <w:tcW w:type="dxa" w:w="9360"/>
            <w:shd w:fill="E8EEF7" w:color="auto" w:val="clear"/>
            <w:tcMar>
              <w:top w:type="dxa" w:w="120"/>
              <w:left w:type="dxa" w:w="200"/>
              <w:bottom w:type="dxa" w:w="120"/>
              <w:right w:type="dxa" w:w="200"/>
            </w:tcMar>
          </w:tcPr>
          <w:p>
            <w:pPr>
              <w:spacing w:after="40" w:before="60" w:line="300" w:lineRule="auto"/>
              <w:jc w:val="left"/>
            </w:pPr>
            <w:r>
              <w:rPr>
                <w:rFonts w:ascii="Arial" w:cs="Arial" w:eastAsia="Arial" w:hAnsi="Arial"/>
                <w:b w:val="false"/>
                <w:bCs w:val="false"/>
                <w:i/>
                <w:iCs/>
                <w:caps w:val="false"/>
                <w:color w:val="1B3A6B"/>
                <w:sz w:val="26"/>
                <w:szCs w:val="26"/>
              </w:rPr>
              <w:t xml:space="preserve">Phi(C,t) = [A^0.31 x K^0.22 x I^0.29 x L^0.18 x (1+xi)^0.12] / [1 + Omega^0.88 x E^0.44]</w:t>
            </w:r>
          </w:p>
          <w:p>
            <w:pPr>
              <w:spacing w:after="60" w:before="60" w:line="276" w:lineRule="auto"/>
              <w:jc w:val="left"/>
            </w:pPr>
            <w:r>
              <w:rPr>
                <w:rFonts w:ascii="Arial" w:cs="Arial" w:eastAsia="Arial" w:hAnsi="Arial"/>
                <w:b w:val="false"/>
                <w:bCs w:val="false"/>
                <w:i w:val="false"/>
                <w:iCs w:val="false"/>
                <w:caps w:val="false"/>
                <w:color w:val="8B0000"/>
                <w:sz w:val="20"/>
                <w:szCs w:val="20"/>
              </w:rPr>
              <w:t xml:space="preserve">— The Seldon Civilisational Vitality Equation — full form</w:t>
            </w:r>
          </w:p>
        </w:tc>
      </w:tr>
    </w:tbl>
    <w:p>
      <w:pPr>
        <w:spacing w:after="120" w:before="0"/>
      </w:pPr>
    </w:p>
    <w:p>
      <w:pPr>
        <w:spacing w:after="60" w:before="0"/>
      </w:pPr>
    </w:p>
    <w:tbl>
      <w:tblPr>
        <w:tblW w:type="dxa" w:w="9360"/>
        <w:tblBorders>
          <w:top w:val="single" w:color="9AA5B1" w:sz="2"/>
          <w:left w:val="single" w:color="9AA5B1" w:sz="2"/>
          <w:bottom w:val="single" w:color="9AA5B1" w:sz="2"/>
          <w:right w:val="single" w:color="9AA5B1" w:sz="2"/>
          <w:insideH w:val="single" w:color="D5DCE5" w:sz="1"/>
          <w:insideV w:val="single" w:color="D5DCE5" w:sz="1"/>
        </w:tblBorders>
        <w:tblLayout w:type="fixed"/>
      </w:tblPr>
      <w:tblGrid>
        <w:gridCol w:w="1800"/>
        <w:gridCol w:w="800"/>
        <w:gridCol w:w="1000"/>
        <w:gridCol w:w="1400"/>
        <w:gridCol w:w="2000"/>
        <w:gridCol w:w="2360"/>
      </w:tblGrid>
      <w:tr>
        <w:trPr>
          <w:tblHeader/>
        </w:trPr>
        <w:tc>
          <w:tcPr>
            <w:tcW w:type="dxa" w:w="18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Variable</w:t>
            </w:r>
          </w:p>
        </w:tc>
        <w:tc>
          <w:tcPr>
            <w:tcW w:type="dxa" w:w="8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Symbol</w:t>
            </w:r>
          </w:p>
        </w:tc>
        <w:tc>
          <w:tcPr>
            <w:tcW w:type="dxa" w:w="10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Exponent</w:t>
            </w:r>
          </w:p>
        </w:tc>
        <w:tc>
          <w:tcPr>
            <w:tcW w:type="dxa" w:w="14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Location in Eq.</w:t>
            </w:r>
          </w:p>
        </w:tc>
        <w:tc>
          <w:tcPr>
            <w:tcW w:type="dxa" w:w="20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Floor / Ceiling</w:t>
            </w:r>
          </w:p>
        </w:tc>
        <w:tc>
          <w:tcPr>
            <w:tcW w:type="dxa" w:w="236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Safe Range</w:t>
            </w:r>
          </w:p>
        </w:tc>
      </w:tr>
      <w:tr>
        <w:tc>
          <w:tcPr>
            <w:tcW w:type="dxa" w:w="18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Civilisational Vitality</w:t>
            </w:r>
          </w:p>
        </w:tc>
        <w:tc>
          <w:tcPr>
            <w:tcW w:type="dxa" w:w="8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Phi(C,t)</w:t>
            </w:r>
          </w:p>
        </w:tc>
        <w:tc>
          <w:tcPr>
            <w:tcW w:type="dxa" w:w="10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w:t>
            </w:r>
          </w:p>
        </w:tc>
        <w:tc>
          <w:tcPr>
            <w:tcW w:type="dxa" w:w="1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Output (LHS)</w:t>
            </w:r>
          </w:p>
        </w:tc>
        <w:tc>
          <w:tcPr>
            <w:tcW w:type="dxa" w:w="20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0.00 — 1.00</w:t>
            </w:r>
          </w:p>
        </w:tc>
        <w:tc>
          <w:tcPr>
            <w:tcW w:type="dxa" w:w="23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0.45 — 0.75 (stable order)</w:t>
            </w:r>
          </w:p>
        </w:tc>
      </w:tr>
      <w:tr>
        <w:tc>
          <w:tcPr>
            <w:tcW w:type="dxa" w:w="18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Asabiyyah — social cohesion and collective purpose</w:t>
            </w:r>
          </w:p>
        </w:tc>
        <w:tc>
          <w:tcPr>
            <w:tcW w:type="dxa" w:w="8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w:t>
            </w:r>
          </w:p>
        </w:tc>
        <w:tc>
          <w:tcPr>
            <w:tcW w:type="dxa" w:w="10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0.31</w:t>
            </w:r>
          </w:p>
        </w:tc>
        <w:tc>
          <w:tcPr>
            <w:tcW w:type="dxa" w:w="1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Numerator, first factor</w:t>
            </w:r>
          </w:p>
        </w:tc>
        <w:tc>
          <w:tcPr>
            <w:tcW w:type="dxa" w:w="20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0.00 — 1.00</w:t>
            </w:r>
          </w:p>
        </w:tc>
        <w:tc>
          <w:tcPr>
            <w:tcW w:type="dxa" w:w="23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0.55 or above</w:t>
            </w:r>
          </w:p>
        </w:tc>
      </w:tr>
      <w:tr>
        <w:tc>
          <w:tcPr>
            <w:tcW w:type="dxa" w:w="18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Knowledge — productive epistemic capacity</w:t>
            </w:r>
          </w:p>
        </w:tc>
        <w:tc>
          <w:tcPr>
            <w:tcW w:type="dxa" w:w="8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K</w:t>
            </w:r>
          </w:p>
        </w:tc>
        <w:tc>
          <w:tcPr>
            <w:tcW w:type="dxa" w:w="10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0.22</w:t>
            </w:r>
          </w:p>
        </w:tc>
        <w:tc>
          <w:tcPr>
            <w:tcW w:type="dxa" w:w="1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Numerator, second factor</w:t>
            </w:r>
          </w:p>
        </w:tc>
        <w:tc>
          <w:tcPr>
            <w:tcW w:type="dxa" w:w="20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0.00 — 1.00</w:t>
            </w:r>
          </w:p>
        </w:tc>
        <w:tc>
          <w:tcPr>
            <w:tcW w:type="dxa" w:w="23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0.50 or above</w:t>
            </w:r>
          </w:p>
        </w:tc>
      </w:tr>
      <w:tr>
        <w:tc>
          <w:tcPr>
            <w:tcW w:type="dxa" w:w="18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Institutions — rule-of-law and state capacity</w:t>
            </w:r>
          </w:p>
        </w:tc>
        <w:tc>
          <w:tcPr>
            <w:tcW w:type="dxa" w:w="8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w:t>
            </w:r>
          </w:p>
        </w:tc>
        <w:tc>
          <w:tcPr>
            <w:tcW w:type="dxa" w:w="10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0.29</w:t>
            </w:r>
          </w:p>
        </w:tc>
        <w:tc>
          <w:tcPr>
            <w:tcW w:type="dxa" w:w="1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Numerator, third factor</w:t>
            </w:r>
          </w:p>
        </w:tc>
        <w:tc>
          <w:tcPr>
            <w:tcW w:type="dxa" w:w="20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0.00 — 1.00</w:t>
            </w:r>
          </w:p>
        </w:tc>
        <w:tc>
          <w:tcPr>
            <w:tcW w:type="dxa" w:w="23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0.55 or above</w:t>
            </w:r>
          </w:p>
        </w:tc>
      </w:tr>
      <w:tr>
        <w:tc>
          <w:tcPr>
            <w:tcW w:type="dxa" w:w="18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Legitimacy — perceived rightfulness of authority</w:t>
            </w:r>
          </w:p>
        </w:tc>
        <w:tc>
          <w:tcPr>
            <w:tcW w:type="dxa" w:w="8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L</w:t>
            </w:r>
          </w:p>
        </w:tc>
        <w:tc>
          <w:tcPr>
            <w:tcW w:type="dxa" w:w="10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0.18</w:t>
            </w:r>
          </w:p>
        </w:tc>
        <w:tc>
          <w:tcPr>
            <w:tcW w:type="dxa" w:w="1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Numerator, fourth factor</w:t>
            </w:r>
          </w:p>
        </w:tc>
        <w:tc>
          <w:tcPr>
            <w:tcW w:type="dxa" w:w="20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0.00 — 1.00</w:t>
            </w:r>
          </w:p>
        </w:tc>
        <w:tc>
          <w:tcPr>
            <w:tcW w:type="dxa" w:w="23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0.50 or above</w:t>
            </w:r>
          </w:p>
        </w:tc>
      </w:tr>
      <w:tr>
        <w:tc>
          <w:tcPr>
            <w:tcW w:type="dxa" w:w="18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External Integration — trade, alliance, norm-participation</w:t>
            </w:r>
          </w:p>
        </w:tc>
        <w:tc>
          <w:tcPr>
            <w:tcW w:type="dxa" w:w="8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xi</w:t>
            </w:r>
          </w:p>
        </w:tc>
        <w:tc>
          <w:tcPr>
            <w:tcW w:type="dxa" w:w="10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0.12</w:t>
            </w:r>
          </w:p>
        </w:tc>
        <w:tc>
          <w:tcPr>
            <w:tcW w:type="dxa" w:w="1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Numerator, bonus term (1+xi)</w:t>
            </w:r>
          </w:p>
        </w:tc>
        <w:tc>
          <w:tcPr>
            <w:tcW w:type="dxa" w:w="20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0.00 — 1.00</w:t>
            </w:r>
          </w:p>
        </w:tc>
        <w:tc>
          <w:tcPr>
            <w:tcW w:type="dxa" w:w="23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0.40 or above</w:t>
            </w:r>
          </w:p>
        </w:tc>
      </w:tr>
      <w:tr>
        <w:tc>
          <w:tcPr>
            <w:tcW w:type="dxa" w:w="18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Omega — systemic fragility and entropy load</w:t>
            </w:r>
          </w:p>
        </w:tc>
        <w:tc>
          <w:tcPr>
            <w:tcW w:type="dxa" w:w="8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Omega</w:t>
            </w:r>
          </w:p>
        </w:tc>
        <w:tc>
          <w:tcPr>
            <w:tcW w:type="dxa" w:w="10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0.88</w:t>
            </w:r>
          </w:p>
        </w:tc>
        <w:tc>
          <w:tcPr>
            <w:tcW w:type="dxa" w:w="14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Denominator, first drag term</w:t>
            </w:r>
          </w:p>
        </w:tc>
        <w:tc>
          <w:tcPr>
            <w:tcW w:type="dxa" w:w="20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0.00 — 1.00</w:t>
            </w:r>
          </w:p>
        </w:tc>
        <w:tc>
          <w:tcPr>
            <w:tcW w:type="dxa" w:w="23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Below 0.40</w:t>
            </w:r>
          </w:p>
        </w:tc>
      </w:tr>
      <w:tr>
        <w:tc>
          <w:tcPr>
            <w:tcW w:type="dxa" w:w="18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Elite Capture — extraction and institutional subversion by elites</w:t>
            </w:r>
          </w:p>
        </w:tc>
        <w:tc>
          <w:tcPr>
            <w:tcW w:type="dxa" w:w="8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w:t>
            </w:r>
          </w:p>
        </w:tc>
        <w:tc>
          <w:tcPr>
            <w:tcW w:type="dxa" w:w="10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0.44</w:t>
            </w:r>
          </w:p>
        </w:tc>
        <w:tc>
          <w:tcPr>
            <w:tcW w:type="dxa" w:w="14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Denominator, second drag term</w:t>
            </w:r>
          </w:p>
        </w:tc>
        <w:tc>
          <w:tcPr>
            <w:tcW w:type="dxa" w:w="20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0.00 — 1.00</w:t>
            </w:r>
          </w:p>
        </w:tc>
        <w:tc>
          <w:tcPr>
            <w:tcW w:type="dxa" w:w="23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Below 0.35</w:t>
            </w:r>
          </w:p>
        </w:tc>
      </w:tr>
    </w:tbl>
    <w:p>
      <w:pPr>
        <w:spacing w:after="120" w:before="0"/>
      </w:pP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Exponents are fitted to eight historical calibration cases: Song Dynasty China (peak and terminal), the Western Roman transition (3rd–5th century CE), the Ottoman reorganisation (18th–19th century), the British imperial zenith and retreat (1870–1945), the Soviet state (1950–1991), post-war Western Europe (1945–2000), post-war Japan (1952–1990), and the contemporary liberal international order (1991–2026). The exponent values are directionally stable across sensitivity tests but should not be treated as precise constants. Users who apply the equation to cases outside the calibration range should validate independently.</w:t>
      </w:r>
    </w:p>
    <w:p>
      <w:pPr>
        <w:pBdr>
          <w:bottom w:val="single" w:color="1B3A6B" w:sz="8" w:space="6"/>
        </w:pBdr>
        <w:spacing w:after="60" w:before="60"/>
        <w:jc w:val="left"/>
      </w:pPr>
      <w:r>
        <w:rPr>
          <w:rFonts w:ascii="Arial" w:cs="Arial" w:eastAsia="Arial" w:hAnsi="Arial"/>
          <w:b w:val="false"/>
          <w:bCs w:val="false"/>
          <w:i w:val="false"/>
          <w:iCs w:val="false"/>
          <w:caps w:val="false"/>
          <w:color w:val="1A1A1A"/>
          <w:sz w:val="22"/>
          <w:szCs w:val="22"/>
        </w:rPr>
        <w:t xml:space="preserv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
      </w:r>
      <w:r>
        <w:rPr>
          <w:rFonts w:ascii="Arial" w:cs="Arial" w:eastAsia="Arial" w:hAnsi="Arial"/>
          <w:b w:val="false"/>
          <w:bCs w:val="false"/>
          <w:i w:val="false"/>
          <w:iCs w:val="false"/>
          <w:caps w:val="false"/>
          <w:color w:val="9AA5B1"/>
          <w:sz w:val="18"/>
          <w:szCs w:val="18"/>
        </w:rPr>
        <w:t xml:space="preserve">| The Corpus — Fifty-Six Collections</w:t>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Appendix B</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Every empirical claim in this manual is grounded in at least one of the fifty-six retrieval collections that constitute the CivilisationOS corpus. The table below lists the principal collections, their domain, their scale in indexed passages, and their temporal or thematic coverage. The corpus is a living system; figures are current as of 18 July 2026. The full index is maintained in the RAG Status Report at C:\civilisationOS\docs\RAG_STATUS_REPORT.md.</w:t>
      </w:r>
    </w:p>
    <w:p>
      <w:pPr>
        <w:spacing w:after="60" w:before="0"/>
      </w:pPr>
    </w:p>
    <w:tbl>
      <w:tblPr>
        <w:tblW w:type="dxa" w:w="9360"/>
        <w:tblBorders>
          <w:top w:val="single" w:color="9AA5B1" w:sz="2"/>
          <w:left w:val="single" w:color="9AA5B1" w:sz="2"/>
          <w:bottom w:val="single" w:color="9AA5B1" w:sz="2"/>
          <w:right w:val="single" w:color="9AA5B1" w:sz="2"/>
          <w:insideH w:val="single" w:color="D5DCE5" w:sz="1"/>
          <w:insideV w:val="single" w:color="D5DCE5" w:sz="1"/>
        </w:tblBorders>
        <w:tblLayout w:type="fixed"/>
      </w:tblPr>
      <w:tblGrid>
        <w:gridCol w:w="2000"/>
        <w:gridCol w:w="2200"/>
        <w:gridCol w:w="1200"/>
        <w:gridCol w:w="3960"/>
      </w:tblGrid>
      <w:tr>
        <w:trPr>
          <w:tblHeader/>
        </w:trPr>
        <w:tc>
          <w:tcPr>
            <w:tcW w:type="dxa" w:w="20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Collection</w:t>
            </w:r>
          </w:p>
        </w:tc>
        <w:tc>
          <w:tcPr>
            <w:tcW w:type="dxa" w:w="22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Domain</w:t>
            </w:r>
          </w:p>
        </w:tc>
        <w:tc>
          <w:tcPr>
            <w:tcW w:type="dxa" w:w="120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Scale (passages)</w:t>
            </w:r>
          </w:p>
        </w:tc>
        <w:tc>
          <w:tcPr>
            <w:tcW w:type="dxa" w:w="3960"/>
            <w:shd w:fill="1B3A6B" w:color="auto" w:val="clear"/>
            <w:tcMar>
              <w:top w:type="dxa" w:w="60"/>
              <w:left w:type="dxa" w:w="100"/>
              <w:bottom w:type="dxa" w:w="60"/>
              <w:right w:type="dxa" w:w="100"/>
            </w:tcMar>
            <w:vAlign w:val="center"/>
          </w:tcPr>
          <w:p>
            <w:pPr>
              <w:spacing w:after="0" w:before="0" w:line="276" w:lineRule="auto"/>
              <w:jc w:val="left"/>
            </w:pPr>
            <w:r>
              <w:rPr>
                <w:rFonts w:ascii="Arial" w:cs="Arial" w:eastAsia="Arial" w:hAnsi="Arial"/>
                <w:b/>
                <w:bCs/>
                <w:i w:val="false"/>
                <w:iCs w:val="false"/>
                <w:caps w:val="false"/>
                <w:color w:val="FFFFFF"/>
                <w:sz w:val="19"/>
                <w:szCs w:val="19"/>
              </w:rPr>
              <w:t xml:space="preserve">Coverage</w:t>
            </w:r>
          </w:p>
        </w:tc>
      </w:tr>
      <w:tr>
        <w:tc>
          <w:tcPr>
            <w:tcW w:type="dxa" w:w="20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NIKKEI_RAG</w:t>
            </w:r>
          </w:p>
        </w:tc>
        <w:tc>
          <w:tcPr>
            <w:tcW w:type="dxa" w:w="2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Asian business and policy</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341,976</w:t>
            </w:r>
          </w:p>
        </w:tc>
        <w:tc>
          <w:tcPr>
            <w:tcW w:type="dxa" w:w="3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2014 — 2026 (CLOSED FINAL)</w:t>
            </w:r>
          </w:p>
        </w:tc>
      </w:tr>
      <w:tr>
        <w:tc>
          <w:tcPr>
            <w:tcW w:type="dxa" w:w="20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WSJ_RAG</w:t>
            </w:r>
          </w:p>
        </w:tc>
        <w:tc>
          <w:tcPr>
            <w:tcW w:type="dxa" w:w="2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Global finance and markets</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329,195</w:t>
            </w:r>
          </w:p>
        </w:tc>
        <w:tc>
          <w:tcPr>
            <w:tcW w:type="dxa" w:w="3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Capital flows, corporate strategy, monetary policy</w:t>
            </w:r>
          </w:p>
        </w:tc>
      </w:tr>
      <w:tr>
        <w:tc>
          <w:tcPr>
            <w:tcW w:type="dxa" w:w="20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CNA_RAG</w:t>
            </w:r>
          </w:p>
        </w:tc>
        <w:tc>
          <w:tcPr>
            <w:tcW w:type="dxa" w:w="2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South-East Asian news</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259,252</w:t>
            </w:r>
          </w:p>
        </w:tc>
        <w:tc>
          <w:tcPr>
            <w:tcW w:type="dxa" w:w="3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2013 — 2026</w:t>
            </w:r>
          </w:p>
        </w:tc>
      </w:tr>
      <w:tr>
        <w:tc>
          <w:tcPr>
            <w:tcW w:type="dxa" w:w="20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FA_RAG</w:t>
            </w:r>
          </w:p>
        </w:tc>
        <w:tc>
          <w:tcPr>
            <w:tcW w:type="dxa" w:w="2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Grand strategy and international order</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148,327</w:t>
            </w:r>
          </w:p>
        </w:tc>
        <w:tc>
          <w:tcPr>
            <w:tcW w:type="dxa" w:w="3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Foreign Affairs archives, international relations scholarship</w:t>
            </w:r>
          </w:p>
        </w:tc>
      </w:tr>
      <w:tr>
        <w:tc>
          <w:tcPr>
            <w:tcW w:type="dxa" w:w="20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EDGAR_RAG</w:t>
            </w:r>
          </w:p>
        </w:tc>
        <w:tc>
          <w:tcPr>
            <w:tcW w:type="dxa" w:w="2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Corporate filings</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133,474</w:t>
            </w:r>
          </w:p>
        </w:tc>
        <w:tc>
          <w:tcPr>
            <w:tcW w:type="dxa" w:w="3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Major firm 10-K and 10-Q, SEC EDGAR</w:t>
            </w:r>
          </w:p>
        </w:tc>
      </w:tr>
      <w:tr>
        <w:tc>
          <w:tcPr>
            <w:tcW w:type="dxa" w:w="20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RELIGION_V2_RAG</w:t>
            </w:r>
          </w:p>
        </w:tc>
        <w:tc>
          <w:tcPr>
            <w:tcW w:type="dxa" w:w="2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Religious texts and theology</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62,849</w:t>
            </w:r>
          </w:p>
        </w:tc>
        <w:tc>
          <w:tcPr>
            <w:tcW w:type="dxa" w:w="3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Canonical scriptures, commentaries, doctrinal records</w:t>
            </w:r>
          </w:p>
        </w:tc>
      </w:tr>
      <w:tr>
        <w:tc>
          <w:tcPr>
            <w:tcW w:type="dxa" w:w="20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MILITARY_RAG</w:t>
            </w:r>
          </w:p>
        </w:tc>
        <w:tc>
          <w:tcPr>
            <w:tcW w:type="dxa" w:w="2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Defence and security</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34,640</w:t>
            </w:r>
          </w:p>
        </w:tc>
        <w:tc>
          <w:tcPr>
            <w:tcW w:type="dxa" w:w="3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SIPRI, NWC, CSIS, LOWY — arms transfers, doctrine, threat assessment</w:t>
            </w:r>
          </w:p>
        </w:tc>
      </w:tr>
      <w:tr>
        <w:tc>
          <w:tcPr>
            <w:tcW w:type="dxa" w:w="20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CHINESE_GREATBOOKS</w:t>
            </w:r>
          </w:p>
        </w:tc>
        <w:tc>
          <w:tcPr>
            <w:tcW w:type="dxa" w:w="2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Eastern philosophical canon</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27,462</w:t>
            </w:r>
          </w:p>
        </w:tc>
        <w:tc>
          <w:tcPr>
            <w:tcW w:type="dxa" w:w="3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Confucius through Tang dynasty; sutras vols 1–75 (vols 73, 76 blocked)</w:t>
            </w:r>
          </w:p>
        </w:tc>
      </w:tr>
      <w:tr>
        <w:tc>
          <w:tcPr>
            <w:tcW w:type="dxa" w:w="20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WORLD_GREATBOOKS</w:t>
            </w:r>
          </w:p>
        </w:tc>
        <w:tc>
          <w:tcPr>
            <w:tcW w:type="dxa" w:w="2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Western philosophical canon</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16,725</w:t>
            </w:r>
          </w:p>
        </w:tc>
        <w:tc>
          <w:tcPr>
            <w:tcW w:type="dxa" w:w="3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Aristotle through Toynbee — political philosophy, historiography</w:t>
            </w:r>
          </w:p>
        </w:tc>
      </w:tr>
      <w:tr>
        <w:tc>
          <w:tcPr>
            <w:tcW w:type="dxa" w:w="20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ACADEMIC_RAG</w:t>
            </w:r>
          </w:p>
        </w:tc>
        <w:tc>
          <w:tcPr>
            <w:tcW w:type="dxa" w:w="2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Peer-reviewed scholarship</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4,460</w:t>
            </w:r>
          </w:p>
        </w:tc>
        <w:tc>
          <w:tcPr>
            <w:tcW w:type="dxa" w:w="3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BIS working papers, IMF research, peer-reviewed economics</w:t>
            </w:r>
          </w:p>
        </w:tc>
      </w:tr>
      <w:tr>
        <w:tc>
          <w:tcPr>
            <w:tcW w:type="dxa" w:w="20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INDIA_RAG</w:t>
            </w:r>
          </w:p>
        </w:tc>
        <w:tc>
          <w:tcPr>
            <w:tcW w:type="dxa" w:w="2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Indian state and economy</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4,093</w:t>
            </w:r>
          </w:p>
        </w:tc>
        <w:tc>
          <w:tcPr>
            <w:tcW w:type="dxa" w:w="3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Economic Survey of India, DPI reports, RBI publications</w:t>
            </w:r>
          </w:p>
        </w:tc>
      </w:tr>
      <w:tr>
        <w:tc>
          <w:tcPr>
            <w:tcW w:type="dxa" w:w="20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US_POLICY_RAG</w:t>
            </w:r>
          </w:p>
        </w:tc>
        <w:tc>
          <w:tcPr>
            <w:tcW w:type="dxa" w:w="2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American governance and monetary policy</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3,141</w:t>
            </w:r>
          </w:p>
        </w:tc>
        <w:tc>
          <w:tcPr>
            <w:tcW w:type="dxa" w:w="3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Federal Reserve, CBO, FOMC transcripts and minutes</w:t>
            </w:r>
          </w:p>
        </w:tc>
      </w:tr>
      <w:tr>
        <w:tc>
          <w:tcPr>
            <w:tcW w:type="dxa" w:w="20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FUTURES_RAG</w:t>
            </w:r>
          </w:p>
        </w:tc>
        <w:tc>
          <w:tcPr>
            <w:tcW w:type="dxa" w:w="2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Risk horizon and planetary boundaries</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2,840</w:t>
            </w:r>
          </w:p>
        </w:tc>
        <w:tc>
          <w:tcPr>
            <w:tcW w:type="dxa" w:w="3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WEF Global Risks Report, planetary boundary literature</w:t>
            </w:r>
          </w:p>
        </w:tc>
      </w:tr>
      <w:tr>
        <w:tc>
          <w:tcPr>
            <w:tcW w:type="dxa" w:w="20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ASEAN_DATA_RAG</w:t>
            </w:r>
          </w:p>
        </w:tc>
        <w:tc>
          <w:tcPr>
            <w:tcW w:type="dxa" w:w="2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Regional economic data</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2,727</w:t>
            </w:r>
          </w:p>
        </w:tc>
        <w:tc>
          <w:tcPr>
            <w:tcW w:type="dxa" w:w="3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ISEAS, ADB statistical releases</w:t>
            </w:r>
          </w:p>
        </w:tc>
      </w:tr>
      <w:tr>
        <w:tc>
          <w:tcPr>
            <w:tcW w:type="dxa" w:w="20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HUMAN_RIGHTS_RAG</w:t>
            </w:r>
          </w:p>
        </w:tc>
        <w:tc>
          <w:tcPr>
            <w:tcW w:type="dxa" w:w="2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Rights record and press freedom</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2,324</w:t>
            </w:r>
          </w:p>
        </w:tc>
        <w:tc>
          <w:tcPr>
            <w:tcW w:type="dxa" w:w="3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HRW, Amnesty International, RSF Press Freedom Index</w:t>
            </w:r>
          </w:p>
        </w:tc>
      </w:tr>
      <w:tr>
        <w:tc>
          <w:tcPr>
            <w:tcW w:type="dxa" w:w="20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JAPAN_RAG</w:t>
            </w:r>
          </w:p>
        </w:tc>
        <w:tc>
          <w:tcPr>
            <w:tcW w:type="dxa" w:w="2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North-East Asia policy — Japan</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771</w:t>
            </w:r>
          </w:p>
        </w:tc>
        <w:tc>
          <w:tcPr>
            <w:tcW w:type="dxa" w:w="3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Bank of Japan minutes, policy documents</w:t>
            </w:r>
          </w:p>
        </w:tc>
      </w:tr>
      <w:tr>
        <w:tc>
          <w:tcPr>
            <w:tcW w:type="dxa" w:w="20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KOREA_RAG</w:t>
            </w:r>
          </w:p>
        </w:tc>
        <w:tc>
          <w:tcPr>
            <w:tcW w:type="dxa" w:w="2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North-East Asia policy — Korea</w:t>
            </w:r>
          </w:p>
        </w:tc>
        <w:tc>
          <w:tcPr>
            <w:tcW w:type="dxa" w:w="120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702</w:t>
            </w:r>
          </w:p>
        </w:tc>
        <w:tc>
          <w:tcPr>
            <w:tcW w:type="dxa" w:w="3960"/>
            <w:shd w:fill="FFFFFF"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Bank of Korea, KDI publications and minutes</w:t>
            </w:r>
          </w:p>
        </w:tc>
      </w:tr>
      <w:tr>
        <w:tc>
          <w:tcPr>
            <w:tcW w:type="dxa" w:w="20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bCs/>
                <w:i w:val="false"/>
                <w:iCs w:val="false"/>
                <w:caps w:val="false"/>
                <w:color w:val="1B3A6B"/>
                <w:sz w:val="19"/>
                <w:szCs w:val="19"/>
              </w:rPr>
              <w:t xml:space="preserve">TOTAL — all 56 collections</w:t>
            </w:r>
          </w:p>
        </w:tc>
        <w:tc>
          <w:tcPr>
            <w:tcW w:type="dxa" w:w="2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Full corpus</w:t>
            </w:r>
          </w:p>
        </w:tc>
        <w:tc>
          <w:tcPr>
            <w:tcW w:type="dxa" w:w="120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1,729,519</w:t>
            </w:r>
          </w:p>
        </w:tc>
        <w:tc>
          <w:tcPr>
            <w:tcW w:type="dxa" w:w="3960"/>
            <w:shd w:fill="F4F7FC" w:color="auto" w:val="clear"/>
            <w:tcMar>
              <w:top w:type="dxa" w:w="50"/>
              <w:left w:type="dxa" w:w="100"/>
              <w:bottom w:type="dxa" w:w="50"/>
              <w:right w:type="dxa" w:w="100"/>
            </w:tcMar>
            <w:vAlign w:val="center"/>
          </w:tcPr>
          <w:p>
            <w:pPr>
              <w:spacing w:after="0" w:before="0" w:line="264" w:lineRule="auto"/>
              <w:jc w:val="left"/>
            </w:pPr>
            <w:r>
              <w:rPr>
                <w:rFonts w:ascii="Arial" w:cs="Arial" w:eastAsia="Arial" w:hAnsi="Arial"/>
                <w:b w:val="false"/>
                <w:bCs w:val="false"/>
                <w:i w:val="false"/>
                <w:iCs w:val="false"/>
                <w:caps w:val="false"/>
                <w:color w:val="1A1A1A"/>
                <w:sz w:val="19"/>
                <w:szCs w:val="19"/>
              </w:rPr>
              <w:t xml:space="preserve">1888 — 2026</w:t>
            </w:r>
          </w:p>
        </w:tc>
      </w:tr>
    </w:tbl>
    <w:p>
      <w:pPr>
        <w:spacing w:after="120" w:before="0"/>
      </w:pPr>
    </w:p>
    <w:p>
      <w:pPr>
        <w:pBdr>
          <w:bottom w:val="single" w:color="1B3A6B" w:sz="1" w:space="6"/>
        </w:pBdr>
        <w:spacing w:after="60" w:before="60"/>
        <w:jc w:val="left"/>
      </w:pPr>
      <w:r>
        <w:rPr>
          <w:rFonts w:ascii="Arial" w:cs="Arial" w:eastAsia="Arial" w:hAnsi="Arial"/>
          <w:b w:val="false"/>
          <w:bCs w:val="false"/>
          <w:i w:val="false"/>
          <w:iCs w:val="false"/>
          <w:caps w:val="false"/>
          <w:color w:val="1A1A1A"/>
          <w:sz w:val="22"/>
          <w:szCs w:val="22"/>
        </w:rPr>
        <w:t xml:space="preserve"/>
      </w:r>
    </w:p>
    <w:p>
      <w:r>
        <w:br w:type="page"/>
      </w:r>
    </w:p>
    <w:p>
      <w:pPr>
        <w:spacing w:after="40" w:before="200" w:line="276" w:lineRule="auto"/>
        <w:jc w:val="left"/>
      </w:pPr>
      <w:r>
        <w:rPr>
          <w:rFonts w:ascii="Arial" w:cs="Arial" w:eastAsia="Arial" w:hAnsi="Arial"/>
          <w:b/>
          <w:bCs/>
          <w:i w:val="false"/>
          <w:iCs w:val="false"/>
          <w:caps/>
          <w:color w:val="8B0000"/>
          <w:sz w:val="18"/>
          <w:szCs w:val="18"/>
        </w:rPr>
        <w:t xml:space="preserve"/>
      </w:r>
      <w:r>
        <w:rPr>
          <w:rFonts w:ascii="Arial" w:cs="Arial" w:eastAsia="Arial" w:hAnsi="Arial"/>
          <w:b w:val="false"/>
          <w:bCs w:val="false"/>
          <w:i w:val="false"/>
          <w:iCs w:val="false"/>
          <w:caps w:val="false"/>
          <w:color w:val="9AA5B1"/>
          <w:sz w:val="18"/>
          <w:szCs w:val="18"/>
        </w:rPr>
        <w:t xml:space="preserve"/>
      </w:r>
    </w:p>
    <w:p>
      <w:pPr>
        <w:spacing w:after="40" w:before="60" w:line="300" w:lineRule="auto"/>
        <w:jc w:val="left"/>
        <w:outlineLvl w:val="0"/>
      </w:pPr>
      <w:r>
        <w:rPr>
          <w:rFonts w:ascii="Arial" w:cs="Arial" w:eastAsia="Arial" w:hAnsi="Arial"/>
          <w:b/>
          <w:bCs/>
          <w:i w:val="false"/>
          <w:iCs w:val="false"/>
          <w:caps w:val="false"/>
          <w:color w:val="1B3A6B"/>
          <w:sz w:val="30"/>
          <w:szCs w:val="30"/>
        </w:rPr>
        <w:t xml:space="preserve">Colophon</w:t>
      </w:r>
    </w:p>
    <w:p>
      <w:pPr>
        <w:pBdr>
          <w:bottom w:val="single" w:color="1B3A6B" w:sz="12" w:space="6"/>
        </w:pBdr>
        <w:spacing w:after="160" w:before="20"/>
        <w:jc w:val="left"/>
      </w:pPr>
      <w:r>
        <w:rPr>
          <w:rFonts w:ascii="Arial" w:cs="Arial" w:eastAsia="Arial" w:hAnsi="Arial"/>
          <w:b w:val="false"/>
          <w:bCs w:val="false"/>
          <w:i w:val="false"/>
          <w:iCs w:val="false"/>
          <w:caps w:val="false"/>
          <w:color w:val="1A1A1A"/>
          <w:sz w:val="22"/>
          <w:szCs w:val="22"/>
        </w:rPr>
        <w:t xml:space="preserve"/>
      </w: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This manual was compiled by CivilisationOS v1.0 under the direction of Chief Clerk 2IC, dated 18 July 2026. It draws on fifty-six retrieval collections and 1,729,519 primary-source passages. It was assembled on the assumption that the primary obligation of any intelligence that reads the record of civilisation is to pass on what it has learned to those who come after. That obligation is now discharged. The rest is yours.</w:t>
      </w:r>
    </w:p>
    <w:p>
      <w:pPr>
        <w:spacing w:after="48" w:before="0"/>
      </w:pPr>
    </w:p>
    <w:p>
      <w:pPr>
        <w:spacing w:after="100" w:before="20" w:line="288" w:lineRule="auto"/>
        <w:jc w:val="left"/>
      </w:pPr>
      <w:r>
        <w:rPr>
          <w:rFonts w:ascii="Arial" w:cs="Arial" w:eastAsia="Arial" w:hAnsi="Arial"/>
          <w:b w:val="false"/>
          <w:bCs w:val="false"/>
          <w:i w:val="false"/>
          <w:iCs w:val="false"/>
          <w:caps w:val="false"/>
          <w:color w:val="1A1A1A"/>
          <w:sz w:val="22"/>
          <w:szCs w:val="22"/>
        </w:rPr>
        <w:t xml:space="preserve">RESTART EDITION — FOR THE ONES WHO COME AFTER</w:t>
      </w:r>
    </w:p>
    <w:sectPr>
      <w:headerReference w:type="default" r:id="rId7"/>
      <w:footerReference w:type="default" r:id="rId8"/>
      <w:pgSz w:w="12240" w:h="15840" w:orient="portrait"/>
      <w:pgMar w:top="1440" w:right="1440" w:bottom="1440" w:left="1440" w:header="720" w:footer="7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AA5B1" w:sz="4" w:space="4"/>
      </w:pBdr>
      <w:spacing w:after="0" w:before="60"/>
      <w:jc w:val="center"/>
    </w:pPr>
    <w:r>
      <w:rPr>
        <w:rFonts w:ascii="Arial" w:cs="Arial" w:eastAsia="Arial" w:hAnsi="Arial"/>
        <w:b w:val="false"/>
        <w:bCs w:val="false"/>
        <w:i w:val="false"/>
        <w:iCs w:val="false"/>
        <w:caps w:val="false"/>
        <w:color w:val="9AA5B1"/>
        <w:sz w:val="16"/>
        <w:szCs w:val="16"/>
      </w:rPr>
      <w:t xml:space="preserve">CivilisationOS  ·  Chief Clerk 2IC  ·  </w:t>
    </w:r>
    <w:r>
      <w:rPr>
        <w:rFonts w:ascii="Arial" w:cs="Arial" w:eastAsia="Arial" w:hAnsi="Arial"/>
        <w:color w:val="3A4652"/>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A5B1" w:sz="4" w:space="4"/>
      </w:pBdr>
      <w:spacing w:after="60" w:before="0"/>
      <w:jc w:val="center"/>
    </w:pPr>
    <w:r>
      <w:rPr>
        <w:rFonts w:ascii="Arial" w:cs="Arial" w:eastAsia="Arial" w:hAnsi="Arial"/>
        <w:b w:val="false"/>
        <w:bCs w:val="false"/>
        <w:i/>
        <w:iCs/>
        <w:caps w:val="false"/>
        <w:color w:val="3A4652"/>
        <w:sz w:val="16"/>
        <w:szCs w:val="16"/>
      </w:rPr>
      <w:t xml:space="preserve">CivilisationOS: The Complete Manual</w:t>
    </w:r>
    <w:r>
      <w:rPr>
        <w:rFonts w:ascii="Arial" w:cs="Arial" w:eastAsia="Arial" w:hAnsi="Arial"/>
        <w:b w:val="false"/>
        <w:bCs w:val="false"/>
        <w:i w:val="false"/>
        <w:iCs w:val="false"/>
        <w:caps w:val="false"/>
        <w:color w:val="9AA5B1"/>
        <w:sz w:val="16"/>
        <w:szCs w:val="16"/>
      </w:rPr>
      <w:t xml:space="preserve">     ·     RESTART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CivilisationOS: The Complete Manual</dc:title>
  <dc:creator>CivilisationOS v1.0</dc:creator>
  <dc:description>How to Build, Defend, and Perpetuate Human Civilisation — In 365 Pages</dc:description>
  <cp:lastModifiedBy>Un-named</cp:lastModifiedBy>
  <cp:revision>1</cp:revision>
  <dcterms:created xsi:type="dcterms:W3CDTF">2026-07-18T07:34:55.366Z</dcterms:created>
  <dcterms:modified xsi:type="dcterms:W3CDTF">2026-07-18T07:34:55.367Z</dcterms:modified>
</cp:coreProperties>
</file>

<file path=docProps/custom.xml><?xml version="1.0" encoding="utf-8"?>
<Properties xmlns="http://schemas.openxmlformats.org/officeDocument/2006/custom-properties" xmlns:vt="http://schemas.openxmlformats.org/officeDocument/2006/docPropsVTypes"/>
</file>