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Sohyun</w:t>
      </w:r>
      <w:r>
        <w:t xml:space="preserve"> </w:t>
      </w:r>
      <w:r>
        <w:t xml:space="preserve">Park</w:t>
      </w:r>
    </w:p>
    <w:p>
      <w:pPr>
        <w:pStyle w:val="Date"/>
      </w:pPr>
      <w:r>
        <w:t xml:space="preserve">2024-10-04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hyperlink r:id="rId20">
        <w:r>
          <w:rPr>
            <w:rStyle w:val="Hyperlink"/>
          </w:rPr>
          <w:t xml:space="preserve">Quarto Document</w:t>
        </w:r>
      </w:hyperlink>
    </w:p>
    <w:bookmarkStart w:id="25" w:name="sections"/>
    <w:p>
      <w:pPr>
        <w:pStyle w:val="Heading1"/>
      </w:pPr>
      <w:r>
        <w:t xml:space="preserve">1. Sections</w:t>
      </w:r>
    </w:p>
    <w:bookmarkStart w:id="21" w:name="colors"/>
    <w:p>
      <w:pPr>
        <w:pStyle w:val="Heading2"/>
      </w:pPr>
      <w:r>
        <w:t xml:space="preserve">1.1 Colors</w:t>
      </w:r>
    </w:p>
    <w:p>
      <w:pPr>
        <w:pStyle w:val="Compact"/>
        <w:numPr>
          <w:ilvl w:val="0"/>
          <w:numId w:val="1001"/>
        </w:numPr>
      </w:pPr>
      <w:r>
        <w:t xml:space="preserve">Red</w:t>
      </w:r>
    </w:p>
    <w:p>
      <w:pPr>
        <w:pStyle w:val="Compact"/>
        <w:numPr>
          <w:ilvl w:val="0"/>
          <w:numId w:val="1001"/>
        </w:numPr>
      </w:pPr>
      <w:r>
        <w:t xml:space="preserve">Green</w:t>
      </w:r>
    </w:p>
    <w:p>
      <w:pPr>
        <w:pStyle w:val="Compact"/>
        <w:numPr>
          <w:ilvl w:val="0"/>
          <w:numId w:val="1001"/>
        </w:numPr>
      </w:pPr>
      <w:r>
        <w:t xml:space="preserve">Blue</w:t>
      </w:r>
    </w:p>
    <w:bookmarkEnd w:id="21"/>
    <w:bookmarkStart w:id="22" w:name="shapes"/>
    <w:p>
      <w:pPr>
        <w:pStyle w:val="Heading2"/>
      </w:pPr>
      <w:r>
        <w:t xml:space="preserve">1.2 Shapes</w:t>
      </w:r>
    </w:p>
    <w:p>
      <w:pPr>
        <w:pStyle w:val="Compact"/>
        <w:numPr>
          <w:ilvl w:val="0"/>
          <w:numId w:val="1002"/>
        </w:numPr>
      </w:pPr>
      <w:r>
        <w:t xml:space="preserve">Square</w:t>
      </w:r>
    </w:p>
    <w:p>
      <w:pPr>
        <w:pStyle w:val="Compact"/>
        <w:numPr>
          <w:ilvl w:val="0"/>
          <w:numId w:val="1002"/>
        </w:numPr>
      </w:pPr>
      <w:r>
        <w:t xml:space="preserve">Circle</w:t>
      </w:r>
    </w:p>
    <w:p>
      <w:pPr>
        <w:pStyle w:val="Compact"/>
        <w:numPr>
          <w:ilvl w:val="0"/>
          <w:numId w:val="1002"/>
        </w:numPr>
      </w:pPr>
      <w:r>
        <w:t xml:space="preserve">Triangle</w:t>
      </w:r>
    </w:p>
    <w:bookmarkEnd w:id="22"/>
    <w:bookmarkStart w:id="23" w:name="textures"/>
    <w:p>
      <w:pPr>
        <w:pStyle w:val="Heading2"/>
      </w:pPr>
      <w:r>
        <w:t xml:space="preserve">1.3 Textures</w:t>
      </w:r>
    </w:p>
    <w:p>
      <w:pPr>
        <w:pStyle w:val="Compact"/>
        <w:numPr>
          <w:ilvl w:val="0"/>
          <w:numId w:val="1003"/>
        </w:numPr>
      </w:pPr>
      <w:r>
        <w:t xml:space="preserve">Smooth</w:t>
      </w:r>
    </w:p>
    <w:p>
      <w:pPr>
        <w:pStyle w:val="Compact"/>
        <w:numPr>
          <w:ilvl w:val="0"/>
          <w:numId w:val="1003"/>
        </w:numPr>
      </w:pPr>
      <w:r>
        <w:t xml:space="preserve">Bumpy</w:t>
      </w:r>
    </w:p>
    <w:p>
      <w:pPr>
        <w:pStyle w:val="Compact"/>
        <w:numPr>
          <w:ilvl w:val="0"/>
          <w:numId w:val="1003"/>
        </w:numPr>
      </w:pPr>
      <w:r>
        <w:t xml:space="preserve">Fuzzy</w:t>
      </w:r>
    </w:p>
    <w:bookmarkEnd w:id="23"/>
    <w:bookmarkStart w:id="24" w:name="equations"/>
    <w:p>
      <w:pPr>
        <w:pStyle w:val="Heading2"/>
      </w:pPr>
      <w:r>
        <w:t xml:space="preserve">1.4 Equations</w:t>
      </w:r>
    </w:p>
    <w:p>
      <w:pPr>
        <w:pStyle w:val="FirstParagraph"/>
      </w:pPr>
      <w:r>
        <w:t xml:space="preserve">Einstein’s theory of special relatively that expresses the equivalence of mass and energy:</w:t>
      </w:r>
    </w:p>
    <w:p>
      <w:pPr>
        <w:pStyle w:val="BodyText"/>
      </w:pP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bookmarkEnd w:id="24"/>
    <w:bookmarkEnd w:id="25"/>
    <w:bookmarkStart w:id="26" w:name="citations"/>
    <w:p>
      <w:pPr>
        <w:pStyle w:val="Heading1"/>
      </w:pPr>
      <w:r>
        <w:t xml:space="preserve">2. Citations</w:t>
      </w:r>
    </w:p>
    <w:p>
      <w:pPr>
        <w:pStyle w:val="FirstParagraph"/>
      </w:pPr>
      <w:r>
        <w:t xml:space="preserve">Mary says</w:t>
      </w:r>
      <w:r>
        <w:t xml:space="preserve"> </w:t>
      </w:r>
      <w:r>
        <w:rPr>
          <w:i/>
          <w:iCs/>
        </w:rPr>
        <w:t xml:space="preserve">Hydrophobicity is ubiquitous. Many aquatic and semi-aquatic plants, such as the lotus, utilise hydrophobicity in their self-cleaning mechanisms which reduce their chances of infection from harmful pathogens present in the bodies of water in which they grow [2]. Butterflies have been found to utilise hydrophobicity to ensure that rain droplets which fall on their wings roll off away from their bodies [3]. Proteins have been found to utilise localised hydrophobicity to evacuate surrounding water and enable ligand binding [4]. Detergents utilise the hydrophobicity driven self assembly of amphiphilic molecules into micelle structures to remove grease from clothes [5]. The influence of hydrophobicity is felt in every aspect of our lives.</w:t>
      </w:r>
      <w:r>
        <w:t xml:space="preserve"> </w:t>
      </w:r>
      <w:r>
        <w:t xml:space="preserve">(Coe, n.d.)</w:t>
      </w:r>
      <w:r>
        <w:t xml:space="preserve">.</w:t>
      </w:r>
    </w:p>
    <w:bookmarkEnd w:id="26"/>
    <w:bookmarkStart w:id="34" w:name="cross-references"/>
    <w:p>
      <w:pPr>
        <w:pStyle w:val="Heading1"/>
      </w:pPr>
      <w:r>
        <w:t xml:space="preserve">3. Cross References</w:t>
      </w:r>
    </w:p>
    <w:p>
      <w:pPr>
        <w:pStyle w:val="FirstParagraph"/>
      </w:pPr>
      <w:r>
        <w:t xml:space="preserve">See</w:t>
      </w:r>
      <w:r>
        <w:t xml:space="preserve"> </w:t>
      </w:r>
      <w:hyperlink w:anchor="fig-si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in</w:t>
      </w:r>
      <w:r>
        <w:t xml:space="preserve"> </w:t>
      </w:r>
      <w:hyperlink w:anchor="sec-plot">
        <w:r>
          <w:rPr>
            <w:rStyle w:val="Hyperlink"/>
          </w:rPr>
          <w:t xml:space="preserve">Section 3.1</w:t>
        </w:r>
      </w:hyperlink>
      <w:r>
        <w:t xml:space="preserve"> </w:t>
      </w:r>
      <w:r>
        <w:t xml:space="preserve">for a demonstration of a simple plot.</w:t>
      </w:r>
    </w:p>
    <w:p>
      <w:pPr>
        <w:pStyle w:val="BodyText"/>
      </w:pPr>
      <w:r>
        <w:t xml:space="preserve">See</w:t>
      </w:r>
      <w:r>
        <w:t xml:space="preserve"> </w:t>
      </w:r>
      <w:hyperlink w:anchor="eq-stddev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better understand standard deviation.</w:t>
      </w:r>
    </w:p>
    <w:bookmarkStart w:id="31" w:name="sec-plot"/>
    <w:p>
      <w:pPr>
        <w:pStyle w:val="Heading2"/>
      </w:pPr>
      <w:r>
        <w:t xml:space="preserve">3.1 Plot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plt.plot([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simple"/>
          <w:p>
            <w:pPr>
              <w:pStyle w:val="Compact"/>
              <w:jc w:val="center"/>
            </w:pPr>
            <w:r>
              <w:drawing>
                <wp:inline>
                  <wp:extent cx="3971925" cy="32099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tutorial-document_files/figure-docx/fig-simple-output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925" cy="3209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Simple Plot</w:t>
            </w:r>
          </w:p>
          <w:bookmarkEnd w:id="30"/>
        </w:tc>
      </w:tr>
    </w:tbl>
    <w:bookmarkEnd w:id="31"/>
    <w:bookmarkStart w:id="33" w:name="sec-equation"/>
    <w:p>
      <w:pPr>
        <w:pStyle w:val="Heading2"/>
      </w:pPr>
      <w:r>
        <w:t xml:space="preserve">3.2 Equation</w:t>
      </w:r>
    </w:p>
    <w:p>
      <w:pPr>
        <w:pStyle w:val="FirstParagraph"/>
      </w:pPr>
      <w:bookmarkStart w:id="32" w:name="eq-stddev"/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32"/>
    </w:p>
    <w:bookmarkEnd w:id="33"/>
    <w:bookmarkEnd w:id="34"/>
    <w:bookmarkStart w:id="38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 that there are five types of callouts, including: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important</w:t>
            </w:r>
            <w:r>
              <w:t xml:space="preserve">.</w:t>
            </w:r>
          </w:p>
        </w:tc>
      </w:tr>
    </w:tbl>
    <w:bookmarkEnd w:id="38"/>
    <w:bookmarkStart w:id="46" w:name="placing-colorbars"/>
    <w:p>
      <w:pPr>
        <w:pStyle w:val="Heading1"/>
      </w:pPr>
      <w:r>
        <w:t xml:space="preserve">5. Placing Colorbars</w:t>
      </w:r>
    </w:p>
    <w:p>
      <w:pPr>
        <w:pStyle w:val="FirstParagraph"/>
      </w:pPr>
      <w:r>
        <w:t xml:space="preserve">Colorbars indicate the quantitative extent of image data.</w:t>
      </w:r>
      <w:r>
        <w:t xml:space="preserve"> </w:t>
      </w:r>
      <w:r>
        <w:t xml:space="preserve">Placing in a figure is non-trivial because room needs to</w:t>
      </w:r>
      <w:r>
        <w:t xml:space="preserve"> </w:t>
      </w:r>
      <w:r>
        <w:t xml:space="preserve">be made for them. The simplest case is just attaching a</w:t>
      </w:r>
      <w:r>
        <w:t xml:space="preserve"> </w:t>
      </w:r>
      <w:r>
        <w:t xml:space="preserve">colorbar to each axes:</w:t>
      </w:r>
      <w:r>
        <w:rPr>
          <w:rStyle w:val="FootnoteReference"/>
        </w:rPr>
        <w:footnoteReference w:id="39"/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#| column: screen-inset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fig.set_size_inches(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'RdBu_r'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axs[row, col]</w:t>
      </w:r>
      <w:r>
        <w:br/>
      </w:r>
      <w:r>
        <w:rPr>
          <w:rStyle w:val="NormalTok"/>
        </w:rPr>
        <w:t xml:space="preserve">        pcm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ax.pcolormesh(</w:t>
      </w:r>
      <w:r>
        <w:br/>
      </w:r>
      <w:r>
        <w:rPr>
          <w:rStyle w:val="NormalTok"/>
        </w:rPr>
        <w:t xml:space="preserve">          np.random.random((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cmap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cmaps[col]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fig.colorbar(pcm,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26971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tutorial-document_files/figure-docx/cell-3-outpu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9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refs"/>
    <w:bookmarkStart w:id="44" w:name="ref-coe_hydrophobicity_nodate"/>
    <w:p>
      <w:pPr>
        <w:pStyle w:val="Bibliography"/>
      </w:pPr>
      <w:r>
        <w:t xml:space="preserve">Coe, Mary Kathryn. n.d.</w:t>
      </w:r>
      <w:r>
        <w:t xml:space="preserve"> </w:t>
      </w:r>
      <w:r>
        <w:t xml:space="preserve">“Hydrophobicity</w:t>
      </w:r>
      <w:r>
        <w:t xml:space="preserve"> </w:t>
      </w:r>
      <w:r>
        <w:t xml:space="preserve">Across</w:t>
      </w:r>
      <w:r>
        <w:t xml:space="preserve"> </w:t>
      </w:r>
      <w:r>
        <w:t xml:space="preserve">Length</w:t>
      </w:r>
      <w:r>
        <w:t xml:space="preserve"> </w:t>
      </w:r>
      <w:r>
        <w:t xml:space="preserve">Scales</w:t>
      </w:r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Surface</w:t>
      </w:r>
      <w:r>
        <w:t xml:space="preserve"> </w:t>
      </w:r>
      <w:r>
        <w:t xml:space="preserve">Criticality</w:t>
      </w:r>
      <w:r>
        <w:t xml:space="preserve">.”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Matplotlib Gallery</w:t>
        </w:r>
      </w:hyperlink>
      <w:r>
        <w:t xml:space="preserve"> </w:t>
      </w:r>
      <w:r>
        <w:t xml:space="preserve">to explore colorbars further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27" Target="media/rId27.png" /><Relationship Type="http://schemas.openxmlformats.org/officeDocument/2006/relationships/hyperlink" Id="rId40" Target="https://matplotlib.org/stable/gallery/subplots_axes_and_figures/colorbar_placement.html" TargetMode="External" /><Relationship Type="http://schemas.openxmlformats.org/officeDocument/2006/relationships/hyperlink" Id="rId20" Target="https://quarto.org/docs/get-started/authoring/vscod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atplotlib.org/stable/gallery/subplots_axes_and_figures/colorbar_placement.html" TargetMode="External" /><Relationship Type="http://schemas.openxmlformats.org/officeDocument/2006/relationships/hyperlink" Id="rId20" Target="https://quarto.org/docs/get-started/authoring/vscod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Document</dc:title>
  <dc:creator>Sohyun Park</dc:creator>
  <cp:keywords/>
  <dcterms:created xsi:type="dcterms:W3CDTF">2024-10-04T15:04:20Z</dcterms:created>
  <dcterms:modified xsi:type="dcterms:W3CDTF">2024-10-04T15:04:20Z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From 16:09:24.bib</vt:lpwstr>
  </property>
  <property fmtid="{D5CDD505-2E9C-101B-9397-08002B2CF9AE}" pid="5" name="by-author">
    <vt:lpwstr/>
  </property>
  <property fmtid="{D5CDD505-2E9C-101B-9397-08002B2CF9AE}" pid="6" name="citation-location">
    <vt:lpwstr>margin</vt:lpwstr>
  </property>
  <property fmtid="{D5CDD505-2E9C-101B-9397-08002B2CF9AE}" pid="7" name="date">
    <vt:lpwstr>2024-10-04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python3</vt:lpwstr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