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Answers to the Reading Questions (2).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Lake Chapala in central Mexico is more than just a lake; it supports fishing and farming communities, provides drinking water to millions of Guadalajara, and sustains a diverse fish population and migratory birds.</w:t>
      </w:r>
      <w:r w:rsidDel="00000000" w:rsidR="00000000" w:rsidRPr="00000000">
        <w:rPr>
          <w:rFonts w:ascii="Times New Roman" w:cs="Times New Roman" w:eastAsia="Times New Roman" w:hAnsi="Times New Roman"/>
          <w:b w:val="1"/>
          <w:bCs w:val="1"/>
          <w:sz w:val="24"/>
          <w:szCs w:val="24"/>
          <w:rtl w:val="0"/>
        </w:rPr>
        <w:t xml:space="preserve"> It</w:t>
      </w:r>
      <w:r w:rsidDel="00000000" w:rsidR="00000000" w:rsidRPr="00000000">
        <w:rPr>
          <w:rFonts w:ascii="Times New Roman" w:cs="Times New Roman" w:eastAsia="Times New Roman" w:hAnsi="Times New Roman"/>
          <w:sz w:val="24"/>
          <w:szCs w:val="24"/>
          <w:rtl w:val="0"/>
        </w:rPr>
        <w:t xml:space="preserve"> sits inside the larger Lerma River system, so when Lake Chapala is struggling, it signals broader ecological stress in the whole watershed. At the same time, the lake has been under heavy pressure from dehydration caused by evaporation, irrigation demands upstream, drainage out of the lake system, and water being piped to Guadalajara (a major nearby city). As the lake level drops, the water has also become muddier, and transparency is often very low, which matters because “cloudy” water changes how light and nutrients move through the ecosystem.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visible and disruptive symptoms of these changes is recurring algal blooms: sudden rapid increase in algae population that affects both the environment and everyday life around the lake. Even when blooms are not toxic, they still create real problems. Reports describe blooms and associated plant growth (like seaweed and hyacinth) that can interfere with motorized fishing boats, and blooms have also been linked to unpleasant taste and odor in drinking water for people in Guadalajara, requiring additional treatment. These impacts make blooms more than a “nature inconvenience”; they are directly connected to transportation, local livelihoods, tourism, and public water quality.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modeling the algae dynamics (free-floating phytoplankton) in Lake Chapala using differential equations, with special attention to the idea that blooms may be driven periodically by pulses of agricultural chemical residues entering the lake. At the same time, algae growth is not controlled by one cause alone: nutrients loading and water conditions also matter, The background evidence points to high levels of nitrogen and phosphorous in the lake, pushing it towards extreme nutrient enrichment, and early studies identify nitrogen levels and clay turbidity (cloudiness) as key limiting factors for algae growth. Those factors connect back to broader watershed changes like erosion and agricultural runoffs, which can increase nitrogen and turbidity, and to the lake’s reduced volume and altered water clarity under dehydration. With these interacting drivers in mind, the goal of this paper is to build a simple, interpretable differential equation model for algae population density over time and use it to understand why blooms can recur and persist even when interventions attempt to reduce algae levels.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Modeling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All the Graphs (use GeoGebra), answer the questions (p. 4) (the meaning of the graphs).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Discussion/Conclusion: Analysis of Results.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do? Why did you do it? What are the take-aways?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