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3"/>
        <w:gridCol w:w="4235"/>
        <w:gridCol w:w="2664"/>
      </w:tblGrid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Pr="00794A6E" w:rsidRDefault="00794A6E" w:rsidP="00794A6E">
            <w:pPr>
              <w:pStyle w:val="Default"/>
              <w:spacing w:line="300" w:lineRule="auto"/>
              <w:rPr>
                <w:b/>
                <w:sz w:val="23"/>
                <w:szCs w:val="23"/>
              </w:rPr>
            </w:pPr>
            <w:r w:rsidRPr="00794A6E">
              <w:rPr>
                <w:b/>
                <w:sz w:val="23"/>
                <w:szCs w:val="23"/>
              </w:rPr>
              <w:t xml:space="preserve">Suffix </w:t>
            </w:r>
          </w:p>
        </w:tc>
        <w:tc>
          <w:tcPr>
            <w:tcW w:w="4235" w:type="dxa"/>
          </w:tcPr>
          <w:p w:rsidR="00794A6E" w:rsidRPr="00794A6E" w:rsidRDefault="00794A6E" w:rsidP="00794A6E">
            <w:pPr>
              <w:pStyle w:val="Default"/>
              <w:spacing w:line="300" w:lineRule="auto"/>
              <w:rPr>
                <w:b/>
                <w:sz w:val="23"/>
                <w:szCs w:val="23"/>
              </w:rPr>
            </w:pPr>
            <w:r w:rsidRPr="00794A6E">
              <w:rPr>
                <w:b/>
                <w:sz w:val="23"/>
                <w:szCs w:val="23"/>
              </w:rPr>
              <w:t xml:space="preserve">Description </w:t>
            </w:r>
          </w:p>
        </w:tc>
        <w:tc>
          <w:tcPr>
            <w:tcW w:w="2664" w:type="dxa"/>
          </w:tcPr>
          <w:p w:rsidR="00794A6E" w:rsidRPr="00794A6E" w:rsidRDefault="00794A6E" w:rsidP="00794A6E">
            <w:pPr>
              <w:pStyle w:val="Default"/>
              <w:spacing w:line="300" w:lineRule="auto"/>
              <w:rPr>
                <w:b/>
                <w:sz w:val="23"/>
                <w:szCs w:val="23"/>
              </w:rPr>
            </w:pPr>
            <w:r w:rsidRPr="00794A6E">
              <w:rPr>
                <w:b/>
                <w:sz w:val="23"/>
                <w:szCs w:val="23"/>
              </w:rPr>
              <w:t xml:space="preserve">Used for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Buried genetic horizon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Concretions or nodules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Stagnic</w:t>
            </w:r>
            <w:proofErr w:type="spellEnd"/>
            <w:r>
              <w:rPr>
                <w:sz w:val="23"/>
                <w:szCs w:val="23"/>
              </w:rPr>
              <w:t xml:space="preserve"> conditions/strong </w:t>
            </w:r>
            <w:proofErr w:type="spellStart"/>
            <w:r>
              <w:rPr>
                <w:sz w:val="23"/>
                <w:szCs w:val="23"/>
              </w:rPr>
              <w:t>gley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Capillary fringe mottling (gleying)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 restriction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Ploughing or other human disturbance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surficial horizon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Strong reduction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 restriction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Illuvial</w:t>
            </w:r>
            <w:proofErr w:type="spellEnd"/>
            <w:r>
              <w:rPr>
                <w:sz w:val="23"/>
                <w:szCs w:val="23"/>
              </w:rPr>
              <w:t xml:space="preserve"> accumulation of clay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Plinthite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mineral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Development of </w:t>
            </w:r>
            <w:proofErr w:type="spellStart"/>
            <w:r>
              <w:rPr>
                <w:sz w:val="23"/>
                <w:szCs w:val="23"/>
              </w:rPr>
              <w:t>colour</w:t>
            </w:r>
            <w:proofErr w:type="spellEnd"/>
            <w:r>
              <w:rPr>
                <w:sz w:val="23"/>
                <w:szCs w:val="23"/>
              </w:rPr>
              <w:t xml:space="preserve"> or structure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 horizons </w:t>
            </w:r>
          </w:p>
        </w:tc>
      </w:tr>
      <w:tr w:rsidR="00794A6E" w:rsidTr="00794A6E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093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x </w:t>
            </w:r>
          </w:p>
        </w:tc>
        <w:tc>
          <w:tcPr>
            <w:tcW w:w="4235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Fragipan characteristics </w:t>
            </w:r>
          </w:p>
        </w:tc>
        <w:tc>
          <w:tcPr>
            <w:tcW w:w="2664" w:type="dxa"/>
          </w:tcPr>
          <w:p w:rsidR="00794A6E" w:rsidRDefault="00794A6E" w:rsidP="00794A6E">
            <w:pPr>
              <w:pStyle w:val="Default"/>
              <w:spacing w:line="3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 restri</w:t>
            </w:r>
            <w:r>
              <w:rPr>
                <w:sz w:val="23"/>
                <w:szCs w:val="23"/>
              </w:rPr>
              <w:t>c</w:t>
            </w:r>
            <w:r>
              <w:rPr>
                <w:sz w:val="23"/>
                <w:szCs w:val="23"/>
              </w:rPr>
              <w:t xml:space="preserve">tions </w:t>
            </w:r>
          </w:p>
        </w:tc>
      </w:tr>
    </w:tbl>
    <w:p w:rsidR="00794A6E" w:rsidRPr="00EA7522" w:rsidRDefault="00EA7522">
      <w:pPr>
        <w:rPr>
          <w:b/>
          <w:u w:val="single"/>
        </w:rPr>
      </w:pPr>
      <w:r w:rsidRPr="00EA7522">
        <w:rPr>
          <w:b/>
          <w:u w:val="single"/>
        </w:rPr>
        <w:t>HORIZONATION NOTES</w:t>
      </w:r>
    </w:p>
    <w:p w:rsidR="00794A6E" w:rsidRDefault="00794A6E">
      <w:r>
        <w:t>Wetness or redox indicators –</w:t>
      </w:r>
      <w:bookmarkStart w:id="0" w:name="_GoBack"/>
      <w:bookmarkEnd w:id="0"/>
    </w:p>
    <w:p w:rsidR="00794A6E" w:rsidRDefault="00794A6E" w:rsidP="00794A6E">
      <w:pPr>
        <w:ind w:left="720" w:hanging="360"/>
      </w:pPr>
      <w:r>
        <w:t>Concentrations</w:t>
      </w:r>
    </w:p>
    <w:p w:rsidR="00794A6E" w:rsidRDefault="00794A6E" w:rsidP="00794A6E">
      <w:pPr>
        <w:ind w:left="1080" w:hanging="360"/>
      </w:pPr>
      <w:r>
        <w:t xml:space="preserve">v - </w:t>
      </w:r>
      <w:proofErr w:type="spellStart"/>
      <w:proofErr w:type="gramStart"/>
      <w:r>
        <w:t>uncemented</w:t>
      </w:r>
      <w:proofErr w:type="spellEnd"/>
      <w:proofErr w:type="gramEnd"/>
      <w:r>
        <w:t xml:space="preserve"> plinthite of any amount. Look for brick red</w:t>
      </w:r>
      <w:r w:rsidR="00887D8D">
        <w:t xml:space="preserve"> redox concentration</w:t>
      </w:r>
      <w:r>
        <w:t xml:space="preserve"> colors (EX: 10R 4/6 or 4/8)</w:t>
      </w:r>
    </w:p>
    <w:p w:rsidR="00794A6E" w:rsidRDefault="00794A6E" w:rsidP="00794A6E">
      <w:pPr>
        <w:ind w:left="1080" w:hanging="360"/>
      </w:pPr>
      <w:r>
        <w:t xml:space="preserve">c – </w:t>
      </w:r>
      <w:proofErr w:type="gramStart"/>
      <w:r>
        <w:t>could</w:t>
      </w:r>
      <w:proofErr w:type="gramEnd"/>
      <w:r>
        <w:t xml:space="preserve"> be used for </w:t>
      </w:r>
      <w:proofErr w:type="spellStart"/>
      <w:r>
        <w:t>Mn</w:t>
      </w:r>
      <w:proofErr w:type="spellEnd"/>
      <w:r>
        <w:t xml:space="preserve"> and Fe concretions. Let’s wait and see what we see in practice pits. In the US we see them a lot but seldom use the letter. </w:t>
      </w:r>
      <w:r>
        <w:t>Use it sparingly for obvious cases.</w:t>
      </w:r>
    </w:p>
    <w:p w:rsidR="00794A6E" w:rsidRDefault="00794A6E" w:rsidP="00794A6E">
      <w:pPr>
        <w:ind w:left="720" w:hanging="360"/>
      </w:pPr>
      <w:r>
        <w:t>Patterns</w:t>
      </w:r>
    </w:p>
    <w:p w:rsidR="00794A6E" w:rsidRDefault="00794A6E" w:rsidP="00794A6E">
      <w:pPr>
        <w:ind w:left="1080" w:hanging="360"/>
      </w:pPr>
      <w:r>
        <w:t xml:space="preserve">g – </w:t>
      </w:r>
      <w:proofErr w:type="spellStart"/>
      <w:proofErr w:type="gramStart"/>
      <w:r>
        <w:t>gleyic</w:t>
      </w:r>
      <w:proofErr w:type="spellEnd"/>
      <w:proofErr w:type="gramEnd"/>
      <w:r>
        <w:t xml:space="preserve"> concepts - for </w:t>
      </w:r>
      <w:r w:rsidRPr="00887D8D">
        <w:rPr>
          <w:b/>
        </w:rPr>
        <w:t>endo</w:t>
      </w:r>
      <w:r>
        <w:t xml:space="preserve"> saturation, </w:t>
      </w:r>
      <w:r w:rsidRPr="00887D8D">
        <w:rPr>
          <w:b/>
        </w:rPr>
        <w:t>groundwater</w:t>
      </w:r>
      <w:r>
        <w:t xml:space="preserve"> tables</w:t>
      </w:r>
      <w:r>
        <w:t xml:space="preserve">. Colors are </w:t>
      </w:r>
      <w:r w:rsidRPr="00887D8D">
        <w:rPr>
          <w:b/>
        </w:rPr>
        <w:t>gray inside</w:t>
      </w:r>
      <w:r>
        <w:t xml:space="preserve"> peds </w:t>
      </w:r>
      <w:r w:rsidRPr="00887D8D">
        <w:rPr>
          <w:b/>
        </w:rPr>
        <w:t>but</w:t>
      </w:r>
      <w:r>
        <w:t xml:space="preserve"> </w:t>
      </w:r>
      <w:r w:rsidRPr="00887D8D">
        <w:rPr>
          <w:b/>
        </w:rPr>
        <w:t>oxidized on ped surfaces</w:t>
      </w:r>
      <w:r>
        <w:t>.</w:t>
      </w:r>
    </w:p>
    <w:p w:rsidR="00794A6E" w:rsidRDefault="00794A6E" w:rsidP="00794A6E">
      <w:pPr>
        <w:ind w:left="1080" w:hanging="360"/>
      </w:pPr>
      <w:r>
        <w:t xml:space="preserve">l – </w:t>
      </w:r>
      <w:proofErr w:type="spellStart"/>
      <w:proofErr w:type="gramStart"/>
      <w:r>
        <w:t>stagnic</w:t>
      </w:r>
      <w:proofErr w:type="spellEnd"/>
      <w:proofErr w:type="gramEnd"/>
      <w:r>
        <w:t xml:space="preserve"> concepts – for </w:t>
      </w:r>
      <w:r w:rsidRPr="00887D8D">
        <w:rPr>
          <w:b/>
        </w:rPr>
        <w:t>epi</w:t>
      </w:r>
      <w:r>
        <w:t xml:space="preserve"> saturation, </w:t>
      </w:r>
      <w:r w:rsidRPr="00887D8D">
        <w:rPr>
          <w:b/>
        </w:rPr>
        <w:t>perched</w:t>
      </w:r>
      <w:r>
        <w:t xml:space="preserve"> water tables. </w:t>
      </w:r>
      <w:r>
        <w:t xml:space="preserve">Colors are </w:t>
      </w:r>
      <w:r w:rsidRPr="00887D8D">
        <w:rPr>
          <w:b/>
        </w:rPr>
        <w:t>gray on ped surfaces</w:t>
      </w:r>
      <w:r>
        <w:t xml:space="preserve"> </w:t>
      </w:r>
      <w:r w:rsidRPr="00887D8D">
        <w:rPr>
          <w:b/>
        </w:rPr>
        <w:t>but</w:t>
      </w:r>
      <w:r>
        <w:t xml:space="preserve"> </w:t>
      </w:r>
      <w:r w:rsidRPr="00887D8D">
        <w:rPr>
          <w:b/>
        </w:rPr>
        <w:t>oxidized</w:t>
      </w:r>
      <w:r w:rsidRPr="00887D8D">
        <w:rPr>
          <w:b/>
        </w:rPr>
        <w:t xml:space="preserve"> </w:t>
      </w:r>
      <w:r w:rsidRPr="00887D8D">
        <w:rPr>
          <w:b/>
        </w:rPr>
        <w:t>inside</w:t>
      </w:r>
      <w:r>
        <w:t xml:space="preserve"> peds.</w:t>
      </w:r>
    </w:p>
    <w:p w:rsidR="00E03A9D" w:rsidRDefault="00794A6E" w:rsidP="00EA7522">
      <w:pPr>
        <w:ind w:left="1080" w:hanging="360"/>
      </w:pPr>
      <w:r>
        <w:t xml:space="preserve">r – </w:t>
      </w:r>
      <w:proofErr w:type="spellStart"/>
      <w:proofErr w:type="gramStart"/>
      <w:r>
        <w:t>reductic</w:t>
      </w:r>
      <w:proofErr w:type="spellEnd"/>
      <w:proofErr w:type="gramEnd"/>
      <w:r>
        <w:t xml:space="preserve"> concepts – for samples collected </w:t>
      </w:r>
      <w:r w:rsidR="00887D8D">
        <w:t xml:space="preserve">from </w:t>
      </w:r>
      <w:r>
        <w:t xml:space="preserve">below water level, that change colors after exposure to air. (This would not happen in a contest). </w:t>
      </w:r>
    </w:p>
    <w:p w:rsidR="00794A6E" w:rsidRPr="00EA7522" w:rsidRDefault="00EA7522" w:rsidP="00E03A9D">
      <w:pPr>
        <w:ind w:left="360" w:hanging="360"/>
        <w:rPr>
          <w:b/>
          <w:u w:val="single"/>
        </w:rPr>
      </w:pPr>
      <w:r w:rsidRPr="00EA7522">
        <w:rPr>
          <w:b/>
          <w:u w:val="single"/>
        </w:rPr>
        <w:t>SOIL CLASSIFICATION NOTES</w:t>
      </w:r>
    </w:p>
    <w:p w:rsidR="00E03A9D" w:rsidRDefault="00E03A9D" w:rsidP="00E03A9D">
      <w:pPr>
        <w:pStyle w:val="ListParagraph"/>
        <w:numPr>
          <w:ilvl w:val="0"/>
          <w:numId w:val="1"/>
        </w:numPr>
      </w:pPr>
      <w:r>
        <w:t xml:space="preserve">There are no WRB equivalents to </w:t>
      </w:r>
      <w:proofErr w:type="spellStart"/>
      <w:r>
        <w:t>Oxic</w:t>
      </w:r>
      <w:proofErr w:type="spellEnd"/>
      <w:r>
        <w:t xml:space="preserve"> horizon or to </w:t>
      </w:r>
      <w:proofErr w:type="spellStart"/>
      <w:r>
        <w:t>Oxisols</w:t>
      </w:r>
      <w:proofErr w:type="spellEnd"/>
      <w:r>
        <w:t xml:space="preserve">. Unlikely to see these. </w:t>
      </w:r>
    </w:p>
    <w:p w:rsidR="00EA7522" w:rsidRPr="00EA7522" w:rsidRDefault="00EA7522" w:rsidP="00EA752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A7522">
        <w:rPr>
          <w:rFonts w:cstheme="minorHAnsi"/>
          <w:sz w:val="24"/>
          <w:szCs w:val="24"/>
        </w:rPr>
        <w:t>Reference Group = Soil Order/suborder/great group</w:t>
      </w:r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Acrisol</w:t>
      </w:r>
      <w:proofErr w:type="spellEnd"/>
      <w:r w:rsidRPr="0028106F">
        <w:rPr>
          <w:rFonts w:asciiTheme="minorHAnsi" w:hAnsiTheme="minorHAnsi" w:cstheme="minorHAnsi"/>
        </w:rPr>
        <w:t xml:space="preserve"> = </w:t>
      </w:r>
      <w:proofErr w:type="spellStart"/>
      <w:r w:rsidRPr="0028106F">
        <w:rPr>
          <w:rFonts w:asciiTheme="minorHAnsi" w:hAnsiTheme="minorHAnsi" w:cstheme="minorHAnsi"/>
        </w:rPr>
        <w:t>Ultisols</w:t>
      </w:r>
      <w:proofErr w:type="spellEnd"/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Alisol</w:t>
      </w:r>
      <w:proofErr w:type="spellEnd"/>
      <w:r w:rsidRPr="0028106F">
        <w:rPr>
          <w:rFonts w:asciiTheme="minorHAnsi" w:hAnsiTheme="minorHAnsi" w:cstheme="minorHAnsi"/>
        </w:rPr>
        <w:t xml:space="preserve"> = Aluminum toxicity </w:t>
      </w:r>
      <w:proofErr w:type="spellStart"/>
      <w:r w:rsidRPr="0028106F">
        <w:rPr>
          <w:rFonts w:asciiTheme="minorHAnsi" w:hAnsiTheme="minorHAnsi" w:cstheme="minorHAnsi"/>
        </w:rPr>
        <w:t>Ultisols</w:t>
      </w:r>
      <w:proofErr w:type="spellEnd"/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Arenosol</w:t>
      </w:r>
      <w:proofErr w:type="spellEnd"/>
      <w:r w:rsidRPr="0028106F">
        <w:rPr>
          <w:rFonts w:asciiTheme="minorHAnsi" w:hAnsiTheme="minorHAnsi" w:cstheme="minorHAnsi"/>
        </w:rPr>
        <w:t xml:space="preserve"> = </w:t>
      </w:r>
      <w:proofErr w:type="spellStart"/>
      <w:r w:rsidRPr="0028106F">
        <w:rPr>
          <w:rFonts w:asciiTheme="minorHAnsi" w:hAnsiTheme="minorHAnsi" w:cstheme="minorHAnsi"/>
        </w:rPr>
        <w:t>Psamments</w:t>
      </w:r>
      <w:proofErr w:type="spellEnd"/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Cambisol</w:t>
      </w:r>
      <w:proofErr w:type="spellEnd"/>
      <w:r w:rsidRPr="0028106F">
        <w:rPr>
          <w:rFonts w:asciiTheme="minorHAnsi" w:hAnsiTheme="minorHAnsi" w:cstheme="minorHAnsi"/>
        </w:rPr>
        <w:t xml:space="preserve"> = </w:t>
      </w:r>
      <w:proofErr w:type="spellStart"/>
      <w:r w:rsidRPr="0028106F">
        <w:rPr>
          <w:rFonts w:asciiTheme="minorHAnsi" w:hAnsiTheme="minorHAnsi" w:cstheme="minorHAnsi"/>
        </w:rPr>
        <w:t>Inceptisols</w:t>
      </w:r>
      <w:proofErr w:type="spellEnd"/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Gleysol</w:t>
      </w:r>
      <w:proofErr w:type="spellEnd"/>
      <w:r w:rsidRPr="0028106F">
        <w:rPr>
          <w:rFonts w:asciiTheme="minorHAnsi" w:hAnsiTheme="minorHAnsi" w:cstheme="minorHAnsi"/>
        </w:rPr>
        <w:t xml:space="preserve"> = Aquic suborders</w:t>
      </w:r>
    </w:p>
    <w:p w:rsidR="00EA7522" w:rsidRPr="0028106F" w:rsidRDefault="00EA7522" w:rsidP="00EA7522">
      <w:pPr>
        <w:pStyle w:val="Default"/>
        <w:ind w:left="720"/>
        <w:rPr>
          <w:rFonts w:asciiTheme="minorHAnsi" w:hAnsiTheme="minorHAnsi" w:cstheme="minorHAnsi"/>
        </w:rPr>
      </w:pPr>
      <w:proofErr w:type="spellStart"/>
      <w:r w:rsidRPr="0028106F">
        <w:rPr>
          <w:rFonts w:asciiTheme="minorHAnsi" w:hAnsiTheme="minorHAnsi" w:cstheme="minorHAnsi"/>
        </w:rPr>
        <w:t>Histosol</w:t>
      </w:r>
      <w:proofErr w:type="spellEnd"/>
      <w:r w:rsidRPr="0028106F">
        <w:rPr>
          <w:rFonts w:asciiTheme="minorHAnsi" w:hAnsiTheme="minorHAnsi" w:cstheme="minorHAnsi"/>
        </w:rPr>
        <w:t xml:space="preserve"> = Histosols</w:t>
      </w:r>
    </w:p>
    <w:p w:rsidR="00EA7522" w:rsidRPr="0028106F" w:rsidRDefault="00EA7522" w:rsidP="00EA7522">
      <w:pPr>
        <w:pStyle w:val="Default"/>
        <w:ind w:left="720" w:right="-38"/>
        <w:rPr>
          <w:rFonts w:asciiTheme="minorHAnsi" w:hAnsiTheme="minorHAnsi" w:cstheme="minorHAnsi"/>
        </w:rPr>
      </w:pPr>
      <w:proofErr w:type="spellStart"/>
      <w:proofErr w:type="gramStart"/>
      <w:r w:rsidRPr="0028106F">
        <w:rPr>
          <w:rFonts w:asciiTheme="minorHAnsi" w:hAnsiTheme="minorHAnsi" w:cstheme="minorHAnsi"/>
        </w:rPr>
        <w:t>Plinthosol</w:t>
      </w:r>
      <w:proofErr w:type="spellEnd"/>
      <w:r w:rsidRPr="0028106F">
        <w:rPr>
          <w:rFonts w:asciiTheme="minorHAnsi" w:hAnsiTheme="minorHAnsi" w:cstheme="minorHAnsi"/>
        </w:rPr>
        <w:t xml:space="preserve">  =</w:t>
      </w:r>
      <w:proofErr w:type="gramEnd"/>
      <w:r w:rsidRPr="0028106F">
        <w:rPr>
          <w:rFonts w:asciiTheme="minorHAnsi" w:hAnsiTheme="minorHAnsi" w:cstheme="minorHAnsi"/>
        </w:rPr>
        <w:t xml:space="preserve"> </w:t>
      </w:r>
      <w:proofErr w:type="spellStart"/>
      <w:r w:rsidRPr="0028106F">
        <w:rPr>
          <w:rFonts w:asciiTheme="minorHAnsi" w:hAnsiTheme="minorHAnsi" w:cstheme="minorHAnsi"/>
        </w:rPr>
        <w:t>Ultisols</w:t>
      </w:r>
      <w:proofErr w:type="spellEnd"/>
      <w:r w:rsidRPr="0028106F">
        <w:rPr>
          <w:rFonts w:asciiTheme="minorHAnsi" w:hAnsiTheme="minorHAnsi" w:cstheme="minorHAnsi"/>
        </w:rPr>
        <w:t xml:space="preserve"> with &gt; 15% plinthite within 1 m</w:t>
      </w:r>
    </w:p>
    <w:p w:rsidR="00794A6E" w:rsidRDefault="00EA7522" w:rsidP="00EA7522">
      <w:pPr>
        <w:ind w:left="720"/>
      </w:pPr>
      <w:proofErr w:type="spellStart"/>
      <w:r w:rsidRPr="0028106F">
        <w:rPr>
          <w:rFonts w:cstheme="minorHAnsi"/>
          <w:sz w:val="24"/>
          <w:szCs w:val="24"/>
        </w:rPr>
        <w:t>Planosol</w:t>
      </w:r>
      <w:proofErr w:type="spellEnd"/>
      <w:r w:rsidRPr="0028106F">
        <w:rPr>
          <w:rFonts w:cstheme="minorHAnsi"/>
          <w:sz w:val="24"/>
          <w:szCs w:val="24"/>
        </w:rPr>
        <w:t xml:space="preserve"> = </w:t>
      </w:r>
      <w:proofErr w:type="spellStart"/>
      <w:r w:rsidRPr="0028106F">
        <w:rPr>
          <w:rFonts w:cstheme="minorHAnsi"/>
          <w:sz w:val="24"/>
          <w:szCs w:val="24"/>
        </w:rPr>
        <w:t>Albaqualfs</w:t>
      </w:r>
      <w:proofErr w:type="spellEnd"/>
      <w:r w:rsidRPr="0028106F">
        <w:rPr>
          <w:rFonts w:cstheme="minorHAnsi"/>
          <w:sz w:val="24"/>
          <w:szCs w:val="24"/>
        </w:rPr>
        <w:t xml:space="preserve"> and </w:t>
      </w:r>
      <w:proofErr w:type="spellStart"/>
      <w:r w:rsidRPr="0028106F">
        <w:rPr>
          <w:rFonts w:cstheme="minorHAnsi"/>
          <w:sz w:val="24"/>
          <w:szCs w:val="24"/>
        </w:rPr>
        <w:t>Albaquults</w:t>
      </w:r>
      <w:proofErr w:type="spellEnd"/>
    </w:p>
    <w:sectPr w:rsidR="0079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375EA"/>
    <w:multiLevelType w:val="hybridMultilevel"/>
    <w:tmpl w:val="8AA2FF0C"/>
    <w:lvl w:ilvl="0" w:tplc="77962A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6E"/>
    <w:rsid w:val="00794A6E"/>
    <w:rsid w:val="00887D8D"/>
    <w:rsid w:val="008A6C01"/>
    <w:rsid w:val="00E03A9D"/>
    <w:rsid w:val="00EA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63AC"/>
  <w15:chartTrackingRefBased/>
  <w15:docId w15:val="{D08E98DC-AD43-4DCF-9131-8B69DFF8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94A6E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3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Tech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Galbraith, John</dc:creator>
  <cp:keywords/>
  <dc:description/>
  <cp:lastModifiedBy>Galbraith, John</cp:lastModifiedBy>
  <cp:revision>1</cp:revision>
  <dcterms:created xsi:type="dcterms:W3CDTF">2018-07-16T16:37:00Z</dcterms:created>
  <dcterms:modified xsi:type="dcterms:W3CDTF">2018-07-16T17:56:00Z</dcterms:modified>
</cp:coreProperties>
</file>