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color w:val="6B6B6B"/>
          <w:sz w:val="22"/>
          <w:szCs w:val="22"/>
        </w:rPr>
        <w:t xml:space="preserve">BC카드 AI금융빅데이터플랫폼 제1회 아이디어 공모전</w:t>
      </w:r>
    </w:p>
    <w:p>
      <w:pPr>
        <w:spacing w:after="100"/>
      </w:pPr>
      <w:r>
        <w:rPr>
          <w:b/>
          <w:bCs/>
          <w:color w:val="1F5C4E"/>
          <w:sz w:val="44"/>
          <w:szCs w:val="44"/>
        </w:rPr>
        <w:t xml:space="preserve">LOCAL LOOP</w:t>
      </w:r>
    </w:p>
    <w:p>
      <w:pPr>
        <w:spacing w:after="60"/>
      </w:pPr>
      <w:r>
        <w:rPr>
          <w:b/>
          <w:bCs/>
          <w:sz w:val="24"/>
          <w:szCs w:val="24"/>
        </w:rPr>
        <w:t xml:space="preserve">한 번의 방문을 반복적인 지역소비로 — 유동인구를 로컬 커뮤니티로 연결하는 Paybooc Local Community</w:t>
      </w:r>
    </w:p>
    <w:p>
      <w:pPr>
        <w:spacing w:after="400"/>
      </w:pPr>
      <w:r>
        <w:rPr>
          <w:i/>
          <w:iCs/>
          <w:color w:val="6B6B6B"/>
          <w:sz w:val="20"/>
          <w:szCs w:val="20"/>
        </w:rPr>
        <w:t xml:space="preserve">기획안 초안 v2 · 팀 내부 검토용 (제출용 아님)</w:t>
      </w:r>
    </w:p>
    <w:p>
      <w:pPr>
        <w:spacing w:after="160"/>
        <w:ind w:left="200"/>
      </w:pPr>
      <w:r>
        <w:rPr>
          <w:i/>
          <w:iCs/>
          <w:color w:val="6B6B6B"/>
          <w:sz w:val="19"/>
          <w:szCs w:val="19"/>
        </w:rPr>
        <w:t xml:space="preserve">※ 제목은 제안받은 후보 중 하나(LOCAL LOOP)를 임시로 적용했습니다 — 표지 텍스트만 바꾸면 다른 후보로 쉽게 교체 가능합니다. 서비스명은 목차에 쓰인 'Paybooc Local Community'로 통일했습니다.</w:t>
      </w:r>
    </w:p>
    <w:p>
      <w:pPr>
        <w:pStyle w:val="Heading1"/>
        <w:spacing w:after="200" w:before="400"/>
      </w:pPr>
      <w:r>
        <w:t xml:space="preserve">01. 문제 정의</w:t>
      </w:r>
    </w:p>
    <w:p>
      <w:pPr>
        <w:pStyle w:val="Heading2"/>
        <w:spacing w:after="140" w:before="280"/>
      </w:pPr>
      <w:r>
        <w:t xml:space="preserve">1-1. 서울 지역별 유동인구와 소비 현황</w:t>
      </w:r>
    </w:p>
    <w:p>
      <w:pPr>
        <w:spacing w:after="160"/>
      </w:pPr>
      <w:r>
        <w:t xml:space="preserve">먼저 확인한 것은 '사람이 많이 오가는 지역일수록 카드소비도 많이 일어나는가'라는 가장 단순한 질문이다. 이를 위해 서울시 상권분석서비스의 '길단위인구'(자치구별 유동인구) 데이터와, BC카드가 제공한 시군구×업종×연령×성별×월 소비데이터 중 서울 25개 자치구분만 추려낸 소비건수를 나란히 놓고 '유동인구 대비 BC카드 전환율'(=자치구 소비건수 ÷ 자치구 총 유동인구)을 계산했다.</w:t>
      </w:r>
    </w:p>
    <w:p>
      <w:pPr>
        <w:spacing w:after="160"/>
        <w:ind w:left="200"/>
      </w:pPr>
      <w:r>
        <w:rPr>
          <w:i/>
          <w:iCs/>
          <w:color w:val="6B6B6B"/>
          <w:sz w:val="19"/>
          <w:szCs w:val="19"/>
        </w:rPr>
        <w:t xml:space="preserve">※ BC카드 원자료는 전국 시군구 단위라 '중구'·'중랑구'처럼 여러 광역시에 같은 이름의 구가 존재한다. 그래서 집계 전 SIDO_NM(시도명) 컬럼이 '서울특별시'인 행만 걸러낸 뒤 자치구별로 합산했다 — 예를 들어 '중구'는 서울 중구만 포함하며, 부산·대구·인천 등 다른 중구는 제외된다.</w:t>
      </w:r>
    </w:p>
    <w:p>
      <w:pPr>
        <w:spacing w:after="160"/>
      </w:pPr>
      <w:r>
        <w:t xml:space="preserve">계산 결과는 다음과 같다. 전환율이 높다는 것은 그 지역에 온 사람의 상당수가 실제로 카드를 긁고 간다는 뜻이고(유동인구가 소비로 잘 이어지는 상권), 낮다는 것은 사람은 지나가지만 소비로는 잘 이어지지 않는다는 뜻이다(스쳐 지나가는 상권일 가능성).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200"/>
        <w:gridCol w:w="1800"/>
      </w:tblGrid>
      <w:tr>
        <w:trPr>
          <w:tblHeader/>
        </w:trPr>
        <w:tc>
          <w:tcPr>
            <w:tcW w:type="dxa" w:w="1400"/>
            <w:shd w:fill="1F5C4E" w:color="auto" w:val="clear"/>
            <w:tcMar>
              <w:top w:type="dxa" w:w="80"/>
              <w:left w:type="dxa" w:w="120"/>
              <w:bottom w:type="dxa" w:w="80"/>
              <w:right w:type="dxa" w:w="120"/>
            </w:tcMar>
            <w:vAlign w:val="center"/>
          </w:tcPr>
          <w:p>
            <w:pPr>
              <w:jc w:val="left"/>
            </w:pPr>
            <w:r>
              <w:rPr>
                <w:b/>
                <w:bCs/>
                <w:color w:val="FFFFFF"/>
                <w:sz w:val="20"/>
                <w:szCs w:val="20"/>
              </w:rPr>
              <w:t xml:space="preserve">순위</w:t>
            </w:r>
          </w:p>
        </w:tc>
        <w:tc>
          <w:tcPr>
            <w:tcW w:type="dxa" w:w="1800"/>
            <w:shd w:fill="1F5C4E" w:color="auto" w:val="clear"/>
            <w:tcMar>
              <w:top w:type="dxa" w:w="80"/>
              <w:left w:type="dxa" w:w="120"/>
              <w:bottom w:type="dxa" w:w="80"/>
              <w:right w:type="dxa" w:w="120"/>
            </w:tcMar>
            <w:vAlign w:val="center"/>
          </w:tcPr>
          <w:p>
            <w:pPr>
              <w:jc w:val="left"/>
            </w:pPr>
            <w:r>
              <w:rPr>
                <w:b/>
                <w:bCs/>
                <w:color w:val="FFFFFF"/>
                <w:sz w:val="20"/>
                <w:szCs w:val="20"/>
              </w:rPr>
              <w:t xml:space="preserve">지역</w:t>
            </w:r>
          </w:p>
        </w:tc>
        <w:tc>
          <w:tcPr>
            <w:tcW w:type="dxa" w:w="2200"/>
            <w:shd w:fill="1F5C4E" w:color="auto" w:val="clear"/>
            <w:tcMar>
              <w:top w:type="dxa" w:w="80"/>
              <w:left w:type="dxa" w:w="120"/>
              <w:bottom w:type="dxa" w:w="80"/>
              <w:right w:type="dxa" w:w="120"/>
            </w:tcMar>
            <w:vAlign w:val="center"/>
          </w:tcPr>
          <w:p>
            <w:pPr>
              <w:jc w:val="left"/>
            </w:pPr>
            <w:r>
              <w:rPr>
                <w:b/>
                <w:bCs/>
                <w:color w:val="FFFFFF"/>
                <w:sz w:val="20"/>
                <w:szCs w:val="20"/>
              </w:rPr>
              <w:t xml:space="preserve">유동인구</w:t>
            </w:r>
          </w:p>
        </w:tc>
        <w:tc>
          <w:tcPr>
            <w:tcW w:type="dxa" w:w="2200"/>
            <w:shd w:fill="1F5C4E" w:color="auto" w:val="clear"/>
            <w:tcMar>
              <w:top w:type="dxa" w:w="80"/>
              <w:left w:type="dxa" w:w="120"/>
              <w:bottom w:type="dxa" w:w="80"/>
              <w:right w:type="dxa" w:w="120"/>
            </w:tcMar>
            <w:vAlign w:val="center"/>
          </w:tcPr>
          <w:p>
            <w:pPr>
              <w:jc w:val="left"/>
            </w:pPr>
            <w:r>
              <w:rPr>
                <w:b/>
                <w:bCs/>
                <w:color w:val="FFFFFF"/>
                <w:sz w:val="20"/>
                <w:szCs w:val="20"/>
              </w:rPr>
              <w:t xml:space="preserve">BC카드 소비건수</w:t>
            </w:r>
          </w:p>
        </w:tc>
        <w:tc>
          <w:tcPr>
            <w:tcW w:type="dxa" w:w="1800"/>
            <w:shd w:fill="1F5C4E" w:color="auto" w:val="clear"/>
            <w:tcMar>
              <w:top w:type="dxa" w:w="80"/>
              <w:left w:type="dxa" w:w="120"/>
              <w:bottom w:type="dxa" w:w="80"/>
              <w:right w:type="dxa" w:w="120"/>
            </w:tcMar>
            <w:vAlign w:val="center"/>
          </w:tcPr>
          <w:p>
            <w:pPr>
              <w:jc w:val="left"/>
            </w:pPr>
            <w:r>
              <w:rPr>
                <w:b/>
                <w:bCs/>
                <w:color w:val="FFFFFF"/>
                <w:sz w:val="20"/>
                <w:szCs w:val="20"/>
              </w:rPr>
              <w:t xml:space="preserve">전환율</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1위</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금천구</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34,009,296</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6,039,276</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0.178</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2위</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중구</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56,553,393</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8,584,877</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0.152</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3위</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강남구</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144,021,213</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20,983,526</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0.146</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4위</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종로구</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66,568,344</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8,012,809</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0.120</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22위</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도봉구</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59,725,399</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3,513,104</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0.059</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23위</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중랑구</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91,854,597</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5,321,042</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0.058</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24위</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성북구</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119,845,857</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6,385,768</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0.053</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25위</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강북구</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86,833,852</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4,390,089</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0.051</w:t>
            </w:r>
          </w:p>
        </w:tc>
      </w:tr>
    </w:tbl>
    <w:p>
      <w:pPr>
        <w:spacing w:after="160"/>
      </w:pPr>
      <w:r>
        <w:t xml:space="preserve">유동인구가 많다고 해서 그 지역 상권이 저절로 활성화되는 것은 아니라는 사실이 이 표에서 바로 드러난다 — 강남구처럼 유동인구(1억 4천만)가 압도적인 지역도 있지만, 그보다 유동인구가 훨씬 적은 금천구가 오히려 전환율 1위다. 다음 절에서는 시각을 바꿔, '거주하는 사람 수' 대비로도 같은 현상이 나타나는지 확인한다.</w:t>
      </w:r>
    </w:p>
    <w:p>
      <w:pPr>
        <w:pStyle w:val="Heading2"/>
        <w:spacing w:after="140" w:before="280"/>
      </w:pPr>
      <w:r>
        <w:t xml:space="preserve">1-2. 유동인구 대비 소비 전환이 낮은 지역 발견</w:t>
      </w:r>
    </w:p>
    <w:p>
      <w:pPr>
        <w:spacing w:after="160"/>
      </w:pPr>
      <w:r>
        <w:t xml:space="preserve">1-1이 '스쳐 가는 사람 대비 소비'를 봤다면, 이번에는 '그 동네에 사는 사람 대비 소비'를 본다. 행정안전부 주민등록인구현황(2026년 8월 기준, 아래 표는 팀에서 정리한 스크린샷 자료와 동일)에서 자치구별 총 인구수를 가져와 '거주인구 대비 BC카드 소비'(=자치구 소비건수 ÷ 자치구 총 인구)를 계산했다. 이 지표가 낮다는 것은, 그 지역에 사는 사람 수에 비해 BC카드로 결제한 흔적이 유독 적다는 뜻이다.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200"/>
        <w:gridCol w:w="2400"/>
      </w:tblGrid>
      <w:tr>
        <w:trPr>
          <w:tblHeader/>
        </w:trPr>
        <w:tc>
          <w:tcPr>
            <w:tcW w:type="dxa" w:w="1400"/>
            <w:shd w:fill="1F5C4E" w:color="auto" w:val="clear"/>
            <w:tcMar>
              <w:top w:type="dxa" w:w="80"/>
              <w:left w:type="dxa" w:w="120"/>
              <w:bottom w:type="dxa" w:w="80"/>
              <w:right w:type="dxa" w:w="120"/>
            </w:tcMar>
            <w:vAlign w:val="center"/>
          </w:tcPr>
          <w:p>
            <w:pPr>
              <w:jc w:val="left"/>
            </w:pPr>
            <w:r>
              <w:rPr>
                <w:b/>
                <w:bCs/>
                <w:color w:val="FFFFFF"/>
                <w:sz w:val="20"/>
                <w:szCs w:val="20"/>
              </w:rPr>
              <w:t xml:space="preserve">순위</w:t>
            </w:r>
          </w:p>
        </w:tc>
        <w:tc>
          <w:tcPr>
            <w:tcW w:type="dxa" w:w="1600"/>
            <w:shd w:fill="1F5C4E" w:color="auto" w:val="clear"/>
            <w:tcMar>
              <w:top w:type="dxa" w:w="80"/>
              <w:left w:type="dxa" w:w="120"/>
              <w:bottom w:type="dxa" w:w="80"/>
              <w:right w:type="dxa" w:w="120"/>
            </w:tcMar>
            <w:vAlign w:val="center"/>
          </w:tcPr>
          <w:p>
            <w:pPr>
              <w:jc w:val="left"/>
            </w:pPr>
            <w:r>
              <w:rPr>
                <w:b/>
                <w:bCs/>
                <w:color w:val="FFFFFF"/>
                <w:sz w:val="20"/>
                <w:szCs w:val="20"/>
              </w:rPr>
              <w:t xml:space="preserve">지역</w:t>
            </w:r>
          </w:p>
        </w:tc>
        <w:tc>
          <w:tcPr>
            <w:tcW w:type="dxa" w:w="1800"/>
            <w:shd w:fill="1F5C4E" w:color="auto" w:val="clear"/>
            <w:tcMar>
              <w:top w:type="dxa" w:w="80"/>
              <w:left w:type="dxa" w:w="120"/>
              <w:bottom w:type="dxa" w:w="80"/>
              <w:right w:type="dxa" w:w="120"/>
            </w:tcMar>
            <w:vAlign w:val="center"/>
          </w:tcPr>
          <w:p>
            <w:pPr>
              <w:jc w:val="left"/>
            </w:pPr>
            <w:r>
              <w:rPr>
                <w:b/>
                <w:bCs/>
                <w:color w:val="FFFFFF"/>
                <w:sz w:val="20"/>
                <w:szCs w:val="20"/>
              </w:rPr>
              <w:t xml:space="preserve">인구</w:t>
            </w:r>
          </w:p>
        </w:tc>
        <w:tc>
          <w:tcPr>
            <w:tcW w:type="dxa" w:w="2200"/>
            <w:shd w:fill="1F5C4E" w:color="auto" w:val="clear"/>
            <w:tcMar>
              <w:top w:type="dxa" w:w="80"/>
              <w:left w:type="dxa" w:w="120"/>
              <w:bottom w:type="dxa" w:w="80"/>
              <w:right w:type="dxa" w:w="120"/>
            </w:tcMar>
            <w:vAlign w:val="center"/>
          </w:tcPr>
          <w:p>
            <w:pPr>
              <w:jc w:val="left"/>
            </w:pPr>
            <w:r>
              <w:rPr>
                <w:b/>
                <w:bCs/>
                <w:color w:val="FFFFFF"/>
                <w:sz w:val="20"/>
                <w:szCs w:val="20"/>
              </w:rPr>
              <w:t xml:space="preserve">BC카드 소비건수</w:t>
            </w:r>
          </w:p>
        </w:tc>
        <w:tc>
          <w:tcPr>
            <w:tcW w:type="dxa" w:w="2400"/>
            <w:shd w:fill="1F5C4E" w:color="auto" w:val="clear"/>
            <w:tcMar>
              <w:top w:type="dxa" w:w="80"/>
              <w:left w:type="dxa" w:w="120"/>
              <w:bottom w:type="dxa" w:w="80"/>
              <w:right w:type="dxa" w:w="120"/>
            </w:tcMar>
            <w:vAlign w:val="center"/>
          </w:tcPr>
          <w:p>
            <w:pPr>
              <w:jc w:val="left"/>
            </w:pPr>
            <w:r>
              <w:rPr>
                <w:b/>
                <w:bCs/>
                <w:color w:val="FFFFFF"/>
                <w:sz w:val="20"/>
                <w:szCs w:val="20"/>
              </w:rPr>
              <w:t xml:space="preserve">1인당 소비건수</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1위</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중구</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117,305</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8,584,877</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73.2</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2위</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종로구</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135,935</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8,012,809</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58.9</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3위</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강남구</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552,357</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20,983,526</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38.0</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4위</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용산구</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199,459</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6,699,673</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33.6</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17위</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동작구</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371,324</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6,190,410</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16.7</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23위</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은평구</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452,626</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6,273,308</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13.9</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24위</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양천구</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420,127</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5,718,337</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13.6</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25위</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도봉구</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297,820</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3,513,104</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11.8</w:t>
            </w:r>
          </w:p>
        </w:tc>
      </w:tr>
    </w:tbl>
    <w:p>
      <w:pPr>
        <w:spacing w:after="160"/>
      </w:pPr>
      <w:r>
        <w:t xml:space="preserve">두 지표를 교차하면 흥미로운 지점이 드러난다. 동작구는 1-1의 '유동인구 대비 전환율'에서는 13위로 중간권이라 이 지표만 보면 특별히 튀지 않는다. 하지만 1-2의 '거주인구 대비 소비'에서는 17위(하위 9번째)로 뚜렷하게 낮다. 즉 동작구의 문제는 '유동인구가 소비로 안 이어진다'기보다는, '그 동네에 사는 사람 규모에 비해 카드소비 자체가 약하다'는 쪽에 더 가깝다는 뜻이다. 강남구·중구·성동구처럼 두 지표 모두 최상위권인 지역은 타깃에서 제외하고, 1-2 지표에서 하위권에 속하는 지역을 다음 절에서 더 들여다본다. (구체적인 스크리닝 방법과 최종 대상지 선정은 06장에서 다룬다.)</w:t>
      </w:r>
    </w:p>
    <w:p>
      <w:pPr>
        <w:pStyle w:val="Heading2"/>
        <w:spacing w:after="140" w:before="280"/>
      </w:pPr>
      <w:r>
        <w:t xml:space="preserve">1-3. 목적형·통과형 유동인구의 지역상권 이탈</w:t>
      </w:r>
    </w:p>
    <w:p>
      <w:pPr>
        <w:spacing w:after="160"/>
      </w:pPr>
      <w:r>
        <w:t xml:space="preserve">1-1·1-2에서 확인한 두 수치를 한 문장으로 정리하면 이렇다 — 동작구는 사람이 아예 안 지나가는 동네가 아니다(유동인구 전환율은 중간권). 문제는 그 동네에 사는 사람 수 대비로도 카드소비 흔적이 유독 옅다는 것이다(거주인구 대비 소비는 하위권). 이 간극을 설명할 단서는 동작구의 지리적 특성에서 찾을 수 있다 — 사당역(환승 거점)·노량진(고시촌·수산시장·학원가)처럼, 사람들이 '어딘가로 가기 위해' 혹은 '특정 목적 때문에' 거쳐 가는 통과형 유동인구가 많은 지역이라는 점이다(자세한 근거는 06장 참고). 사람들이 운동·통학·환승 같은 특정 목적을 위해 이 지역을 방문할 때, 대부분은 그 목적 활동만 마치고 곧바로 다른 곳으로 이동한다 — 한강 주변에서 러닝을 마친 사람이 땀도 식히지 않고 바로 귀가하는 경우가 대표적이다. 즉 '목적 활동과 그 주변 소비 사이의 빈틈'이, 1-1·1-2가 보여준 저전환 현상의 실질적인 원인일 가능성이 크다는 것이 1장의 결론이다.</w:t>
      </w:r>
    </w:p>
    <w:p>
      <w:pPr>
        <w:pStyle w:val="Heading1"/>
        <w:spacing w:after="200" w:before="400"/>
      </w:pPr>
      <w:r>
        <w:t xml:space="preserve">02. 문제의 핵심</w:t>
      </w:r>
    </w:p>
    <w:p>
      <w:pPr>
        <w:pStyle w:val="Heading2"/>
        <w:spacing w:after="140" w:before="280"/>
      </w:pPr>
      <w:r>
        <w:t xml:space="preserve">2-1. 지역에 머무를 이유가 부족하다</w:t>
      </w:r>
    </w:p>
    <w:p>
      <w:pPr>
        <w:spacing w:after="160"/>
      </w:pPr>
      <w:r>
        <w:t xml:space="preserve">1장에서 본 것처럼 동작구는 인구도 371,324명으로 서울 25개 구 중 14번째, 적지 않은 규모다. 그런데도 카드소비가 유독 옅다는 건, 결국 사람들이 이 동네에서 '굳이 더 머물 이유'를 못 찾고 있다는 뜻으로 읽힌다. 사당역에서 환승만 하고, 노량진에서 학원 수업만 듣고, 한강 주변에서 운동만 하고 떠나는 식이다. 이 서비스가 풀어야 할 문제는 결국 하나로 좁혀진다 — 사람을 이 지역에 조금 더 붙잡아 둘 이유를 만드는 것.</w:t>
      </w:r>
    </w:p>
    <w:p>
      <w:pPr>
        <w:pStyle w:val="Heading2"/>
        <w:spacing w:after="140" w:before="280"/>
      </w:pPr>
      <w:r>
        <w:t xml:space="preserve">2-2. 로컬상권보다 익숙한 프랜차이즈 소비에 집중</w:t>
      </w:r>
    </w:p>
    <w:p>
      <w:pPr>
        <w:spacing w:after="160"/>
      </w:pPr>
      <w:r>
        <w:t xml:space="preserve">설령 잠깐 머무르더라도, 사람들이 실제로 찾는 곳은 대개 익숙한 프랜차이즈다. 편의점·대형 카페 체인처럼 어디서나 눈에 띄고 검증된 곳을 습관적으로 찾게 되고, 상대적으로 골목 안쪽 개인 가게는 일부러 찾아가지 않는 한 마주치기 어렵다. 다만 정확히 어느 업종이 얼마나 프랜차이즈에 쏠려 있는지는 이 시점에서 단정하기보다, 3-3에서 다룰 '로컬' 기준을 먼저 정한 뒤에 구체적으로 확인해야 할 부분이다.</w:t>
      </w:r>
    </w:p>
    <w:p>
      <w:pPr>
        <w:pStyle w:val="Heading2"/>
        <w:spacing w:after="140" w:before="280"/>
      </w:pPr>
      <w:r>
        <w:t xml:space="preserve">2-3. 기존 할인 중심 상권 활성화의 한계</w:t>
      </w:r>
    </w:p>
    <w:p>
      <w:pPr>
        <w:spacing w:after="160"/>
      </w:pPr>
      <w:r>
        <w:t xml:space="preserve">사실 서울시와 BC카드는 이미 '로컬브랜드 상권' 사업으로 이 문제에 대응하고 있다. 서울시×서울신용 보증재단이 잠재력 있는 상권을 지정해 브랜딩·환경 개선을 지원하고, 그 상권 안의 가맹점에서 결제하면 청구 할인을 해주는 방식이다(페이북 MyTag '로컬브랜드 상권 할인' 태그). 2026년 9월 기준 지정 상권은 강북구 사일구로, 중랑구 상봉먹자골목, 중구 광희로드, 성북구 성북동길, 서초구 케미스트릿 강남역, 동작구 노량진 만나로, 동대문구 회기랑길, 광진구 건대 청춘잇길, 관악구 샤로수길, 강서구 마곡 미술길까지 총 10곳이다 — 동작구가 이미 이 사업 대상지에 포함돼 있다는 점은 1~2장에서 우리가 독립적으로 도출한 결론과도 맞아떨어진다.</w:t>
      </w:r>
    </w:p>
    <w:p>
      <w:pPr>
        <w:spacing w:after="160"/>
      </w:pPr>
      <w:r>
        <w:t xml:space="preserve">다만 이 사업은 '할인' 자체가 중심이다. 혜택은 2만 원 이상 결제 시 7천 원 청구 할인이고, 상권별로 인당 하루 1회·월 최대 3회까지만 적용되며 매월 1일마다 태그를 다시 걸어야 한다. 즉 왜 이 동네를 반복해서 찾아야 하는지에 대한 동기는 할인 한도 안에서만 작동할 뿐, 별도로 설계되어 있지 않다. 여기에 더해 3장에서 짚겠지만, 이 사업이 정의하는 '로컬브랜드'는 '개인이 운영하는 매장'을 뜻하는 것이 아니라 '서울시가 지정한 특정 상권 안에 있는 가맹점'을 뜻한다는 점도 짚고 넘어가야 한다 — 프랜차이즈든 아니든 그 상권 안에만 있으면 대상이 될 수 있다. 다음 장에서는 이 두 가지 한계(반복 방문 동기 부재, 모호한 '로컬' 기준)를 함께 메울 해결 전략을 제시한다.</w:t>
      </w:r>
    </w:p>
    <w:p>
      <w:pPr>
        <w:pStyle w:val="Heading1"/>
        <w:spacing w:after="200" w:before="400"/>
      </w:pPr>
      <w:r>
        <w:t xml:space="preserve">03. 해결 전략</w:t>
      </w:r>
    </w:p>
    <w:p>
      <w:pPr>
        <w:pStyle w:val="Heading2"/>
        <w:spacing w:after="140" w:before="280"/>
      </w:pPr>
      <w:r>
        <w:t xml:space="preserve">3-1. 유동인구를 체류인구로 전환</w:t>
      </w:r>
    </w:p>
    <w:p>
      <w:pPr>
        <w:spacing w:after="160"/>
      </w:pPr>
      <w:r>
        <w:t xml:space="preserve">2-1에서 정의한 문제 — '사람을 이 지역에 조금 더 붙잡아 둘 이유가 없다' — 에 대한 답은, 목적 활동의 앞뒤에 로컬 상점 방문을 자연스럽게 끼워 넣는 것이다. 러닝을 마친 사람이 땀을 식히며 들를 곳을 동선 위에 배치하면, '스쳐 지나가는 방문'이 '잠시 머무는 방문'으로 바뀐다.</w:t>
      </w:r>
    </w:p>
    <w:p>
      <w:pPr>
        <w:pStyle w:val="Heading2"/>
        <w:spacing w:after="140" w:before="280"/>
      </w:pPr>
      <w:r>
        <w:t xml:space="preserve">3-2. 커뮤니티를 통한 반복 방문 유도</w:t>
      </w:r>
    </w:p>
    <w:p>
      <w:pPr>
        <w:spacing w:after="160"/>
      </w:pPr>
      <w:r>
        <w:t xml:space="preserve">한 번 머무는 것만으로는 부족하다. 개인의 1회성 방문은 '운동 후 바로 귀가'로 끝나지만, 커뮤니티로 묶인 소비는 '러닝 후 함께 식사·카페 → 다음 모임까지 반복 방문'으로 이어질 가능성이 높다. 즉 커뮤니티는 목적이 아니라 1회성 소비를 반복적 지역 소비로 전환하는 장치다. 실제로 엠브레인 트렌드모니터 조사에서 러닝크루 가입 이유로 '혼자보다 함께하는 러닝이 더 즐거워서'(51.4%), '함께 뛰며 동기부여를 얻고 꾸준히 운동하기 위해서'(48.6%)가 가장 많이 꼽혀, 커뮤니티가 반복 참여를 이끄는 실질적 동기로 작동함을 뒷받침한다. 특히 사당·노량진 같은 통과형 거점은 '혼자면 그냥 지나치지만, 같이 갈 사람 (크루)이 있으면 잠깐이라도 머무를 사회적 동기가 생긴다'는 점에서 커뮤니티 개입의 효과가 클 것으로 기대한다.</w:t>
      </w:r>
    </w:p>
    <w:p>
      <w:pPr>
        <w:pStyle w:val="Heading2"/>
        <w:spacing w:after="140" w:before="280"/>
      </w:pPr>
      <w:r>
        <w:t xml:space="preserve">3-3. 커뮤니티 활동을 로컬상권 소비로 연결</w:t>
      </w:r>
    </w:p>
    <w:p>
      <w:pPr>
        <w:spacing w:after="160"/>
      </w:pPr>
      <w:r>
        <w:t xml:space="preserve">2-3에서 짚었듯, '로컬브랜드'를 서울시·페이북처럼 '지정 상권 안의 가맹점'으로 정의하면 프랜차이즈인지 개인 가게인지는 애초에 구분 대상이 아니다. 그렇다면 이 서비스는 두 층으로 기준을 나눠 이 사업의 틀 위에 얹는 방식을 제안한다.</w:t>
      </w:r>
    </w:p>
    <w:p>
      <w:pPr>
        <w:pStyle w:val="ListParagraph"/>
        <w:numPr>
          <w:ilvl w:val="0"/>
          <w:numId w:val="1"/>
        </w:numPr>
        <w:spacing w:after="80"/>
      </w:pPr>
      <w:r>
        <w:t xml:space="preserve">어떤 상권을 지정할지 — 서울시가 이미 쓰는 '지역 지정' 방식을 그대로 따르되, 어디를 다음 로컬브랜드 상권 후보로 추천할지는 06장의 데이터 스크리닝(거주인구 대비 소비 저조 지역)으로 근거를 댄다.</w:t>
      </w:r>
    </w:p>
    <w:p>
      <w:pPr>
        <w:pStyle w:val="ListParagraph"/>
        <w:numPr>
          <w:ilvl w:val="0"/>
          <w:numId w:val="1"/>
        </w:numPr>
        <w:spacing w:after="80"/>
      </w:pPr>
      <w:r>
        <w:t xml:space="preserve">그 상권 안에서 어떤 가게를 우선 노출할지 — 프랜차이즈 여부 대신, BC카드 소비데이터 자체에 이미 있는 '업종별 소비 증감률'로 최근 소비가 줄고 있는 업종을 우선 매칭 대상으로 삼는다. 이 방식은 공모전 필수 데이터만으로 계산되고, '프랜차이즈인지 아닌지' 같은 모호한 기준이 끼어들 여지가 없다는 게 장점이다.</w:t>
      </w:r>
    </w:p>
    <w:p>
      <w:pPr>
        <w:spacing w:after="160"/>
      </w:pPr>
      <w:r>
        <w:t xml:space="preserve">실제로 동작구의 2026년 1~6월 업종별 소비건수 증감률을 계산해보면 다음과 같다.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00"/>
      </w:tblGrid>
      <w:tr>
        <w:trPr>
          <w:tblHeader/>
        </w:trPr>
        <w:tc>
          <w:tcPr>
            <w:tcW w:type="dxa" w:w="2400"/>
            <w:shd w:fill="1F5C4E" w:color="auto" w:val="clear"/>
            <w:tcMar>
              <w:top w:type="dxa" w:w="80"/>
              <w:left w:type="dxa" w:w="120"/>
              <w:bottom w:type="dxa" w:w="80"/>
              <w:right w:type="dxa" w:w="120"/>
            </w:tcMar>
            <w:vAlign w:val="center"/>
          </w:tcPr>
          <w:p>
            <w:pPr>
              <w:jc w:val="left"/>
            </w:pPr>
            <w:r>
              <w:rPr>
                <w:b/>
                <w:bCs/>
                <w:color w:val="FFFFFF"/>
                <w:sz w:val="20"/>
                <w:szCs w:val="20"/>
              </w:rPr>
              <w:t xml:space="preserve">업종</w:t>
            </w:r>
          </w:p>
        </w:tc>
        <w:tc>
          <w:tcPr>
            <w:tcW w:type="dxa" w:w="2400"/>
            <w:shd w:fill="1F5C4E" w:color="auto" w:val="clear"/>
            <w:tcMar>
              <w:top w:type="dxa" w:w="80"/>
              <w:left w:type="dxa" w:w="120"/>
              <w:bottom w:type="dxa" w:w="80"/>
              <w:right w:type="dxa" w:w="120"/>
            </w:tcMar>
            <w:vAlign w:val="center"/>
          </w:tcPr>
          <w:p>
            <w:pPr>
              <w:jc w:val="left"/>
            </w:pPr>
            <w:r>
              <w:rPr>
                <w:b/>
                <w:bCs/>
                <w:color w:val="FFFFFF"/>
                <w:sz w:val="20"/>
                <w:szCs w:val="20"/>
              </w:rPr>
              <w:t xml:space="preserve">1월 소비건수</w:t>
            </w:r>
          </w:p>
        </w:tc>
        <w:tc>
          <w:tcPr>
            <w:tcW w:type="dxa" w:w="2400"/>
            <w:shd w:fill="1F5C4E" w:color="auto" w:val="clear"/>
            <w:tcMar>
              <w:top w:type="dxa" w:w="80"/>
              <w:left w:type="dxa" w:w="120"/>
              <w:bottom w:type="dxa" w:w="80"/>
              <w:right w:type="dxa" w:w="120"/>
            </w:tcMar>
            <w:vAlign w:val="center"/>
          </w:tcPr>
          <w:p>
            <w:pPr>
              <w:jc w:val="left"/>
            </w:pPr>
            <w:r>
              <w:rPr>
                <w:b/>
                <w:bCs/>
                <w:color w:val="FFFFFF"/>
                <w:sz w:val="20"/>
                <w:szCs w:val="20"/>
              </w:rPr>
              <w:t xml:space="preserve">6월 소비건수</w:t>
            </w:r>
          </w:p>
        </w:tc>
        <w:tc>
          <w:tcPr>
            <w:tcW w:type="dxa" w:w="1800"/>
            <w:shd w:fill="1F5C4E" w:color="auto" w:val="clear"/>
            <w:tcMar>
              <w:top w:type="dxa" w:w="80"/>
              <w:left w:type="dxa" w:w="120"/>
              <w:bottom w:type="dxa" w:w="80"/>
              <w:right w:type="dxa" w:w="120"/>
            </w:tcMar>
            <w:vAlign w:val="center"/>
          </w:tcPr>
          <w:p>
            <w:pPr>
              <w:jc w:val="left"/>
            </w:pPr>
            <w:r>
              <w:rPr>
                <w:b/>
                <w:bCs/>
                <w:color w:val="FFFFFF"/>
                <w:sz w:val="20"/>
                <w:szCs w:val="20"/>
              </w:rPr>
              <w:t xml:space="preserve">증감률</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대형할인점</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39,253</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32,797</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-16.4%</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스넥</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49,167</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46,751</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-4.9%</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일반한식</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163,413</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160,380</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-1.9%</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중국음식</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17,912</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17,768</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-0.8%</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슈퍼마켓</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118,719</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121,697</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+2.5%</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제과점</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52,067</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54,954</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+5.5%</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일식회집</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17,556</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18,788</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+7.0%</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편의점</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328,369</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380,160</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+15.8%</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서양음식</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186,635</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228,184</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+22.3%</w:t>
            </w:r>
          </w:p>
        </w:tc>
      </w:tr>
    </w:tbl>
    <w:p>
      <w:pPr>
        <w:spacing w:after="160"/>
      </w:pPr>
      <w:r>
        <w:t xml:space="preserve">대형할인점·스넥·일반한식·중국음식은 줄어드는 추세이고, 반대로 서양음식(카페 포함 범주)·편의점은 오히려 급증하고 있다. 이 서비스는 커뮤니티의 소비 동선을 설계할 때 이렇게 감소 추세인 업종을 우선 매칭 대상으로 삼는다 — 이미 잘 되고 있는 편의점·서양음식 쪽으로 굳이 더 밀어줄 필요는 없기 때문이다. 다만 지금 손에 있는 건 '업종 단위' 데이터라, 지금 단계에서는 '이 업종군이 줄어들고 있으니 이 업종군 가게들을 우선 매칭한다'는 수준까지만 판단할 수 있다. 만약 이후에 개별 가맹점 단위 결제 데이터까지 받을 수 있다면, '이 업종 중에서도 특히 이 가게'처럼 훨씬 구체적으로 매칭 대상을 좁힐 수 있을 것이다(이 부분은 8-4에서 다시 짚는다).</w:t>
      </w:r>
    </w:p>
    <w:p>
      <w:pPr>
        <w:spacing w:after="160"/>
        <w:ind w:left="200"/>
      </w:pPr>
      <w:r>
        <w:rPr>
          <w:i/>
          <w:iCs/>
          <w:color w:val="6B6B6B"/>
          <w:sz w:val="19"/>
          <w:szCs w:val="19"/>
        </w:rPr>
        <w:t xml:space="preserve">※ 참고: 러닝과 직접 연관된 업종(동물병원·운동용품점 등)이 실제로 개인 매장 비중이 높다는 점도 동작구 상가업소 데이터에서 확인했다(예: 동물병원 100%, 운동/경기용품 100%, 스포츠클럽 96.2% — 소상공인시장진흥공단 기준 '일반' 매장 비율). 다만 이 '일반' 분류는 가맹사업법상 등록된 가맹점 여부를 기준으로 해 '개인 소상공인'과 완전히 같은 말은 아니라서, 본문의 핵심 기준으로 쓰기보다는 보조 참고 자료로만 남겨둔다.</w:t>
      </w:r>
    </w:p>
    <w:p>
      <w:pPr>
        <w:pStyle w:val="Heading1"/>
        <w:spacing w:after="200" w:before="400"/>
      </w:pPr>
      <w:r>
        <w:t xml:space="preserve">04. 서비스 제안 — Paybooc Local Community</w:t>
      </w:r>
    </w:p>
    <w:p>
      <w:pPr>
        <w:pStyle w:val="Heading2"/>
        <w:spacing w:after="140" w:before="280"/>
      </w:pPr>
      <w:r>
        <w:t xml:space="preserve">4-1. 서비스 전체 구조</w:t>
      </w:r>
    </w:p>
    <w:p>
      <w:pPr>
        <w:spacing w:after="160"/>
      </w:pPr>
      <w:r>
        <w:rPr>
          <w:b w:val="false"/>
          <w:bCs w:val="false"/>
        </w:rPr>
        <w:t xml:space="preserve">BC카드 소비데이터 분석 → 유동인구 대비 소비 전환이 낮은 지역 탐지 → 취미 커뮤니티 매칭 → 커뮤니티 활동 동선을 로컬 상점과 연결 → MyTag 혜택 + 커뮤니티 미션·스탬프 → 반복적 로컬 소비 → 상권 활성화. 이 흐름을 실제로 만들려면 세 가지가 필요하다 — ① 어느 지역·어느 업종을 우선 밀어줄지 정기적으로 다시 계산하는 부분(06장의 분석을 매달 새로 돌리는 것), ② 사용자 위치를 보고 크루를 연결해주는 부분(4-2), ③ 로컬 매장을 골라 혜택을 붙여주는 부분(4-3·4-4). 아래 절에서 각각을 구체적으로 다룬다.</w:t>
      </w:r>
    </w:p>
    <w:p>
      <w:pPr>
        <w:pStyle w:val="Heading2"/>
        <w:spacing w:after="140" w:before="280"/>
      </w:pPr>
      <w:r>
        <w:t xml:space="preserve">4-2. 위치 기반 커뮤니티 추천</w:t>
      </w:r>
    </w:p>
    <w:p>
      <w:pPr>
        <w:pStyle w:val="ListParagraph"/>
        <w:numPr>
          <w:ilvl w:val="0"/>
          <w:numId w:val="1"/>
        </w:numPr>
        <w:spacing w:after="80"/>
      </w:pPr>
      <w:r>
        <w:t xml:space="preserve">① 사용자가 페이북 앱에서 관심 있는 취미 태그(러닝)를 선택</w:t>
      </w:r>
    </w:p>
    <w:p>
      <w:pPr>
        <w:pStyle w:val="ListParagraph"/>
        <w:numPr>
          <w:ilvl w:val="0"/>
          <w:numId w:val="1"/>
        </w:numPr>
        <w:spacing w:after="80"/>
      </w:pPr>
      <w:r>
        <w:t xml:space="preserve">② 사용자 위치가 서비스 대상 지역(예: 사당·노량진 일대) 안에 들어오면, 그 근처에서 활동하는 러닝 크루·모임 리스트를 보여줌</w:t>
      </w:r>
    </w:p>
    <w:p>
      <w:pPr>
        <w:pStyle w:val="ListParagraph"/>
        <w:numPr>
          <w:ilvl w:val="0"/>
          <w:numId w:val="1"/>
        </w:numPr>
        <w:spacing w:after="80"/>
      </w:pPr>
      <w:r>
        <w:t xml:space="preserve">③ 크루 리스트는 활동 시간대·인원·난이도로 걸러볼 수 있게 구성 — 처음에는 동작구 한 곳에서만 열어보고, 반응을 보면서 8-3에서 제안한 다른 지역으로 하나씩 넓혀간다</w:t>
      </w:r>
    </w:p>
    <w:p>
      <w:pPr>
        <w:spacing w:after="160"/>
        <w:ind w:left="200"/>
      </w:pPr>
      <w:r>
        <w:rPr>
          <w:i/>
          <w:iCs/>
          <w:color w:val="6B6B6B"/>
          <w:sz w:val="19"/>
          <w:szCs w:val="19"/>
        </w:rPr>
        <w:t xml:space="preserve">이 기능을 만들 때 필요한 건 생각보다 단순하다 — 지도 위에 서비스 지역(동작구)의 경계선을 미리 그려두고, 앱이 사용자의 현재 위치가 그 경계 안에 들어왔는지만 확인하면 된다. 안에 들어오면 그 지역 크루 목록을 보여주는 식이다. 이렇게 한 지역만 먼저 열어서 반응을 확인한 뒤, 괜찮으면 8-3에서 제안한 지역들로 순서대로 넓혀가는 방식이 현실적이다.</w:t>
      </w:r>
    </w:p>
    <w:p>
      <w:pPr>
        <w:pStyle w:val="Heading2"/>
        <w:spacing w:after="140" w:before="280"/>
      </w:pPr>
      <w:r>
        <w:t xml:space="preserve">4-3. 지역상권 연계 커뮤니티</w:t>
      </w:r>
    </w:p>
    <w:p>
      <w:pPr>
        <w:pStyle w:val="ListParagraph"/>
        <w:numPr>
          <w:ilvl w:val="0"/>
          <w:numId w:val="1"/>
        </w:numPr>
        <w:spacing w:after="80"/>
      </w:pPr>
      <w:r>
        <w:t xml:space="preserve">커뮤니티 활동 동선(러닝 전 편의점 → 러닝 후 식당·카페)에 맞춰, 해당 상권의 페이북 '로컬브랜드 상권' 지정 가맹점 중에서 매칭 후보를 추림</w:t>
      </w:r>
    </w:p>
    <w:p>
      <w:pPr>
        <w:pStyle w:val="ListParagraph"/>
        <w:numPr>
          <w:ilvl w:val="0"/>
          <w:numId w:val="1"/>
        </w:numPr>
        <w:spacing w:after="80"/>
      </w:pPr>
      <w:r>
        <w:t xml:space="preserve">후보 안에서는 3-3의 기준대로 BC카드 소비데이터의 업종별 증감률을 매월 갱신해, 최근 소비가 줄고 있는 업종의 가맹점을 우선 노출</w:t>
      </w:r>
    </w:p>
    <w:p>
      <w:pPr>
        <w:pStyle w:val="ListParagraph"/>
        <w:numPr>
          <w:ilvl w:val="0"/>
          <w:numId w:val="1"/>
        </w:numPr>
        <w:spacing w:after="80"/>
      </w:pPr>
      <w:r>
        <w:t xml:space="preserve">매장을 새로 모집할 필요는 없다 — 이미 MyTag에 등록되어 있어 BC카드로 결제하면 혜택을 받을 수 있는 가맹점 목록(가맹점 풀)이 있으니, 그중에서 위 두 조건(로컬브랜드 상권 지정 + 최근 소비 감소 업종)을 만족하는 곳만 골라 우선순위 목록으로 다시 정리해 보여주면 된다</w:t>
      </w:r>
    </w:p>
    <w:p>
      <w:pPr>
        <w:pStyle w:val="Heading2"/>
        <w:spacing w:after="140" w:before="280"/>
      </w:pPr>
      <w:r>
        <w:t xml:space="preserve">4-4. MyTag 맞춤 혜택</w:t>
      </w:r>
    </w:p>
    <w:p>
      <w:pPr>
        <w:spacing w:after="160"/>
      </w:pPr>
      <w:r>
        <w:t xml:space="preserve">MyTag는 페이북 앱 안에 있는 기능으로, 사용자가 관심 있는 혜택 카테고리를 '태그'로 직접 추가해두면 그 태그와 연결된 가맹점에서 BC카드로 결제할 때 할인이나 적립이 자동으로 적용되는 방식이다. 실제로 2-3에서 본 '로컬브랜드 상권 할인' 태그가 대표적인 예다 — 이 태그를 추가해두면 지정 상권 안 가맹점에서 결제할 때 7천 원이 자동으로 할인된다. 이 서비스는 여기에 '취미 커뮤니티'라는 새로운 태그를 하나 추가하는 개념이다. 다만 기존 태그들은 결제 시점에 조건만 확인해 할인을 주는 정적인 방식인 데 비해, 우리가 제안하는 태그는 '지금 이 사람이 어떤 크루 활동 중인가'까지 함께 확인한다는 점이 다르다.</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200"/>
      </w:tblGrid>
      <w:tr>
        <w:trPr>
          <w:tblHeader/>
        </w:trPr>
        <w:tc>
          <w:tcPr>
            <w:tcW w:type="dxa" w:w="2000"/>
            <w:shd w:fill="1F5C4E" w:color="auto" w:val="clear"/>
            <w:tcMar>
              <w:top w:type="dxa" w:w="80"/>
              <w:left w:type="dxa" w:w="120"/>
              <w:bottom w:type="dxa" w:w="80"/>
              <w:right w:type="dxa" w:w="120"/>
            </w:tcMar>
            <w:vAlign w:val="center"/>
          </w:tcPr>
          <w:p>
            <w:pPr>
              <w:jc w:val="left"/>
            </w:pPr>
            <w:r>
              <w:rPr>
                <w:b/>
                <w:bCs/>
                <w:color w:val="FFFFFF"/>
                <w:sz w:val="20"/>
                <w:szCs w:val="20"/>
              </w:rPr>
              <w:t xml:space="preserve">구분</w:t>
            </w:r>
          </w:p>
        </w:tc>
        <w:tc>
          <w:tcPr>
            <w:tcW w:type="dxa" w:w="4000"/>
            <w:shd w:fill="1F5C4E" w:color="auto" w:val="clear"/>
            <w:tcMar>
              <w:top w:type="dxa" w:w="80"/>
              <w:left w:type="dxa" w:w="120"/>
              <w:bottom w:type="dxa" w:w="80"/>
              <w:right w:type="dxa" w:w="120"/>
            </w:tcMar>
            <w:vAlign w:val="center"/>
          </w:tcPr>
          <w:p>
            <w:pPr>
              <w:jc w:val="left"/>
            </w:pPr>
            <w:r>
              <w:rPr>
                <w:b/>
                <w:bCs/>
                <w:color w:val="FFFFFF"/>
                <w:sz w:val="20"/>
                <w:szCs w:val="20"/>
              </w:rPr>
              <w:t xml:space="preserve">기존 MyTag(예: 로컬브랜드 상권 할인)</w:t>
            </w:r>
          </w:p>
        </w:tc>
        <w:tc>
          <w:tcPr>
            <w:tcW w:type="dxa" w:w="4200"/>
            <w:shd w:fill="1F5C4E" w:color="auto" w:val="clear"/>
            <w:tcMar>
              <w:top w:type="dxa" w:w="80"/>
              <w:left w:type="dxa" w:w="120"/>
              <w:bottom w:type="dxa" w:w="80"/>
              <w:right w:type="dxa" w:w="120"/>
            </w:tcMar>
            <w:vAlign w:val="center"/>
          </w:tcPr>
          <w:p>
            <w:pPr>
              <w:jc w:val="left"/>
            </w:pPr>
            <w:r>
              <w:rPr>
                <w:b/>
                <w:bCs/>
                <w:color w:val="FFFFFF"/>
                <w:sz w:val="20"/>
                <w:szCs w:val="20"/>
              </w:rPr>
              <w:t xml:space="preserve">Paybooc Local Community(제안)</w:t>
            </w:r>
          </w:p>
        </w:tc>
      </w:tr>
      <w:tr>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혜택의 기준</w:t>
            </w:r>
          </w:p>
        </w:tc>
        <w:tc>
          <w:tcPr>
            <w:tcW w:type="dxa" w:w="4000"/>
            <w:tcMar>
              <w:top w:type="dxa" w:w="80"/>
              <w:left w:type="dxa" w:w="120"/>
              <w:bottom w:type="dxa" w:w="80"/>
              <w:right w:type="dxa" w:w="120"/>
            </w:tcMar>
            <w:vAlign w:val="center"/>
          </w:tcPr>
          <w:p>
            <w:pPr>
              <w:jc w:val="left"/>
            </w:pPr>
            <w:r>
              <w:rPr>
                <w:b w:val="false"/>
                <w:bCs w:val="false"/>
                <w:color w:val="000000"/>
                <w:sz w:val="20"/>
                <w:szCs w:val="20"/>
              </w:rPr>
              <w:t xml:space="preserve">결제 시점의 조건(상권·업종)만 확인</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취미 커뮤니티 활동 + 위치 동선까지 함께 확인</w:t>
            </w:r>
          </w:p>
        </w:tc>
      </w:tr>
      <w:tr>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소비 유도 방식</w:t>
            </w:r>
          </w:p>
        </w:tc>
        <w:tc>
          <w:tcPr>
            <w:tcW w:type="dxa" w:w="4000"/>
            <w:tcMar>
              <w:top w:type="dxa" w:w="80"/>
              <w:left w:type="dxa" w:w="120"/>
              <w:bottom w:type="dxa" w:w="80"/>
              <w:right w:type="dxa" w:w="120"/>
            </w:tcMar>
            <w:vAlign w:val="center"/>
          </w:tcPr>
          <w:p>
            <w:pPr>
              <w:jc w:val="left"/>
            </w:pPr>
            <w:r>
              <w:rPr>
                <w:b w:val="false"/>
                <w:bCs w:val="false"/>
                <w:color w:val="000000"/>
                <w:sz w:val="20"/>
                <w:szCs w:val="20"/>
              </w:rPr>
              <w:t xml:space="preserve">정해진 할인을 그때그때 적용</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커뮤니티 활동을 통해 반복 방문 자체를 유도</w:t>
            </w:r>
          </w:p>
        </w:tc>
      </w:tr>
      <w:tr>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게임화 요소</w:t>
            </w:r>
          </w:p>
        </w:tc>
        <w:tc>
          <w:tcPr>
            <w:tcW w:type="dxa" w:w="4000"/>
            <w:tcMar>
              <w:top w:type="dxa" w:w="80"/>
              <w:left w:type="dxa" w:w="120"/>
              <w:bottom w:type="dxa" w:w="80"/>
              <w:right w:type="dxa" w:w="120"/>
            </w:tcMar>
            <w:vAlign w:val="center"/>
          </w:tcPr>
          <w:p>
            <w:pPr>
              <w:jc w:val="left"/>
            </w:pPr>
            <w:r>
              <w:rPr>
                <w:b w:val="false"/>
                <w:bCs w:val="false"/>
                <w:color w:val="000000"/>
                <w:sz w:val="20"/>
                <w:szCs w:val="20"/>
              </w:rPr>
              <w:t xml:space="preserve">제한적</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커뮤니티 미션·스탬프 기반 포인트 적립</w:t>
            </w:r>
          </w:p>
        </w:tc>
      </w:tr>
      <w:tr>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기대하는 지속성</w:t>
            </w:r>
          </w:p>
        </w:tc>
        <w:tc>
          <w:tcPr>
            <w:tcW w:type="dxa" w:w="4000"/>
            <w:tcMar>
              <w:top w:type="dxa" w:w="80"/>
              <w:left w:type="dxa" w:w="120"/>
              <w:bottom w:type="dxa" w:w="80"/>
              <w:right w:type="dxa" w:w="120"/>
            </w:tcMar>
            <w:vAlign w:val="center"/>
          </w:tcPr>
          <w:p>
            <w:pPr>
              <w:jc w:val="left"/>
            </w:pPr>
            <w:r>
              <w:rPr>
                <w:b w:val="false"/>
                <w:bCs w:val="false"/>
                <w:color w:val="000000"/>
                <w:sz w:val="20"/>
                <w:szCs w:val="20"/>
              </w:rPr>
              <w:t xml:space="preserve">1회성 사용 위주</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커뮤니티 반복 활동에 따른 지속적 로컬 소비</w:t>
            </w:r>
          </w:p>
        </w:tc>
      </w:tr>
    </w:tbl>
    <w:p>
      <w:pPr>
        <w:pStyle w:val="Heading2"/>
        <w:spacing w:after="140" w:before="280"/>
      </w:pPr>
      <w:r>
        <w:t xml:space="preserve">4-5. 커뮤니티 미션·스탬프</w:t>
      </w:r>
    </w:p>
    <w:p>
      <w:pPr>
        <w:spacing w:after="160"/>
      </w:pPr>
      <w:r>
        <w:t xml:space="preserve">3-2에서 짚었듯, 이 서비스가 만들어야 하는 건 '한 번의 방문'이 아니라 '반복되는 방문'이다. 커뮤니티 미션·스탬프는 이 반복을 사용자가 눈으로 확인할 수 있는 형태로 만든 장치다 — 러닝크루가 그 지역 로컬브랜드 매장에서 결제할 때마다 MyTag 포인트가 쌓이고, 일정 횟수를 채우면 더 큰 혜택이 주어지는 구조다. 결제 시점에 '커뮤니티 소속 여부'와 '로컬브랜드 매장 여부'만 함께 확인하면 되므로, 기존 MyTag의 포인트 적립 로직을 그대로 확장해서 쓸 수 있어 별도의 정산 체계를 새로 만들 필요가 없다.</w:t>
      </w:r>
    </w:p>
    <w:p>
      <w:pPr>
        <w:spacing w:after="160"/>
      </w:pPr>
      <w:r>
        <w:t xml:space="preserve">이 장치가 노리는 효과는 크게 두 가지다. 사용자 입장에서는 할인 쿠폰 한 장보다 '다음 방문에서 더 큰 혜택'이라는 목표가 생겨 재방문할 이유가 뚜렷해지고, BC카드 입장에서는 이 과정에서 쌓이는 '어떤 커뮤니티가 어느 매장을 얼마나 반복해서 찾는지'에 대한 데이터를 이후 지역 확장(8-3)이나 가맹점 제휴 전략에 그대로 활용할 수 있다.</w:t>
      </w:r>
    </w:p>
    <w:p>
      <w:pPr>
        <w:pStyle w:val="Heading1"/>
        <w:spacing w:after="200" w:before="400"/>
      </w:pPr>
      <w:r>
        <w:t xml:space="preserve">05. 핵심 타깃 — 러닝</w:t>
      </w:r>
    </w:p>
    <w:p>
      <w:pPr>
        <w:pStyle w:val="Heading2"/>
        <w:spacing w:after="140" w:before="280"/>
      </w:pPr>
      <w:r>
        <w:t xml:space="preserve">5-1. 러닝 시장 및 소비 트렌드</w:t>
      </w:r>
    </w:p>
    <w:p>
      <w:pPr>
        <w:spacing w:after="160"/>
      </w:pPr>
      <w:r>
        <w:t xml:space="preserve">러닝을 첫 타깃으로 잡은 건 막연한 감이 아니라, 최근 몇 년 사이 반복적으로 확인되는 흐름 때문이다. 문화체육관광부 국민생활체육조사를 보면 주로 참여하는 체육활동 중 '달리기'를 꼽은 비율이 2024년 4.8%에서 2025년 7.7%로 한 해 만에 2.9%p 뛰었고(국가데이터처), 엠브레인 트렌드모니터가 2026년 5월 전국 13~59세 1,000명을 조사한 결과 최근 6개월 이내 러닝 경험률은 64.1%에 달했다. 특히 연령이 낮을 수록 경험률이 높아(10대 79.0%·20대 71.0%·30대 63.0%) 젊은 세대가 이 흐름을 주도하고 있음을 보여준다.</w:t>
      </w:r>
    </w:p>
    <w:p>
      <w:pPr>
        <w:spacing w:after="160"/>
      </w:pPr>
      <w:r>
        <w:t xml:space="preserve">소비 데이터에서도 같은 흐름이 나타난다. 한정판 거래 플랫폼 크림(KREAM)에 따르면 2025년 1~7월 러닝 관련 검색량은 전년 대비 270%, 거래액은 154%, 구매자 수는 153% 늘었고, 전체 구매자의 72%가 2030세대였다(한국경제, 2025.8). 이런 관심이 다시 커뮤니티로 이어지면서, 전국적으로 2,000개가 넘는 러닝크루가 활동 중이다(대구MBC, 2025.10). 서울시도 이 흐름에 발맞춰 광화문·회현·월드컵경기장역의 '러너 지원공간', 여의나루역 '러너스테이션', 뚝섬역 '핏스테이션'처럼 지하철역 안에 탈의·샤워·용품 대여 공간을 마련하고, 역사별 러닝 세션을 통해 커뮤니티 합류까지 연결해주고 있다(하퍼스 바자 코리아, 2025.11).</w:t>
      </w:r>
    </w:p>
    <w:p>
      <w:pPr>
        <w:spacing w:after="160"/>
        <w:ind w:left="200"/>
      </w:pPr>
      <w:r>
        <w:rPr>
          <w:i/>
          <w:iCs/>
          <w:color w:val="6B6B6B"/>
          <w:sz w:val="19"/>
          <w:szCs w:val="19"/>
        </w:rPr>
        <w:t xml:space="preserve">서울시가 이미 지하철역 단위로 '러너 지원공간'을 운영하며 커뮤니티 합류까지 연계하고 있다는 점은, 이 서비스가 지자체·교통공사와 협업할 수 있는 구체적 접점이 이미 존재한다는 뜻이기도 하다.</w:t>
      </w:r>
    </w:p>
    <w:p>
      <w:pPr>
        <w:pStyle w:val="Heading2"/>
        <w:spacing w:after="140" w:before="280"/>
      </w:pPr>
      <w:r>
        <w:t xml:space="preserve">5-2. 러닝과 커뮤니티의 적합성</w:t>
      </w:r>
    </w:p>
    <w:p>
      <w:pPr>
        <w:spacing w:after="160"/>
      </w:pPr>
      <w:r>
        <w:t xml:space="preserve">러닝은 진입장벽이 낮고 코스(경로)가 뚜렷해 위치기반 서비스(동선)와 자연스럽게 결합 가능한 취미다. 이미 커뮤니티 문화도 상당히 성숙해 있다 — 전국 2,000개 이상의 러닝크루가 활동 중이며, 엠브레인 조사에서도 크루 가입 이유로 '함께하는 즐거움'(51.4%)과 '동기부여·꾸준함'(48.6%)이 꼽혀 커뮤니티가 실질적인 참여 동기로 작동함이 확인된다.</w:t>
      </w:r>
    </w:p>
    <w:p>
      <w:pPr>
        <w:spacing w:after="160"/>
        <w:ind w:left="200"/>
      </w:pPr>
      <w:r>
        <w:rPr>
          <w:i/>
          <w:iCs/>
          <w:color w:val="6B6B6B"/>
          <w:sz w:val="19"/>
          <w:szCs w:val="19"/>
        </w:rPr>
        <w:t xml:space="preserve">다만 같은 조사에서 러닝크루 호감도는 33.9%에 그친 반면 비호감 응답은 44.9%로 더 높았고, 이유로 '보행자 통행 방해'(68.2%), '공공장소 질서 저해'(59.9%) 등이 꼽혔다. 커뮤니티 단위 활동을 설계할 때 공공장소 에티켓('런티켓')을 함께 고려해야 하며, 이는 8-4 한계 및 보완 과제에서 다시 다룬다.</w:t>
      </w:r>
    </w:p>
    <w:p>
      <w:pPr>
        <w:pStyle w:val="Heading2"/>
        <w:spacing w:after="140" w:before="280"/>
      </w:pPr>
      <w:r>
        <w:t xml:space="preserve">5-3. 러닝 코스와 지역상권 연결</w:t>
      </w:r>
    </w:p>
    <w:p>
      <w:pPr>
        <w:spacing w:after="160"/>
      </w:pPr>
      <w:r>
        <w:t xml:space="preserve">이 서비스가 실제로 작동하려면, '러너들이 실제로 지나다니는 길' 주변에 로컬 매장이 충분히 있어야 한다. 노량진 일대는 한강(노들섬 방면)과 가까워서, 노량진역을 기준으로 반경 2km 안에만 한강 체육시설·자전거보관소·쉼터·파고라 같은 하천이용시설이 167개나 모여 있다(서울시 하천이용시설 현황 데이터). 여기에 동작구 안에 헬스장 16곳·요가 5곳·필라테스 5곳·기타 스포츠시설 8곳까지 더해지면, '러닝 코스 근처에 들를 만한 로컬 매장이 있는가'라는 질문에는 이미 어느 정도 답이 되어 있는 셈이다. 4-2에서 설명한 위치 확인 기능도 결국 이 데이터 위에서 움직인다 — 사용자가 이 반경 안에 들어오면, 근처 크루와 로컬 매장을 함께 보여주는 식이다.</w:t>
      </w:r>
    </w:p>
    <w:p>
      <w:pPr>
        <w:pStyle w:val="Heading1"/>
        <w:spacing w:after="200" w:before="400"/>
      </w:pPr>
      <w:r>
        <w:t xml:space="preserve">06. 데이터 기반 지역 선정</w:t>
      </w:r>
    </w:p>
    <w:p>
      <w:pPr>
        <w:spacing w:after="160"/>
      </w:pPr>
      <w:r>
        <w:rPr>
          <w:b/>
          <w:bCs/>
        </w:rPr>
        <w:t xml:space="preserve">이 장은 이 기획안에서 가장 핵심적인 분석 파트다. 어떤 원자료를 썼고, 어떤 방법으로 가공했으며, 그 결과가 어떻게 최종 대상지 선정으로 이어졌는지를 순서대로 설명한다.</w:t>
      </w:r>
    </w:p>
    <w:p>
      <w:pPr>
        <w:pStyle w:val="Heading2"/>
        <w:spacing w:after="140" w:before="280"/>
      </w:pPr>
      <w:r>
        <w:t xml:space="preserve">6-1. 유동인구 데이터</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000"/>
      </w:tblGrid>
      <w:tr>
        <w:trPr>
          <w:tblHeader/>
        </w:trPr>
        <w:tc>
          <w:tcPr>
            <w:tcW w:type="dxa" w:w="3000"/>
            <w:shd w:fill="1F5C4E" w:color="auto" w:val="clear"/>
            <w:tcMar>
              <w:top w:type="dxa" w:w="80"/>
              <w:left w:type="dxa" w:w="120"/>
              <w:bottom w:type="dxa" w:w="80"/>
              <w:right w:type="dxa" w:w="120"/>
            </w:tcMar>
            <w:vAlign w:val="center"/>
          </w:tcPr>
          <w:p>
            <w:pPr>
              <w:jc w:val="left"/>
            </w:pPr>
            <w:r>
              <w:rPr>
                <w:b/>
                <w:bCs/>
                <w:color w:val="FFFFFF"/>
                <w:sz w:val="20"/>
                <w:szCs w:val="20"/>
              </w:rPr>
              <w:t xml:space="preserve">데이터</w:t>
            </w:r>
          </w:p>
        </w:tc>
        <w:tc>
          <w:tcPr>
            <w:tcW w:type="dxa" w:w="3400"/>
            <w:shd w:fill="1F5C4E" w:color="auto" w:val="clear"/>
            <w:tcMar>
              <w:top w:type="dxa" w:w="80"/>
              <w:left w:type="dxa" w:w="120"/>
              <w:bottom w:type="dxa" w:w="80"/>
              <w:right w:type="dxa" w:w="120"/>
            </w:tcMar>
            <w:vAlign w:val="center"/>
          </w:tcPr>
          <w:p>
            <w:pPr>
              <w:jc w:val="left"/>
            </w:pPr>
            <w:r>
              <w:rPr>
                <w:b/>
                <w:bCs/>
                <w:color w:val="FFFFFF"/>
                <w:sz w:val="20"/>
                <w:szCs w:val="20"/>
              </w:rPr>
              <w:t xml:space="preserve">내용</w:t>
            </w:r>
          </w:p>
        </w:tc>
        <w:tc>
          <w:tcPr>
            <w:tcW w:type="dxa" w:w="3000"/>
            <w:shd w:fill="1F5C4E" w:color="auto" w:val="clear"/>
            <w:tcMar>
              <w:top w:type="dxa" w:w="80"/>
              <w:left w:type="dxa" w:w="120"/>
              <w:bottom w:type="dxa" w:w="80"/>
              <w:right w:type="dxa" w:w="120"/>
            </w:tcMar>
            <w:vAlign w:val="center"/>
          </w:tcPr>
          <w:p>
            <w:pPr>
              <w:jc w:val="left"/>
            </w:pPr>
            <w:r>
              <w:rPr>
                <w:b/>
                <w:bCs/>
                <w:color w:val="FFFFFF"/>
                <w:sz w:val="20"/>
                <w:szCs w:val="20"/>
              </w:rPr>
              <w:t xml:space="preserve">용도</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서울시 상권분석서비스 – 길단위인구(자치구)</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자치구별 유동인구 규모·시간대·요일별 분포</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1-1의 유동인구 대비 전환율 계산</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서울교통공사 환승역 환승인원정보</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역별 평일/주말 환승인원</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사당역 등 교통 거점성 검증 (6-4)</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행정안전부 주민등록인구현황</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자치구별 거주인구(2026.8 기준)</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1-2의 거주인구 대비 소비 계산</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서울시 도시데이터 센서(S-DoT) 위치정보</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자치구별 실시간 유동인구 센서 위치</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향후 실시간 데이터 확장 가능성 확인 (동작구 7개)</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서울특별시 하천이용시설 현황</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한강 체육시설·자전거보관소·쉼터 위치</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5-3의 러닝 동선·한강 접근성 검증</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서울시 주요 공원현황</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공원 위치 및 개요</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러닝 가능 공원 확인 (동작구 7개)</w:t>
            </w:r>
          </w:p>
        </w:tc>
      </w:tr>
    </w:tbl>
    <w:p>
      <w:pPr>
        <w:pStyle w:val="Heading2"/>
        <w:spacing w:after="140" w:before="280"/>
      </w:pPr>
      <w:r>
        <w:t xml:space="preserve">6-2. BC카드 소비데이터</w:t>
      </w:r>
    </w:p>
    <w:p>
      <w:pPr>
        <w:spacing w:after="160"/>
      </w:pPr>
      <w:r>
        <w:t xml:space="preserve">공모전 필수 데이터는 2026년 1~6월(6개월치), 전국 시군구×업종×성별×연령대 단위로 집계된 소비건수· 금액이다. 이 원자료를 세 가지 방식으로 가공했다.</w:t>
      </w:r>
    </w:p>
    <w:p>
      <w:pPr>
        <w:pStyle w:val="ListParagraph"/>
        <w:numPr>
          <w:ilvl w:val="0"/>
          <w:numId w:val="1"/>
        </w:numPr>
        <w:spacing w:after="80"/>
      </w:pPr>
      <w:r>
        <w:t xml:space="preserve">지수화(Location Quotient 방식): (지역 내 특정 업종 비중) ÷ (전국 평균 비중) × 100. 100을 넘으면 해당 지역이 그 업종에 특화되어 있다는 뜻 — 예: 동작구 일식음식점 소비지수 193(금액 기준)으로 전국 최상위권, 노량진 수산시장 영향으로 추정</w:t>
      </w:r>
    </w:p>
    <w:p>
      <w:pPr>
        <w:pStyle w:val="ListParagraph"/>
        <w:numPr>
          <w:ilvl w:val="0"/>
          <w:numId w:val="1"/>
        </w:numPr>
        <w:spacing w:after="80"/>
      </w:pPr>
      <w:r>
        <w:t xml:space="preserve">자치구별 소비건수·금액 집계: 1-1·1-2의 전환율·스크리닝 계산에 사용</w:t>
      </w:r>
    </w:p>
    <w:p>
      <w:pPr>
        <w:pStyle w:val="ListParagraph"/>
        <w:numPr>
          <w:ilvl w:val="0"/>
          <w:numId w:val="1"/>
        </w:numPr>
        <w:spacing w:after="80"/>
      </w:pPr>
      <w:r>
        <w:t xml:space="preserve">연령대별 월별 증감률: 2026년 1월 대비 6월 소비건수 증가율을 연령대별로 계산 — 강남구·마포구 모두에서 연령대가 낮을수록 증가율이 낮고 60대 이상만 꾸준히 증가하는 계단식 패턴 확인</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rPr>
          <w:tblHeader/>
        </w:trPr>
        <w:tc>
          <w:tcPr>
            <w:tcW w:type="dxa" w:w="3400"/>
            <w:shd w:fill="1F5C4E" w:color="auto" w:val="clear"/>
            <w:tcMar>
              <w:top w:type="dxa" w:w="80"/>
              <w:left w:type="dxa" w:w="120"/>
              <w:bottom w:type="dxa" w:w="80"/>
              <w:right w:type="dxa" w:w="120"/>
            </w:tcMar>
            <w:vAlign w:val="center"/>
          </w:tcPr>
          <w:p>
            <w:pPr>
              <w:jc w:val="left"/>
            </w:pPr>
            <w:r>
              <w:rPr>
                <w:b/>
                <w:bCs/>
                <w:color w:val="FFFFFF"/>
                <w:sz w:val="20"/>
                <w:szCs w:val="20"/>
              </w:rPr>
              <w:t xml:space="preserve">연령대</w:t>
            </w:r>
          </w:p>
        </w:tc>
        <w:tc>
          <w:tcPr>
            <w:tcW w:type="dxa" w:w="3300"/>
            <w:shd w:fill="1F5C4E" w:color="auto" w:val="clear"/>
            <w:tcMar>
              <w:top w:type="dxa" w:w="80"/>
              <w:left w:type="dxa" w:w="120"/>
              <w:bottom w:type="dxa" w:w="80"/>
              <w:right w:type="dxa" w:w="120"/>
            </w:tcMar>
            <w:vAlign w:val="center"/>
          </w:tcPr>
          <w:p>
            <w:pPr>
              <w:jc w:val="left"/>
            </w:pPr>
            <w:r>
              <w:rPr>
                <w:b/>
                <w:bCs/>
                <w:color w:val="FFFFFF"/>
                <w:sz w:val="20"/>
                <w:szCs w:val="20"/>
              </w:rPr>
              <w:t xml:space="preserve">강남구 증가율 (1월→6월)</w:t>
            </w:r>
          </w:p>
        </w:tc>
        <w:tc>
          <w:tcPr>
            <w:tcW w:type="dxa" w:w="3300"/>
            <w:shd w:fill="1F5C4E" w:color="auto" w:val="clear"/>
            <w:tcMar>
              <w:top w:type="dxa" w:w="80"/>
              <w:left w:type="dxa" w:w="120"/>
              <w:bottom w:type="dxa" w:w="80"/>
              <w:right w:type="dxa" w:w="120"/>
            </w:tcMar>
            <w:vAlign w:val="center"/>
          </w:tcPr>
          <w:p>
            <w:pPr>
              <w:jc w:val="left"/>
            </w:pPr>
            <w:r>
              <w:rPr>
                <w:b/>
                <w:bCs/>
                <w:color w:val="FFFFFF"/>
                <w:sz w:val="20"/>
                <w:szCs w:val="20"/>
              </w:rPr>
              <w:t xml:space="preserve">마포구 증가율 (1월→6월)</w:t>
            </w:r>
          </w:p>
        </w:tc>
      </w:tr>
      <w:tr>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20대 이하</w:t>
            </w:r>
          </w:p>
        </w:tc>
        <w:tc>
          <w:tcPr>
            <w:tcW w:type="dxa" w:w="3300"/>
            <w:tcMar>
              <w:top w:type="dxa" w:w="80"/>
              <w:left w:type="dxa" w:w="120"/>
              <w:bottom w:type="dxa" w:w="80"/>
              <w:right w:type="dxa" w:w="120"/>
            </w:tcMar>
            <w:vAlign w:val="center"/>
          </w:tcPr>
          <w:p>
            <w:pPr>
              <w:jc w:val="left"/>
            </w:pPr>
            <w:r>
              <w:rPr>
                <w:b w:val="false"/>
                <w:bCs w:val="false"/>
                <w:color w:val="000000"/>
                <w:sz w:val="20"/>
                <w:szCs w:val="20"/>
              </w:rPr>
              <w:t xml:space="preserve">-12.7%</w:t>
            </w:r>
          </w:p>
        </w:tc>
        <w:tc>
          <w:tcPr>
            <w:tcW w:type="dxa" w:w="3300"/>
            <w:tcMar>
              <w:top w:type="dxa" w:w="80"/>
              <w:left w:type="dxa" w:w="120"/>
              <w:bottom w:type="dxa" w:w="80"/>
              <w:right w:type="dxa" w:w="120"/>
            </w:tcMar>
            <w:vAlign w:val="center"/>
          </w:tcPr>
          <w:p>
            <w:pPr>
              <w:jc w:val="left"/>
            </w:pPr>
            <w:r>
              <w:rPr>
                <w:b w:val="false"/>
                <w:bCs w:val="false"/>
                <w:color w:val="000000"/>
                <w:sz w:val="20"/>
                <w:szCs w:val="20"/>
              </w:rPr>
              <w:t xml:space="preserve">-2.3%</w:t>
            </w:r>
          </w:p>
        </w:tc>
      </w:tr>
      <w:tr>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20대</w:t>
            </w:r>
          </w:p>
        </w:tc>
        <w:tc>
          <w:tcPr>
            <w:tcW w:type="dxa" w:w="3300"/>
            <w:tcMar>
              <w:top w:type="dxa" w:w="80"/>
              <w:left w:type="dxa" w:w="120"/>
              <w:bottom w:type="dxa" w:w="80"/>
              <w:right w:type="dxa" w:w="120"/>
            </w:tcMar>
            <w:vAlign w:val="center"/>
          </w:tcPr>
          <w:p>
            <w:pPr>
              <w:jc w:val="left"/>
            </w:pPr>
            <w:r>
              <w:rPr>
                <w:b w:val="false"/>
                <w:bCs w:val="false"/>
                <w:color w:val="000000"/>
                <w:sz w:val="20"/>
                <w:szCs w:val="20"/>
              </w:rPr>
              <w:t xml:space="preserve">-9.4%</w:t>
            </w:r>
          </w:p>
        </w:tc>
        <w:tc>
          <w:tcPr>
            <w:tcW w:type="dxa" w:w="3300"/>
            <w:tcMar>
              <w:top w:type="dxa" w:w="80"/>
              <w:left w:type="dxa" w:w="120"/>
              <w:bottom w:type="dxa" w:w="80"/>
              <w:right w:type="dxa" w:w="120"/>
            </w:tcMar>
            <w:vAlign w:val="center"/>
          </w:tcPr>
          <w:p>
            <w:pPr>
              <w:jc w:val="left"/>
            </w:pPr>
            <w:r>
              <w:rPr>
                <w:b w:val="false"/>
                <w:bCs w:val="false"/>
                <w:color w:val="000000"/>
                <w:sz w:val="20"/>
                <w:szCs w:val="20"/>
              </w:rPr>
              <w:t xml:space="preserve">-0.3%</w:t>
            </w:r>
          </w:p>
        </w:tc>
      </w:tr>
      <w:tr>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30대</w:t>
            </w:r>
          </w:p>
        </w:tc>
        <w:tc>
          <w:tcPr>
            <w:tcW w:type="dxa" w:w="3300"/>
            <w:tcMar>
              <w:top w:type="dxa" w:w="80"/>
              <w:left w:type="dxa" w:w="120"/>
              <w:bottom w:type="dxa" w:w="80"/>
              <w:right w:type="dxa" w:w="120"/>
            </w:tcMar>
            <w:vAlign w:val="center"/>
          </w:tcPr>
          <w:p>
            <w:pPr>
              <w:jc w:val="left"/>
            </w:pPr>
            <w:r>
              <w:rPr>
                <w:b w:val="false"/>
                <w:bCs w:val="false"/>
                <w:color w:val="000000"/>
                <w:sz w:val="20"/>
                <w:szCs w:val="20"/>
              </w:rPr>
              <w:t xml:space="preserve">-5.2%</w:t>
            </w:r>
          </w:p>
        </w:tc>
        <w:tc>
          <w:tcPr>
            <w:tcW w:type="dxa" w:w="3300"/>
            <w:tcMar>
              <w:top w:type="dxa" w:w="80"/>
              <w:left w:type="dxa" w:w="120"/>
              <w:bottom w:type="dxa" w:w="80"/>
              <w:right w:type="dxa" w:w="120"/>
            </w:tcMar>
            <w:vAlign w:val="center"/>
          </w:tcPr>
          <w:p>
            <w:pPr>
              <w:jc w:val="left"/>
            </w:pPr>
            <w:r>
              <w:rPr>
                <w:b w:val="false"/>
                <w:bCs w:val="false"/>
                <w:color w:val="000000"/>
                <w:sz w:val="20"/>
                <w:szCs w:val="20"/>
              </w:rPr>
              <w:t xml:space="preserve">+1.5%</w:t>
            </w:r>
          </w:p>
        </w:tc>
      </w:tr>
      <w:tr>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40대</w:t>
            </w:r>
          </w:p>
        </w:tc>
        <w:tc>
          <w:tcPr>
            <w:tcW w:type="dxa" w:w="3300"/>
            <w:tcMar>
              <w:top w:type="dxa" w:w="80"/>
              <w:left w:type="dxa" w:w="120"/>
              <w:bottom w:type="dxa" w:w="80"/>
              <w:right w:type="dxa" w:w="120"/>
            </w:tcMar>
            <w:vAlign w:val="center"/>
          </w:tcPr>
          <w:p>
            <w:pPr>
              <w:jc w:val="left"/>
            </w:pPr>
            <w:r>
              <w:rPr>
                <w:b w:val="false"/>
                <w:bCs w:val="false"/>
                <w:color w:val="000000"/>
                <w:sz w:val="20"/>
                <w:szCs w:val="20"/>
              </w:rPr>
              <w:t xml:space="preserve">-5.9%</w:t>
            </w:r>
          </w:p>
        </w:tc>
        <w:tc>
          <w:tcPr>
            <w:tcW w:type="dxa" w:w="3300"/>
            <w:tcMar>
              <w:top w:type="dxa" w:w="80"/>
              <w:left w:type="dxa" w:w="120"/>
              <w:bottom w:type="dxa" w:w="80"/>
              <w:right w:type="dxa" w:w="120"/>
            </w:tcMar>
            <w:vAlign w:val="center"/>
          </w:tcPr>
          <w:p>
            <w:pPr>
              <w:jc w:val="left"/>
            </w:pPr>
            <w:r>
              <w:rPr>
                <w:b w:val="false"/>
                <w:bCs w:val="false"/>
                <w:color w:val="000000"/>
                <w:sz w:val="20"/>
                <w:szCs w:val="20"/>
              </w:rPr>
              <w:t xml:space="preserve">+1.5%</w:t>
            </w:r>
          </w:p>
        </w:tc>
      </w:tr>
      <w:tr>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50대</w:t>
            </w:r>
          </w:p>
        </w:tc>
        <w:tc>
          <w:tcPr>
            <w:tcW w:type="dxa" w:w="3300"/>
            <w:tcMar>
              <w:top w:type="dxa" w:w="80"/>
              <w:left w:type="dxa" w:w="120"/>
              <w:bottom w:type="dxa" w:w="80"/>
              <w:right w:type="dxa" w:w="120"/>
            </w:tcMar>
            <w:vAlign w:val="center"/>
          </w:tcPr>
          <w:p>
            <w:pPr>
              <w:jc w:val="left"/>
            </w:pPr>
            <w:r>
              <w:rPr>
                <w:b w:val="false"/>
                <w:bCs w:val="false"/>
                <w:color w:val="000000"/>
                <w:sz w:val="20"/>
                <w:szCs w:val="20"/>
              </w:rPr>
              <w:t xml:space="preserve">-5.2%</w:t>
            </w:r>
          </w:p>
        </w:tc>
        <w:tc>
          <w:tcPr>
            <w:tcW w:type="dxa" w:w="3300"/>
            <w:tcMar>
              <w:top w:type="dxa" w:w="80"/>
              <w:left w:type="dxa" w:w="120"/>
              <w:bottom w:type="dxa" w:w="80"/>
              <w:right w:type="dxa" w:w="120"/>
            </w:tcMar>
            <w:vAlign w:val="center"/>
          </w:tcPr>
          <w:p>
            <w:pPr>
              <w:jc w:val="left"/>
            </w:pPr>
            <w:r>
              <w:rPr>
                <w:b w:val="false"/>
                <w:bCs w:val="false"/>
                <w:color w:val="000000"/>
                <w:sz w:val="20"/>
                <w:szCs w:val="20"/>
              </w:rPr>
              <w:t xml:space="preserve">+4.4%</w:t>
            </w:r>
          </w:p>
        </w:tc>
      </w:tr>
      <w:tr>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60대 이상</w:t>
            </w:r>
          </w:p>
        </w:tc>
        <w:tc>
          <w:tcPr>
            <w:tcW w:type="dxa" w:w="3300"/>
            <w:tcMar>
              <w:top w:type="dxa" w:w="80"/>
              <w:left w:type="dxa" w:w="120"/>
              <w:bottom w:type="dxa" w:w="80"/>
              <w:right w:type="dxa" w:w="120"/>
            </w:tcMar>
            <w:vAlign w:val="center"/>
          </w:tcPr>
          <w:p>
            <w:pPr>
              <w:jc w:val="left"/>
            </w:pPr>
            <w:r>
              <w:rPr>
                <w:b w:val="false"/>
                <w:bCs w:val="false"/>
                <w:color w:val="000000"/>
                <w:sz w:val="20"/>
                <w:szCs w:val="20"/>
              </w:rPr>
              <w:t xml:space="preserve">+5.1%</w:t>
            </w:r>
          </w:p>
        </w:tc>
        <w:tc>
          <w:tcPr>
            <w:tcW w:type="dxa" w:w="3300"/>
            <w:tcMar>
              <w:top w:type="dxa" w:w="80"/>
              <w:left w:type="dxa" w:w="120"/>
              <w:bottom w:type="dxa" w:w="80"/>
              <w:right w:type="dxa" w:w="120"/>
            </w:tcMar>
            <w:vAlign w:val="center"/>
          </w:tcPr>
          <w:p>
            <w:pPr>
              <w:jc w:val="left"/>
            </w:pPr>
            <w:r>
              <w:rPr>
                <w:b w:val="false"/>
                <w:bCs w:val="false"/>
                <w:color w:val="000000"/>
                <w:sz w:val="20"/>
                <w:szCs w:val="20"/>
              </w:rPr>
              <w:t xml:space="preserve">+7.6%</w:t>
            </w:r>
          </w:p>
        </w:tc>
      </w:tr>
    </w:tbl>
    <w:p>
      <w:pPr>
        <w:spacing w:after="160"/>
      </w:pPr>
      <w:r>
        <w:t xml:space="preserve">성격이 전혀 다른 두 지역에서 동일한 계단식 패턴이 재현된다는 점은, 이것이 특정 지역의 문제가 아니라 BC카드 이용자 전반의 세대 구조 문제임을 시사한다 — 05장에서 러닝을 핵심 타깃으로 삼은 배경이다.</w:t>
      </w:r>
    </w:p>
    <w:p>
      <w:pPr>
        <w:pStyle w:val="Heading2"/>
        <w:spacing w:after="140" w:before="280"/>
      </w:pPr>
      <w:r>
        <w:t xml:space="preserve">6-3. 소비 전환 취약지역 도출</w:t>
      </w:r>
    </w:p>
    <w:p>
      <w:pPr>
        <w:spacing w:after="160"/>
      </w:pPr>
      <w:r>
        <w:t xml:space="preserve">1-1·1-2에서 다룬 두 축을 다시 요약하면 다음과 같은 계산식으로 정리된다.</w:t>
      </w:r>
    </w:p>
    <w:p>
      <w:pPr>
        <w:pStyle w:val="ListParagraph"/>
        <w:numPr>
          <w:ilvl w:val="0"/>
          <w:numId w:val="1"/>
        </w:numPr>
        <w:spacing w:after="80"/>
      </w:pPr>
      <w:r>
        <w:t xml:space="preserve">유동인구 대비 전환율 = 자치구 BC카드 소비건수 ÷ 자치구 총 유동인구</w:t>
      </w:r>
    </w:p>
    <w:p>
      <w:pPr>
        <w:pStyle w:val="ListParagraph"/>
        <w:numPr>
          <w:ilvl w:val="0"/>
          <w:numId w:val="1"/>
        </w:numPr>
        <w:spacing w:after="80"/>
      </w:pPr>
      <w:r>
        <w:t xml:space="preserve">거주인구 대비 소비 = 자치구 BC카드 소비건수 ÷ 자치구 주민등록인구</w:t>
      </w:r>
    </w:p>
    <w:p>
      <w:pPr>
        <w:spacing w:after="160"/>
      </w:pPr>
      <w:r>
        <w:t xml:space="preserve">두 지표 모두에서 하위권으로 잡히는 지역이 아니라, 특히 '거주인구 대비 소비' 축에서 저조하면서 실제로 목적형 유동인구가 몰리는 거점(역세권·학원가 등)이 있는 지역을 후보로 좁혔다. 강남구·중구· 성동구처럼 이미 소비가 활발한 지역(성동구는 20대 소비지수 175로 오히려 전국평균보다 높음, 금액 기준)은 이 단계에서 제외됐다.</w:t>
      </w:r>
    </w:p>
    <w:p>
      <w:pPr>
        <w:pStyle w:val="Heading2"/>
        <w:spacing w:after="140" w:before="280"/>
      </w:pPr>
      <w:r>
        <w:t xml:space="preserve">6-4. 대상 상권 및 커뮤니티 선정</w:t>
      </w:r>
    </w:p>
    <w:p>
      <w:pPr>
        <w:spacing w:after="160"/>
      </w:pPr>
      <w:r>
        <w:t xml:space="preserve">최종 선정된 동작구(사당·노량진 일대)는 거주인구 대비 소비 하위 1/3권에 해당하며, 아래 실측 데이터로 뒷받침된다.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900"/>
        <w:gridCol w:w="7100"/>
      </w:tblGrid>
      <w:tr>
        <w:trPr>
          <w:tblHeader/>
        </w:trPr>
        <w:tc>
          <w:tcPr>
            <w:tcW w:type="dxa" w:w="2900"/>
            <w:shd w:fill="1F5C4E" w:color="auto" w:val="clear"/>
            <w:tcMar>
              <w:top w:type="dxa" w:w="80"/>
              <w:left w:type="dxa" w:w="120"/>
              <w:bottom w:type="dxa" w:w="80"/>
              <w:right w:type="dxa" w:w="120"/>
            </w:tcMar>
            <w:vAlign w:val="center"/>
          </w:tcPr>
          <w:p>
            <w:pPr>
              <w:jc w:val="left"/>
            </w:pPr>
            <w:r>
              <w:rPr>
                <w:b/>
                <w:bCs/>
                <w:color w:val="FFFFFF"/>
                <w:sz w:val="20"/>
                <w:szCs w:val="20"/>
              </w:rPr>
              <w:t xml:space="preserve">근거</w:t>
            </w:r>
          </w:p>
        </w:tc>
        <w:tc>
          <w:tcPr>
            <w:tcW w:type="dxa" w:w="7100"/>
            <w:shd w:fill="1F5C4E" w:color="auto" w:val="clear"/>
            <w:tcMar>
              <w:top w:type="dxa" w:w="80"/>
              <w:left w:type="dxa" w:w="120"/>
              <w:bottom w:type="dxa" w:w="80"/>
              <w:right w:type="dxa" w:w="120"/>
            </w:tcMar>
            <w:vAlign w:val="center"/>
          </w:tcPr>
          <w:p>
            <w:pPr>
              <w:jc w:val="left"/>
            </w:pPr>
            <w:r>
              <w:rPr>
                <w:b/>
                <w:bCs/>
                <w:color w:val="FFFFFF"/>
                <w:sz w:val="20"/>
                <w:szCs w:val="20"/>
              </w:rPr>
              <w:t xml:space="preserve">데이터</w:t>
            </w:r>
          </w:p>
        </w:tc>
      </w:tr>
      <w:tr>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사당역 환승 거점성</w:t>
            </w:r>
          </w:p>
        </w:tc>
        <w:tc>
          <w:tcPr>
            <w:tcW w:type="dxa" w:w="7100"/>
            <w:tcMar>
              <w:top w:type="dxa" w:w="80"/>
              <w:left w:type="dxa" w:w="120"/>
              <w:bottom w:type="dxa" w:w="80"/>
              <w:right w:type="dxa" w:w="120"/>
            </w:tcMar>
            <w:vAlign w:val="center"/>
          </w:tcPr>
          <w:p>
            <w:pPr>
              <w:jc w:val="left"/>
            </w:pPr>
            <w:r>
              <w:rPr>
                <w:b w:val="false"/>
                <w:bCs w:val="false"/>
                <w:color w:val="000000"/>
                <w:sz w:val="20"/>
                <w:szCs w:val="20"/>
              </w:rPr>
              <w:t xml:space="preserve">평일 환승인원 160,478명으로 서울시 환승역 중 6위</w:t>
            </w:r>
          </w:p>
        </w:tc>
      </w:tr>
      <w:tr>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노량진동 상권 특성</w:t>
            </w:r>
          </w:p>
        </w:tc>
        <w:tc>
          <w:tcPr>
            <w:tcW w:type="dxa" w:w="7100"/>
            <w:tcMar>
              <w:top w:type="dxa" w:w="80"/>
              <w:left w:type="dxa" w:w="120"/>
              <w:bottom w:type="dxa" w:w="80"/>
              <w:right w:type="dxa" w:w="120"/>
            </w:tcMar>
            <w:vAlign w:val="center"/>
          </w:tcPr>
          <w:p>
            <w:pPr>
              <w:jc w:val="left"/>
            </w:pPr>
            <w:r>
              <w:rPr>
                <w:b w:val="false"/>
                <w:bCs w:val="false"/>
                <w:color w:val="000000"/>
                <w:sz w:val="20"/>
                <w:szCs w:val="20"/>
              </w:rPr>
              <w:t xml:space="preserve">법정동 단위 상가업소 데이터 기준, 노량진1·2동 내 수산물 소매업이 468개로 압도적 1위 업종(2위 기숙사/고시원 212개)</w:t>
            </w:r>
          </w:p>
        </w:tc>
      </w:tr>
      <w:tr>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업종 소비 지수</w:t>
            </w:r>
          </w:p>
        </w:tc>
        <w:tc>
          <w:tcPr>
            <w:tcW w:type="dxa" w:w="7100"/>
            <w:tcMar>
              <w:top w:type="dxa" w:w="80"/>
              <w:left w:type="dxa" w:w="120"/>
              <w:bottom w:type="dxa" w:w="80"/>
              <w:right w:type="dxa" w:w="120"/>
            </w:tcMar>
            <w:vAlign w:val="center"/>
          </w:tcPr>
          <w:p>
            <w:pPr>
              <w:jc w:val="left"/>
            </w:pPr>
            <w:r>
              <w:rPr>
                <w:b w:val="false"/>
                <w:bCs w:val="false"/>
                <w:color w:val="000000"/>
                <w:sz w:val="20"/>
                <w:szCs w:val="20"/>
              </w:rPr>
              <w:t xml:space="preserve">동작구 일식음식점(횟집 포함) 소비지수 193(금액 기준, 전국평균=100) — 노량진 수산시장 영향으로 추정</w:t>
            </w:r>
          </w:p>
        </w:tc>
      </w:tr>
      <w:tr>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한강 접근성</w:t>
            </w:r>
          </w:p>
        </w:tc>
        <w:tc>
          <w:tcPr>
            <w:tcW w:type="dxa" w:w="7100"/>
            <w:tcMar>
              <w:top w:type="dxa" w:w="80"/>
              <w:left w:type="dxa" w:w="120"/>
              <w:bottom w:type="dxa" w:w="80"/>
              <w:right w:type="dxa" w:w="120"/>
            </w:tcMar>
            <w:vAlign w:val="center"/>
          </w:tcPr>
          <w:p>
            <w:pPr>
              <w:jc w:val="left"/>
            </w:pPr>
            <w:r>
              <w:rPr>
                <w:b w:val="false"/>
                <w:bCs w:val="false"/>
                <w:color w:val="000000"/>
                <w:sz w:val="20"/>
                <w:szCs w:val="20"/>
              </w:rPr>
              <w:t xml:space="preserve">노량진역 기준 반경 2km 내 한강 하천이용시설 167개, 최인접 시설 0.6km(도보 약 10분)</w:t>
            </w:r>
          </w:p>
        </w:tc>
      </w:tr>
      <w:tr>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운동 인프라·공공데이터 확장성</w:t>
            </w:r>
          </w:p>
        </w:tc>
        <w:tc>
          <w:tcPr>
            <w:tcW w:type="dxa" w:w="7100"/>
            <w:tcMar>
              <w:top w:type="dxa" w:w="80"/>
              <w:left w:type="dxa" w:w="120"/>
              <w:bottom w:type="dxa" w:w="80"/>
              <w:right w:type="dxa" w:w="120"/>
            </w:tcMar>
            <w:vAlign w:val="center"/>
          </w:tcPr>
          <w:p>
            <w:pPr>
              <w:jc w:val="left"/>
            </w:pPr>
            <w:r>
              <w:rPr>
                <w:b w:val="false"/>
                <w:bCs w:val="false"/>
                <w:color w:val="000000"/>
                <w:sz w:val="20"/>
                <w:szCs w:val="20"/>
              </w:rPr>
              <w:t xml:space="preserve">동작구 내 S-DoT 센서 7개, 공원 7개(노량진공원·사육신공원 등)</w:t>
            </w:r>
          </w:p>
        </w:tc>
      </w:tr>
    </w:tbl>
    <w:p>
      <w:pPr>
        <w:spacing w:after="160"/>
        <w:ind w:left="200"/>
      </w:pPr>
      <w:r>
        <w:rPr>
          <w:i/>
          <w:iCs/>
          <w:color w:val="6B6B6B"/>
          <w:sz w:val="19"/>
          <w:szCs w:val="19"/>
        </w:rPr>
        <w:t xml:space="preserve">⚠️ 유의사항: 동작구 '구 전체' 유동인구는 서울 25개 구 중 17위로 최상위권은 아니며, BC카드 소비건수 순위(18위)와 거의 비례해 구 단위로는 '유동인구 대비 소비 미전환 갭'이 크지 않다. 또한 노량진역은 1호선 단일 노선이라 공식 환승역 통계에는 잡히지 않는다. 따라서 스토리는 '동작구 전체가 압도적 유동인구 지역'이 아니라, '사당역(공식 환승 거점)'과 '노량진동(수산시장·고시촌으로 인한 별도 이유의 밀집지역)' 두 거점을 중심으로 좁혀서 설명하는 것이 데이터와 정확히 맞는다.</w:t>
      </w:r>
    </w:p>
    <w:p>
      <w:pPr>
        <w:pStyle w:val="Heading1"/>
        <w:spacing w:after="200" w:before="400"/>
      </w:pPr>
      <w:r>
        <w:t xml:space="preserve">07. 이해관계자별 기대효과</w:t>
      </w:r>
    </w:p>
    <w:p>
      <w:pPr>
        <w:pStyle w:val="Heading2"/>
        <w:spacing w:after="140" w:before="280"/>
      </w:pPr>
      <w:r>
        <w:t xml:space="preserve">7-1. 사용자</w:t>
      </w:r>
    </w:p>
    <w:p>
      <w:pPr>
        <w:pStyle w:val="ListParagraph"/>
        <w:numPr>
          <w:ilvl w:val="0"/>
          <w:numId w:val="1"/>
        </w:numPr>
        <w:spacing w:after="120"/>
      </w:pPr>
      <w:r>
        <w:rPr>
          <w:b/>
          <w:bCs/>
        </w:rPr>
        <w:t xml:space="preserve">커뮤니티 발견</w:t>
      </w:r>
      <w:r>
        <w:t xml:space="preserve"> — 낯선 지역에서도 취미를 매개로 자연스럽게 어울릴 사람들을 만날 수 있다.</w:t>
      </w:r>
    </w:p>
    <w:p>
      <w:pPr>
        <w:pStyle w:val="ListParagraph"/>
        <w:numPr>
          <w:ilvl w:val="0"/>
          <w:numId w:val="1"/>
        </w:numPr>
        <w:spacing w:after="120"/>
      </w:pPr>
      <w:r>
        <w:rPr>
          <w:b/>
          <w:bCs/>
        </w:rPr>
        <w:t xml:space="preserve">반복되는 혜택</w:t>
      </w:r>
      <w:r>
        <w:t xml:space="preserve"> — 운동 후 어디로 갈지 매번 고민할 필요 없이, 스탬프가 쌓일수록 혜택도 함께 커진다.</w:t>
      </w:r>
    </w:p>
    <w:p>
      <w:pPr>
        <w:pStyle w:val="Heading2"/>
        <w:spacing w:after="140" w:before="280"/>
      </w:pPr>
      <w:r>
        <w:t xml:space="preserve">7-2. 소상공인</w:t>
      </w:r>
    </w:p>
    <w:p>
      <w:pPr>
        <w:pStyle w:val="ListParagraph"/>
        <w:numPr>
          <w:ilvl w:val="0"/>
          <w:numId w:val="1"/>
        </w:numPr>
        <w:spacing w:after="120"/>
      </w:pPr>
      <w:r>
        <w:rPr>
          <w:b/>
          <w:bCs/>
        </w:rPr>
        <w:t xml:space="preserve">체류 고객으로 전환</w:t>
      </w:r>
      <w:r>
        <w:t xml:space="preserve"> — 환승·이동 목적으로 스쳐가던 유동인구가 실제로 머물다 가는 손님이 된다.</w:t>
      </w:r>
    </w:p>
    <w:p>
      <w:pPr>
        <w:pStyle w:val="ListParagraph"/>
        <w:numPr>
          <w:ilvl w:val="0"/>
          <w:numId w:val="1"/>
        </w:numPr>
        <w:spacing w:after="120"/>
      </w:pPr>
      <w:r>
        <w:rPr>
          <w:b/>
          <w:bCs/>
        </w:rPr>
        <w:t xml:space="preserve">근거 있는 타깃 마케팅</w:t>
      </w:r>
      <w:r>
        <w:t xml:space="preserve"> — "20~30대에게 광고하세요" 같은 막연한 조언 대신, "이 시간대 이 동선에 이런 고객이 있다"는 구체적인 근거를 받을 수 있다.</w:t>
      </w:r>
    </w:p>
    <w:p>
      <w:pPr>
        <w:pStyle w:val="ListParagraph"/>
        <w:numPr>
          <w:ilvl w:val="0"/>
          <w:numId w:val="1"/>
        </w:numPr>
        <w:spacing w:after="120"/>
      </w:pPr>
      <w:r>
        <w:rPr>
          <w:b/>
          <w:bCs/>
        </w:rPr>
        <w:t xml:space="preserve">안정적인 매출</w:t>
      </w:r>
      <w:r>
        <w:t xml:space="preserve"> — 반복 방문하는 커뮤니티 단골이 생기면서 매출이 들쭉날쭉하지 않게 된다.</w:t>
      </w:r>
    </w:p>
    <w:p>
      <w:pPr>
        <w:pStyle w:val="Heading2"/>
        <w:spacing w:after="140" w:before="280"/>
      </w:pPr>
      <w:r>
        <w:t xml:space="preserve">7-3. BC카드</w:t>
      </w:r>
    </w:p>
    <w:p>
      <w:pPr>
        <w:pStyle w:val="ListParagraph"/>
        <w:numPr>
          <w:ilvl w:val="0"/>
          <w:numId w:val="1"/>
        </w:numPr>
        <w:spacing w:after="120"/>
      </w:pPr>
      <w:r>
        <w:rPr>
          <w:b/>
          <w:bCs/>
        </w:rPr>
        <w:t xml:space="preserve">세대 문제 대응</w:t>
      </w:r>
      <w:r>
        <w:t xml:space="preserve"> — 청년층 이용 둔화라는 구조적 문제에 데이터로 근거를 갖춰 대응할 수 있다(6-2 근거).</w:t>
      </w:r>
    </w:p>
    <w:p>
      <w:pPr>
        <w:pStyle w:val="ListParagraph"/>
        <w:numPr>
          <w:ilvl w:val="0"/>
          <w:numId w:val="1"/>
        </w:numPr>
        <w:spacing w:after="120"/>
      </w:pPr>
      <w:r>
        <w:rPr>
          <w:b/>
          <w:bCs/>
        </w:rPr>
        <w:t xml:space="preserve">이미지·활성도 제고</w:t>
      </w:r>
      <w:r>
        <w:t xml:space="preserve"> — 2030 친화적 이미지를 얻는 동시에, MyTag·페이북 앱을 더 자주 쓰게 만든다.</w:t>
      </w:r>
    </w:p>
    <w:p>
      <w:pPr>
        <w:pStyle w:val="ListParagraph"/>
        <w:numPr>
          <w:ilvl w:val="0"/>
          <w:numId w:val="1"/>
        </w:numPr>
        <w:spacing w:after="120"/>
      </w:pPr>
      <w:r>
        <w:rPr>
          <w:b/>
          <w:bCs/>
        </w:rPr>
        <w:t xml:space="preserve">기존 캠페인 보완</w:t>
      </w:r>
      <w:r>
        <w:t xml:space="preserve"> — 로컬브랜드 할인 캠페인의 실제 효과와 인지도를 함께 끌어올린다.</w:t>
      </w:r>
    </w:p>
    <w:p>
      <w:pPr>
        <w:pStyle w:val="Heading1"/>
        <w:spacing w:after="200" w:before="400"/>
      </w:pPr>
      <w:r>
        <w:t xml:space="preserve">08. 성과 측정 및 확장</w:t>
      </w:r>
    </w:p>
    <w:p>
      <w:pPr>
        <w:pStyle w:val="Heading2"/>
        <w:spacing w:after="140" w:before="280"/>
      </w:pPr>
      <w:r>
        <w:t xml:space="preserve">8-1. 소비 전환 효과 측정</w:t>
      </w:r>
    </w:p>
    <w:p>
      <w:pPr>
        <w:spacing w:after="160"/>
      </w:pPr>
      <w:r>
        <w:t xml:space="preserve">서비스 도입의 효과는 06장에서 쓴 것과 동일한 방법론으로 사후 측정할 수 있다는 것이 이 접근의 장점이다.</w:t>
      </w:r>
    </w:p>
    <w:p>
      <w:pPr>
        <w:pStyle w:val="ListParagraph"/>
        <w:numPr>
          <w:ilvl w:val="0"/>
          <w:numId w:val="1"/>
        </w:numPr>
        <w:spacing w:after="80"/>
      </w:pPr>
      <w:r>
        <w:t xml:space="preserve">대상 상권(동작구)의 거주인구 대비 BC카드 소비 지표가 서비스 도입 전후로 개선되는지 추적</w:t>
      </w:r>
    </w:p>
    <w:p>
      <w:pPr>
        <w:pStyle w:val="ListParagraph"/>
        <w:numPr>
          <w:ilvl w:val="0"/>
          <w:numId w:val="1"/>
        </w:numPr>
        <w:spacing w:after="80"/>
      </w:pPr>
      <w:r>
        <w:t xml:space="preserve">로컬(일반) 매장 결제 비중이 서비스 이용자군에서 비이용자군 대비 얼마나 높은지 비교</w:t>
      </w:r>
    </w:p>
    <w:p>
      <w:pPr>
        <w:pStyle w:val="ListParagraph"/>
        <w:numPr>
          <w:ilvl w:val="0"/>
          <w:numId w:val="1"/>
        </w:numPr>
        <w:spacing w:after="80"/>
      </w:pPr>
      <w:r>
        <w:t xml:space="preserve">동작구 일식음식점 등 시그니처 업종 소비지수(LQ)가 서비스 운영 이후 변화하는지 모니터링</w:t>
      </w:r>
    </w:p>
    <w:p>
      <w:pPr>
        <w:pStyle w:val="Heading2"/>
        <w:spacing w:after="140" w:before="280"/>
      </w:pPr>
      <w:r>
        <w:t xml:space="preserve">8-2. 반복 방문·소비 효과</w:t>
      </w:r>
    </w:p>
    <w:p>
      <w:pPr>
        <w:pStyle w:val="ListParagraph"/>
        <w:numPr>
          <w:ilvl w:val="0"/>
          <w:numId w:val="1"/>
        </w:numPr>
        <w:spacing w:after="80"/>
      </w:pPr>
      <w:r>
        <w:t xml:space="preserve">커뮤니티 가입자의 월별 재방문 횟수·재방문 주기</w:t>
      </w:r>
    </w:p>
    <w:p>
      <w:pPr>
        <w:pStyle w:val="ListParagraph"/>
        <w:numPr>
          <w:ilvl w:val="0"/>
          <w:numId w:val="1"/>
        </w:numPr>
        <w:spacing w:after="80"/>
      </w:pPr>
      <w:r>
        <w:t xml:space="preserve">커뮤니티 미션·스탬프 완료율, 스탬프 적립에 따른 추가 혜택 사용률</w:t>
      </w:r>
    </w:p>
    <w:p>
      <w:pPr>
        <w:pStyle w:val="ListParagraph"/>
        <w:numPr>
          <w:ilvl w:val="0"/>
          <w:numId w:val="1"/>
        </w:numPr>
        <w:spacing w:after="80"/>
      </w:pPr>
      <w:r>
        <w:t xml:space="preserve">크루 단위 활동 지속률(가입 후 3개월 이상 활동 비율)</w:t>
      </w:r>
    </w:p>
    <w:p>
      <w:pPr>
        <w:pStyle w:val="Heading2"/>
        <w:spacing w:after="140" w:before="280"/>
      </w:pPr>
      <w:r>
        <w:t xml:space="preserve">8-3. 타 지역·타 취미로 확장</w:t>
      </w:r>
    </w:p>
    <w:p>
      <w:pPr>
        <w:spacing w:after="160"/>
      </w:pPr>
      <w:r>
        <w:t xml:space="preserve">이 서비스의 핵심 구조는 '함께 모이는 활동 + 커뮤니티 + 로컬 상권 연결'이며, 러닝이라는 특정 취미나 동작구라는 특정 지역에 종속되지 않는다. 여럿이 모여서 하는 취미라면 대부분 이 구조를 그대로 적용할 수 있다 — 확장 우선순위는 ① 관련 업종의 로컬 비율, ② 동선(코스)의 명확성, ③ 기존 커뮤니티 문화의 성숙도를 기준으로 판단한다.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00"/>
      </w:tblGrid>
      <w:tr>
        <w:trPr>
          <w:tblHeader/>
        </w:trPr>
        <w:tc>
          <w:tcPr>
            <w:tcW w:type="dxa" w:w="2200"/>
            <w:shd w:fill="1F5C4E" w:color="auto" w:val="clear"/>
            <w:tcMar>
              <w:top w:type="dxa" w:w="80"/>
              <w:left w:type="dxa" w:w="120"/>
              <w:bottom w:type="dxa" w:w="80"/>
              <w:right w:type="dxa" w:w="120"/>
            </w:tcMar>
            <w:vAlign w:val="center"/>
          </w:tcPr>
          <w:p>
            <w:pPr>
              <w:jc w:val="left"/>
            </w:pPr>
            <w:r>
              <w:rPr>
                <w:b/>
                <w:bCs/>
                <w:color w:val="FFFFFF"/>
                <w:sz w:val="20"/>
                <w:szCs w:val="20"/>
              </w:rPr>
              <w:t xml:space="preserve">후보 취미</w:t>
            </w:r>
          </w:p>
        </w:tc>
        <w:tc>
          <w:tcPr>
            <w:tcW w:type="dxa" w:w="2800"/>
            <w:shd w:fill="1F5C4E" w:color="auto" w:val="clear"/>
            <w:tcMar>
              <w:top w:type="dxa" w:w="80"/>
              <w:left w:type="dxa" w:w="120"/>
              <w:bottom w:type="dxa" w:w="80"/>
              <w:right w:type="dxa" w:w="120"/>
            </w:tcMar>
            <w:vAlign w:val="center"/>
          </w:tcPr>
          <w:p>
            <w:pPr>
              <w:jc w:val="left"/>
            </w:pPr>
            <w:r>
              <w:rPr>
                <w:b/>
                <w:bCs/>
                <w:color w:val="FFFFFF"/>
                <w:sz w:val="20"/>
                <w:szCs w:val="20"/>
              </w:rPr>
              <w:t xml:space="preserve">연결 가능한 업종·장소</w:t>
            </w:r>
          </w:p>
        </w:tc>
        <w:tc>
          <w:tcPr>
            <w:tcW w:type="dxa" w:w="4200"/>
            <w:shd w:fill="1F5C4E" w:color="auto" w:val="clear"/>
            <w:tcMar>
              <w:top w:type="dxa" w:w="80"/>
              <w:left w:type="dxa" w:w="120"/>
              <w:bottom w:type="dxa" w:w="80"/>
              <w:right w:type="dxa" w:w="120"/>
            </w:tcMar>
            <w:vAlign w:val="center"/>
          </w:tcPr>
          <w:p>
            <w:pPr>
              <w:jc w:val="left"/>
            </w:pPr>
            <w:r>
              <w:rPr>
                <w:b/>
                <w:bCs/>
                <w:color w:val="FFFFFF"/>
                <w:sz w:val="20"/>
                <w:szCs w:val="20"/>
              </w:rPr>
              <w:t xml:space="preserve">선정 근거</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러닝 (현재 적용 중)</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스포츠용품점·카페 등</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05장에서 다룬 첫 번째 타깃</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맛집 탐방</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음식점 전반</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모임 자체가 곧 지역 소비라 로컬 매칭이 가장 직접적</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영화 동호회</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영화관 인근 카페·음식점</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정기 상영 후 뒤풀이 동선이 자연스럽게 생김</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자전거</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자전거·운송장비(100% 로컬)</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러닝보다 이동 반경이 넓어 더 다양한 상권과 연결 가능</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축구·풋살</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경기장 인근 식당·주점</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팀 단위 모임이라 단체 결제로 이어지기 쉬움</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등산</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등산로 입구 상권(식당·카페)</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하산 지점 상권과 자연스럽게 연결</w:t>
            </w:r>
          </w:p>
        </w:tc>
      </w:tr>
    </w:tbl>
    <w:p>
      <w:pPr>
        <w:spacing w:after="160"/>
      </w:pPr>
      <w:r>
        <w:t xml:space="preserve">여기서 한 가지 짚어둘 점이 있다. 커뮤니티가 꼭 취미와 '직접' 관련된 업종에만 소비해야 이 서비스가 성립하는 것은 아니다. 러닝이든 축구든 활동을 마친 뒤 다 함께 식사나 뒤풀이를 가는 것만으로도 충분히 의미가 있다 — 오히려 단체 결제는 건당 결제 금액(객단가)을 자연스럽게 끌어올려 소상공인에게 더 도움이 되고, 결제 금액이 큰 만큼 BC카드가 이미 운영 중인 '일정 금액 이상 결제 시 할인' 같은 프로모션과도 맞물려 카드사 입장에서도 이득이다. 즉 관련 업종으로 연결되면 가장 좋지만, 꼭 그렇지 않더라도 '커뮤니티가 함께 소비한다'는 것 자체로 이 서비스의 목적은 충분히 달성된다.</w:t>
      </w:r>
    </w:p>
    <w:p>
      <w:pPr>
        <w:spacing w:after="160"/>
      </w:pPr>
      <w:r>
        <w:t xml:space="preserve">지역 확장은 6-3의 스크리닝 방법론(거주인구 대비 소비 하위 지역 도출)을 그대로 재사용해, 동작구에서 먼저 운영해보고 효과 지표(8-1·8-2)가 검증되면 다음 후보 지역(예: 양천구·중랑구 등 1-2에서 이미 확인된 하위권 지역)으로 순차 확대할 수 있다.</w:t>
      </w:r>
    </w:p>
    <w:p>
      <w:pPr>
        <w:pStyle w:val="Heading2"/>
        <w:spacing w:after="140" w:before="280"/>
      </w:pPr>
      <w:r>
        <w:t xml:space="preserve">8-4. 한계 및 보완 과제</w:t>
      </w:r>
    </w:p>
    <w:p>
      <w:pPr>
        <w:spacing w:after="160"/>
        <w:ind w:left="200"/>
      </w:pPr>
      <w:r>
        <w:rPr>
          <w:i/>
          <w:iCs/>
          <w:color w:val="6B6B6B"/>
          <w:sz w:val="19"/>
          <w:szCs w:val="19"/>
        </w:rPr>
        <w:t xml:space="preserve">※ 목차에는 없었지만, 심사기준의 '한계점을 고려하였는가' 항목에 대응하기 위해 별도로 추가했습니다.</w:t>
      </w:r>
    </w:p>
    <w:p>
      <w:pPr>
        <w:pStyle w:val="ListParagraph"/>
        <w:numPr>
          <w:ilvl w:val="0"/>
          <w:numId w:val="1"/>
        </w:numPr>
        <w:spacing w:after="80"/>
      </w:pPr>
      <w:r>
        <w:t xml:space="preserve">러닝 코스 자체(정확한 경로 데이터)는 무료 공공데이터로 충분히 확보되지 않아, 현재는 공원·하천이용시설 위치 데이터로 근사(proxy)함. 정교화를 위해서는 지자체 협업 또는 유료 코스 데이터 확보가 필요함</w:t>
      </w:r>
    </w:p>
    <w:p>
      <w:pPr>
        <w:pStyle w:val="ListParagraph"/>
        <w:numPr>
          <w:ilvl w:val="0"/>
          <w:numId w:val="1"/>
        </w:numPr>
        <w:spacing w:after="80"/>
      </w:pPr>
      <w:r>
        <w:t xml:space="preserve">'유동인구가 많은데 소비가 안 되는 이유'는 상관관계로 확인했을 뿐, 정확한 인과관계(체류시간 부족, 타 결제수단 이용 등)는 규명하지 못함 — 실제로 서비스를 운영해보면서 검증이 필요함</w:t>
      </w:r>
    </w:p>
    <w:p>
      <w:pPr>
        <w:pStyle w:val="ListParagraph"/>
        <w:numPr>
          <w:ilvl w:val="0"/>
          <w:numId w:val="1"/>
        </w:numPr>
        <w:spacing w:after="80"/>
      </w:pPr>
      <w:r>
        <w:t xml:space="preserve">'업종별 소비 증감률'(3-3)은 자치구×업종 단위 집계라, 같은 업종 안에서도 개별 매장별 사정은 다를 수 있다. 어느 개별 매장이 실제로 어려운지까지 판별하려면 상가업소정보 등과의 추가 매칭이 필요함</w:t>
      </w:r>
    </w:p>
    <w:p>
      <w:pPr>
        <w:pStyle w:val="ListParagraph"/>
        <w:numPr>
          <w:ilvl w:val="0"/>
          <w:numId w:val="1"/>
        </w:numPr>
        <w:spacing w:after="80"/>
      </w:pPr>
      <w:r>
        <w:t xml:space="preserve">BC카드 제공 데이터는 시군구 단위까지만 제공되어, 법정동 단위 분석(6-4)은 외부 데이터에 의존함</w:t>
      </w:r>
    </w:p>
    <w:p>
      <w:pPr>
        <w:pStyle w:val="ListParagraph"/>
        <w:numPr>
          <w:ilvl w:val="0"/>
          <w:numId w:val="1"/>
        </w:numPr>
        <w:spacing w:after="80"/>
      </w:pPr>
      <w:r>
        <w:t xml:space="preserve">러닝크루에 대한 인식이 전적으로 긍정적이지는 않음(5-2 참고) — 공공장소 에티켓을 고려한 커뮤니티 가이드라인 설계가 필요함</w:t>
      </w:r>
    </w:p>
    <w:p>
      <w:pPr>
        <w:pStyle w:val="ListParagraph"/>
        <w:numPr>
          <w:ilvl w:val="0"/>
          <w:numId w:val="1"/>
        </w:numPr>
        <w:spacing w:after="80"/>
      </w:pPr>
      <w:r>
        <w:t xml:space="preserve">8-3의 확장 취미(맛집 탐방·영화 동호회·자전거·축구·등산 등)는 아직 실제 서비스로 검증하기 전이므로, 확장할 때마다 다시 운영해보며 확인이 필요함</w:t>
      </w:r>
    </w:p>
    <w:p>
      <w:pPr>
        <w:spacing w:before="300"/>
      </w:pPr>
      <w:r>
        <w:rPr>
          <w:i/>
          <w:iCs/>
          <w:color w:val="6B6B6B"/>
          <w:sz w:val="19"/>
          <w:szCs w:val="19"/>
        </w:rPr>
        <w:t xml:space="preserve">본 문서는 팀 내부 공유 및 논의를 위한 초안입니다.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2026-09-11T07:53:34.794Z</dcterms:created>
  <dcterms:modified xsi:type="dcterms:W3CDTF">2026-09-11T07:53:34.805Z</dcterms:modified>
</cp:coreProperties>
</file>

<file path=docProps/custom.xml><?xml version="1.0" encoding="utf-8"?>
<Properties xmlns="http://schemas.openxmlformats.org/officeDocument/2006/custom-properties" xmlns:vt="http://schemas.openxmlformats.org/officeDocument/2006/docPropsVTypes"/>
</file>