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참고문헌 (References)</w:t>
      </w:r>
    </w:p>
    <w:p>
      <w:r>
        <w:t>TRON USDT 온체인 거래행동 기반 Layering 관련 AML 위험도 평가 연구</w:t>
      </w:r>
    </w:p>
    <w:p>
      <w:r>
        <w:t>[1] Chainalysis. (2026). The 2026 Crypto Crime Report.</w:t>
      </w:r>
    </w:p>
    <w:p>
      <w:r>
        <w:t>[2] Eddin, A. N., et al. (2022). Machine Learning Techniques for Anti-Money Laundering: A Survey. Journal of Financial Crime.</w:t>
      </w:r>
    </w:p>
    <w:p>
      <w:r>
        <w:t>[3] FATF. (2020). Virtual Assets Red Flag Indicators of Money Laundering and Terrorist Financing. Financial Action Task Force, Paris.</w:t>
      </w:r>
    </w:p>
    <w:p>
      <w:r>
        <w:t>[4] Han, Y., et al. (2026). Temporal Graph Neural Networks for Crypto Money Laundering Detection. IEEE Transactions on Knowledge and Data Engineering.</w:t>
      </w:r>
    </w:p>
    <w:p>
      <w:r>
        <w:t>[5] Lannoo, K., &amp; Parlour, C. A. (2021). Anti-Money Laundering in Cryptocurrencies: Challenges and Solutions. European Capital Markets Institute.</w:t>
      </w:r>
    </w:p>
    <w:p>
      <w:r>
        <w:t>[6] Lubbertsen, R., et al. (2025). Empirical Evaluation of Attribution Labels in Cryptocurrency Crime Investigation. Forensic Science International: Digital Investigation.</w:t>
      </w:r>
    </w:p>
    <w:p>
      <w:r>
        <w:t>[7] 경찰청. (2026). 2026년 상반기 가상자산 불법행위 적발 및 자금세탁 현황 통계자료 (박수민 의원실 제출자료).</w:t>
      </w:r>
    </w:p>
    <w:p>
      <w:r>
        <w:t>[8] 관세청. (2026). 2026년 상반기 불법 환전상 단속 및 행정처분 현황.</w:t>
      </w:r>
    </w:p>
    <w:p>
      <w:r>
        <w:t>[9] 금융위원회. (2025). 보이스피싱 피해금 가상자산 해외반출 모니터링 및 대응 가이드라인.</w:t>
      </w:r>
    </w:p>
    <w:p>
      <w:r>
        <w:t>[10] 이성주 외. (2026.06). 스테이블코인 리스크 정량화 모델(SRHS)에 관한 연구. 경영컨설팅연구, 26(3).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