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92"/>
        <w:gridCol w:w="3168"/>
      </w:tblGrid>
      <w:tr>
        <w:tc>
          <w:tcPr>
            <w:tcW w:type="dxa" w:w="5112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4608"/>
            </w:tblGrid>
            <w:tr>
              <w:tc>
                <w:tcPr>
                  <w:tcW w:type="dxa" w:w="2556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914400" cy="1175657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성준사진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11756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</w:tcPr>
                <w:p>
                  <w:pPr>
                    <w:spacing w:before="160" w:after="40"/>
                  </w:pPr>
                  <w:r>
                    <w:rPr>
                      <w:rFonts w:ascii="맑은 고딕" w:hAnsi="맑은 고딕"/>
                      <w:b/>
                      <w:sz w:val="36"/>
                      <w:rFonts w:ascii="맑은 고딕" w:hAnsi="맑은 고딕" w:eastAsia="맑은 고딕"/>
                    </w:rPr>
                    <w:t>오 성 준 (Oh Sungjun)</w:t>
                  </w:r>
                </w:p>
                <w:p>
                  <w:pPr>
                    <w:spacing w:after="80"/>
                  </w:pPr>
                  <w:r>
                    <w:rPr>
                      <w:rFonts w:ascii="맑은 고딕" w:hAnsi="맑은 고딕"/>
                      <w:b/>
                      <w:color w:val="3182F6"/>
                      <w:sz w:val="21"/>
                      <w:rFonts w:ascii="맑은 고딕" w:hAnsi="맑은 고딕" w:eastAsia="맑은 고딕"/>
                    </w:rPr>
                    <w:t>금융 리스크 방지 및 AI Engineer</w:t>
                  </w:r>
                </w:p>
              </w:tc>
            </w:tr>
          </w:tbl>
          <w:p/>
        </w:tc>
        <w:tc>
          <w:tcPr>
            <w:tcW w:type="dxa" w:w="5112"/>
          </w:tcPr>
          <w:p>
            <w:pPr>
              <w:spacing w:after="40"/>
              <w:jc w:val="right"/>
            </w:pPr>
            <w:r>
              <w:rPr>
                <w:rFonts w:ascii="맑은 고딕" w:hAnsi="맑은 고딕"/>
                <w:color w:val="4E5968"/>
                <w:sz w:val="18"/>
                <w:rFonts w:ascii="맑은 고딕" w:hAnsi="맑은 고딕" w:eastAsia="맑은 고딕"/>
              </w:rPr>
              <w:t>📧 sungjun12110@gmail.com</w:t>
            </w:r>
          </w:p>
          <w:p>
            <w:pPr>
              <w:spacing w:after="40"/>
              <w:jc w:val="right"/>
            </w:pPr>
            <w:r>
              <w:rPr>
                <w:rFonts w:ascii="맑은 고딕" w:hAnsi="맑은 고딕"/>
                <w:color w:val="4E5968"/>
                <w:sz w:val="18"/>
                <w:rFonts w:ascii="맑은 고딕" w:hAnsi="맑은 고딕" w:eastAsia="맑은 고딕"/>
              </w:rPr>
              <w:t>📞 202278035@yiu.ac.kr</w:t>
            </w:r>
          </w:p>
          <w:p>
            <w:pPr>
              <w:spacing w:after="40"/>
              <w:jc w:val="right"/>
            </w:pPr>
            <w:r>
              <w:rPr>
                <w:rFonts w:ascii="맑은 고딕" w:hAnsi="맑은 고딕"/>
                <w:color w:val="4E5968"/>
                <w:sz w:val="18"/>
                <w:rFonts w:ascii="맑은 고딕" w:hAnsi="맑은 고딕" w:eastAsia="맑은 고딕"/>
              </w:rPr>
              <w:t>💻 github.com/sojo1211</w:t>
            </w:r>
          </w:p>
          <w:p>
            <w:pPr>
              <w:spacing w:after="40"/>
              <w:jc w:val="right"/>
            </w:pPr>
            <w:r>
              <w:rPr>
                <w:rFonts w:ascii="맑은 고딕" w:hAnsi="맑은 고딕"/>
                <w:color w:val="4E5968"/>
                <w:sz w:val="18"/>
                <w:rFonts w:ascii="맑은 고딕" w:hAnsi="맑은 고딕" w:eastAsia="맑은 고딕"/>
              </w:rPr>
              <w:t>📝 ohsungjun.tistory.com</w:t>
            </w:r>
          </w:p>
        </w:tc>
      </w:tr>
    </w:tbl>
    <w:p>
      <w:pPr>
        <w:spacing w:before="200" w:after="200"/>
        <w:pBdr>
          <w:bottom w:val="single" w:sz="12" w:space="1" w:color="E5E8EB"/>
        </w:pBdr>
      </w:pPr>
    </w:p>
    <w:p>
      <w:pPr>
        <w:keepNext/>
        <w:spacing w:before="360" w:after="160"/>
        <w:pBdr>
          <w:bottom w:val="single" w:sz="6" w:space="4" w:color="3182F6"/>
        </w:pBdr>
      </w:pPr>
      <w:r>
        <w:rPr>
          <w:rFonts w:ascii="맑은 고딕" w:hAnsi="맑은 고딕"/>
          <w:b/>
          <w:color w:val="3182F6"/>
          <w:sz w:val="28"/>
          <w:rFonts w:ascii="맑은 고딕" w:hAnsi="맑은 고딕" w:eastAsia="맑은 고딕"/>
        </w:rPr>
        <w:t>💡 핵심 요약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비즈니스 문제 해결 중심</w:t>
      </w:r>
      <w:r>
        <w:rPr>
          <w:rFonts w:ascii="맑은 고딕" w:hAnsi="맑은 고딕"/>
          <w:rFonts w:ascii="맑은 고딕" w:hAnsi="맑은 고딕" w:eastAsia="맑은 고딕"/>
        </w:rPr>
        <w:t xml:space="preserve">: 모델 자체의 성능을 넘어, </w:t>
      </w:r>
      <w:r>
        <w:rPr>
          <w:rFonts w:ascii="맑은 고딕" w:hAnsi="맑은 고딕"/>
          <w:b/>
          <w:rFonts w:ascii="맑은 고딕" w:hAnsi="맑은 고딕" w:eastAsia="맑은 고딕"/>
        </w:rPr>
        <w:t>문제를 먼저 정의</w:t>
      </w:r>
      <w:r>
        <w:rPr>
          <w:rFonts w:ascii="맑은 고딕" w:hAnsi="맑은 고딕"/>
          <w:rFonts w:ascii="맑은 고딕" w:hAnsi="맑은 고딕" w:eastAsia="맑은 고딕"/>
        </w:rPr>
        <w:t>하고 도출된 데이터가 실제 서비스 환경에 어떻게 기여할지 선제적으로 고민합니다.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사전 예방 관점의 리스크 관리</w:t>
      </w:r>
      <w:r>
        <w:rPr>
          <w:rFonts w:ascii="맑은 고딕" w:hAnsi="맑은 고딕"/>
          <w:rFonts w:ascii="맑은 고딕" w:hAnsi="맑은 고딕" w:eastAsia="맑은 고딕"/>
        </w:rPr>
        <w:t xml:space="preserve">: 사고가 발생한 뒤 분석하기보다 시계열 분석, 비지도 학습, 리스크 정량화를 통해 </w:t>
      </w:r>
      <w:r>
        <w:rPr>
          <w:rFonts w:ascii="맑은 고딕" w:hAnsi="맑은 고딕"/>
          <w:b/>
          <w:rFonts w:ascii="맑은 고딕" w:hAnsi="맑은 고딕" w:eastAsia="맑은 고딕"/>
        </w:rPr>
        <w:t>사전 감지 및 선제적 대응 체계</w:t>
      </w:r>
      <w:r>
        <w:rPr>
          <w:rFonts w:ascii="맑은 고딕" w:hAnsi="맑은 고딕"/>
          <w:rFonts w:ascii="맑은 고딕" w:hAnsi="맑은 고딕" w:eastAsia="맑은 고딕"/>
        </w:rPr>
        <w:t>를 설계하는 데 특화되어 있습니다.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금융 도메인 역량</w:t>
      </w:r>
      <w:r>
        <w:rPr>
          <w:rFonts w:ascii="맑은 고딕" w:hAnsi="맑은 고딕"/>
          <w:rFonts w:ascii="맑은 고딕" w:hAnsi="맑은 고딕" w:eastAsia="맑은 고딕"/>
        </w:rPr>
        <w:t>: 금융사관학교 수료, 퀀트 직무 실무 체험, 스테이블코인 리스크 연구(KCI 등재)를 통해 금융 리스크 관리에 대한 전문적인 분석 프레임을 갖췄습니다.</w:t>
      </w:r>
    </w:p>
    <w:p>
      <w:pPr>
        <w:spacing w:before="120" w:after="120"/>
        <w:pBdr>
          <w:bottom w:val="dashed" w:sz="4" w:space="1" w:color="F2F4F6"/>
        </w:pBdr>
      </w:pPr>
    </w:p>
    <w:p>
      <w:pPr>
        <w:keepNext/>
        <w:spacing w:before="360" w:after="160"/>
        <w:pBdr>
          <w:bottom w:val="single" w:sz="6" w:space="4" w:color="3182F6"/>
        </w:pBdr>
      </w:pPr>
      <w:r>
        <w:rPr>
          <w:rFonts w:ascii="맑은 고딕" w:hAnsi="맑은 고딕"/>
          <w:b/>
          <w:color w:val="3182F6"/>
          <w:sz w:val="28"/>
          <w:rFonts w:ascii="맑은 고딕" w:hAnsi="맑은 고딕" w:eastAsia="맑은 고딕"/>
        </w:rPr>
        <w:t>🏫 학력 및 활동 (Education &amp; Activities)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용인대학교</w:t>
      </w:r>
      <w:r>
        <w:rPr>
          <w:rFonts w:ascii="맑은 고딕" w:hAnsi="맑은 고딕"/>
          <w:rFonts w:ascii="맑은 고딕" w:hAnsi="맑은 고딕" w:eastAsia="맑은 고딕"/>
        </w:rPr>
        <w:t xml:space="preserve"> | AI학과 · AI비즈니스 융합전공 (3학년 2학기 재학, 2022.03 ~ 현재)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 xml:space="preserve">학점: </w:t>
      </w:r>
      <w:r>
        <w:rPr>
          <w:rFonts w:ascii="맑은 고딕" w:hAnsi="맑은 고딕"/>
          <w:b/>
          <w:rFonts w:ascii="맑은 고딕" w:hAnsi="맑은 고딕" w:eastAsia="맑은 고딕"/>
        </w:rPr>
        <w:t>3.81 / 4.5</w:t>
      </w:r>
      <w:r>
        <w:rPr>
          <w:rFonts w:ascii="맑은 고딕" w:hAnsi="맑은 고딕"/>
          <w:rFonts w:ascii="맑은 고딕" w:hAnsi="맑은 고딕" w:eastAsia="맑은 고딕"/>
        </w:rPr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"AI는 비즈니스 문제를 푸는 도구"라는 지향점 아래 경영학적 사고를 융합하여 문제 정의력을 강화함.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AI Service Lab</w:t>
      </w:r>
      <w:r>
        <w:rPr>
          <w:rFonts w:ascii="맑은 고딕" w:hAnsi="맑은 고딕"/>
          <w:rFonts w:ascii="맑은 고딕" w:hAnsi="맑은 고딕" w:eastAsia="맑은 고딕"/>
        </w:rPr>
        <w:t xml:space="preserve"> (이완주·김은화 교수님 지도 연구실) | 부원 ➡️ 팀장 (2025.03 ~ 현재)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시계열 데이터 분석, RAG 시스템 구축, ML/DL 모델링 연구 및 프론트엔드(React/Figma) 구현 총괄.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Code UP (창업동아리)</w:t>
      </w:r>
      <w:r>
        <w:rPr>
          <w:rFonts w:ascii="맑은 고딕" w:hAnsi="맑은 고딕"/>
          <w:rFonts w:ascii="맑은 고딕" w:hAnsi="맑은 고딕" w:eastAsia="맑은 고딕"/>
        </w:rPr>
        <w:t xml:space="preserve"> | 팀장 (2025.09 ~ 2026)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AI 기반 융합 서비스 기획부터 데이터 처리, 모델 설계, 사업화 전략 수립까지 End-to-End 리드.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금융사관학교 (68기)</w:t>
      </w:r>
      <w:r>
        <w:rPr>
          <w:rFonts w:ascii="맑은 고딕" w:hAnsi="맑은 고딕"/>
          <w:rFonts w:ascii="맑은 고딕" w:hAnsi="맑은 고딕" w:eastAsia="맑은 고딕"/>
        </w:rPr>
        <w:t xml:space="preserve"> | 수료 및 서포터즈 (2025.04)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금융 리스크 관리 및 디지털 금융 시장 전반의 기초 프레임워크 학습.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한국정보보호산업협회 (KISIA)</w:t>
      </w:r>
      <w:r>
        <w:rPr>
          <w:rFonts w:ascii="맑은 고딕" w:hAnsi="맑은 고딕"/>
          <w:rFonts w:ascii="맑은 고딕" w:hAnsi="맑은 고딕" w:eastAsia="맑은 고딕"/>
        </w:rPr>
        <w:t xml:space="preserve"> | 융합보안 인력양성 클라우드 심화 과정 수료 (2024.12)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금융 IT 클라우드 인프라 보안 및 데이터 보호 체계 학습.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DB 인재개발원</w:t>
      </w:r>
      <w:r>
        <w:rPr>
          <w:rFonts w:ascii="맑은 고딕" w:hAnsi="맑은 고딕"/>
          <w:rFonts w:ascii="맑은 고딕" w:hAnsi="맑은 고딕" w:eastAsia="맑은 고딕"/>
        </w:rPr>
        <w:t xml:space="preserve"> | 대학생 기업경영체험스쿨 수료 (2025.02)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Code Club</w:t>
      </w:r>
      <w:r>
        <w:rPr>
          <w:rFonts w:ascii="맑은 고딕" w:hAnsi="맑은 고딕"/>
          <w:rFonts w:ascii="맑은 고딕" w:hAnsi="맑은 고딕" w:eastAsia="맑은 고딕"/>
        </w:rPr>
        <w:t xml:space="preserve"> | 글로벌 SW 교육 봉사단 (2026.01)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코멘토</w:t>
      </w:r>
      <w:r>
        <w:rPr>
          <w:rFonts w:ascii="맑은 고딕" w:hAnsi="맑은 고딕"/>
          <w:rFonts w:ascii="맑은 고딕" w:hAnsi="맑은 고딕" w:eastAsia="맑은 고딕"/>
        </w:rPr>
        <w:t xml:space="preserve"> | 퀀트 운용 직무 체험 (현직 증권사 트레이더 멘토링, 2026.02)</w:t>
      </w:r>
    </w:p>
    <w:p>
      <w:pPr>
        <w:spacing w:before="120" w:after="120"/>
        <w:pBdr>
          <w:bottom w:val="dashed" w:sz="4" w:space="1" w:color="F2F4F6"/>
        </w:pBdr>
      </w:pPr>
    </w:p>
    <w:p>
      <w:pPr>
        <w:keepNext/>
        <w:spacing w:before="360" w:after="160"/>
        <w:pBdr>
          <w:bottom w:val="single" w:sz="6" w:space="4" w:color="3182F6"/>
        </w:pBdr>
      </w:pPr>
      <w:r>
        <w:rPr>
          <w:rFonts w:ascii="맑은 고딕" w:hAnsi="맑은 고딕"/>
          <w:b/>
          <w:color w:val="3182F6"/>
          <w:sz w:val="28"/>
          <w:rFonts w:ascii="맑은 고딕" w:hAnsi="맑은 고딕" w:eastAsia="맑은 고딕"/>
        </w:rPr>
        <w:t>🛠️ 기술 스택 (Tech Stack)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Programming &amp; Data</w:t>
      </w:r>
      <w:r>
        <w:rPr>
          <w:rFonts w:ascii="맑은 고딕" w:hAnsi="맑은 고딕"/>
          <w:rFonts w:ascii="맑은 고딕" w:hAnsi="맑은 고딕" w:eastAsia="맑은 고딕"/>
        </w:rPr>
        <w:t>: Python, SQL, Pandas, NumPy, scikit-learn, PyTorch, TensorFlow, MySQL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Backend &amp; DB</w:t>
      </w:r>
      <w:r>
        <w:rPr>
          <w:rFonts w:ascii="맑은 고딕" w:hAnsi="맑은 고딕"/>
          <w:rFonts w:ascii="맑은 고딕" w:hAnsi="맑은 고딕" w:eastAsia="맑은 고딕"/>
        </w:rPr>
        <w:t>: Java, Spring Boot, MySQL, Chroma DB (Vector DB)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AI &amp; LLM</w:t>
      </w:r>
      <w:r>
        <w:rPr>
          <w:rFonts w:ascii="맑은 고딕" w:hAnsi="맑은 고딕"/>
          <w:rFonts w:ascii="맑은 고딕" w:hAnsi="맑은 고딕" w:eastAsia="맑은 고딕"/>
        </w:rPr>
        <w:t>: LangChain, HuggingFace, Ollama, RAG, 시계열 분석, Classification, Clustering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Frontend &amp; Tools</w:t>
      </w:r>
      <w:r>
        <w:rPr>
          <w:rFonts w:ascii="맑은 고딕" w:hAnsi="맑은 고딕"/>
          <w:rFonts w:ascii="맑은 고딕" w:hAnsi="맑은 고딕" w:eastAsia="맑은 고딕"/>
        </w:rPr>
        <w:t>: React, Figma, Git, Notion, Claude Code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Financial Domain</w:t>
      </w:r>
      <w:r>
        <w:rPr>
          <w:rFonts w:ascii="맑은 고딕" w:hAnsi="맑은 고딕"/>
          <w:rFonts w:ascii="맑은 고딕" w:hAnsi="맑은 고딕" w:eastAsia="맑은 고딕"/>
        </w:rPr>
        <w:t>: Risk Quantification, KYC, AML, Stablecoin Risk, 정책자금 검증, PG Risk</w:t>
      </w:r>
    </w:p>
    <w:p>
      <w:pPr>
        <w:spacing w:before="120" w:after="120"/>
        <w:pBdr>
          <w:bottom w:val="dashed" w:sz="4" w:space="1" w:color="F2F4F6"/>
        </w:pBdr>
      </w:pPr>
    </w:p>
    <w:p>
      <w:pPr>
        <w:keepNext/>
        <w:spacing w:before="360" w:after="160"/>
        <w:pBdr>
          <w:bottom w:val="single" w:sz="6" w:space="4" w:color="3182F6"/>
        </w:pBdr>
      </w:pPr>
      <w:r>
        <w:rPr>
          <w:rFonts w:ascii="맑은 고딕" w:hAnsi="맑은 고딕"/>
          <w:b/>
          <w:color w:val="3182F6"/>
          <w:sz w:val="28"/>
          <w:rFonts w:ascii="맑은 고딕" w:hAnsi="맑은 고딕" w:eastAsia="맑은 고딕"/>
        </w:rPr>
        <w:t>📂 경력기술서 (Projects &amp; Experience)</w:t>
      </w:r>
    </w:p>
    <w:p>
      <w:pPr>
        <w:spacing w:before="0" w:after="120" w:line="288" w:lineRule="auto"/>
      </w:pPr>
      <w:r>
        <w:rPr>
          <w:rFonts w:ascii="맑은 고딕" w:hAnsi="맑은 고딕"/>
          <w:rFonts w:ascii="맑은 고딕" w:hAnsi="맑은 고딕" w:eastAsia="맑은 고딕"/>
        </w:rPr>
        <w:t>학업 및 연구실 활동을 통해 수행한 핵심 프로젝트의 기술적 해결 과정과 비즈니스 기여도를 요약한 경력기술서입니다.</w:t>
      </w:r>
    </w:p>
    <w:p>
      <w:pPr>
        <w:spacing w:before="120" w:after="120"/>
        <w:pBdr>
          <w:bottom w:val="dashed" w:sz="4" w:space="1" w:color="F2F4F6"/>
        </w:pBdr>
      </w:pPr>
    </w:p>
    <w:p>
      <w:pPr>
        <w:keepNext/>
        <w:spacing w:before="240" w:after="80"/>
      </w:pPr>
      <w:r>
        <w:rPr>
          <w:rFonts w:ascii="맑은 고딕" w:hAnsi="맑은 고딕"/>
          <w:b/>
          <w:color w:val="191F28"/>
          <w:sz w:val="23"/>
          <w:rFonts w:ascii="맑은 고딕" w:hAnsi="맑은 고딕" w:eastAsia="맑은 고딕"/>
        </w:rPr>
        <w:t>1. KB 소상공인 금융 AI 에이전트 (RAG 기반 금융 상담 엔진)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수행 기간</w:t>
      </w:r>
      <w:r>
        <w:rPr>
          <w:rFonts w:ascii="맑은 고딕" w:hAnsi="맑은 고딕"/>
          <w:rFonts w:ascii="맑은 고딕" w:hAnsi="맑은 고딕" w:eastAsia="맑은 고딕"/>
        </w:rPr>
        <w:t>: 2026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소속</w:t>
      </w:r>
      <w:r>
        <w:rPr>
          <w:rFonts w:ascii="맑은 고딕" w:hAnsi="맑은 고딕"/>
          <w:rFonts w:ascii="맑은 고딕" w:hAnsi="맑은 고딕" w:eastAsia="맑은 고딕"/>
        </w:rPr>
        <w:t>: KB국민은행 제8회 AI Challenge 경진대회 참가작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기술 스택</w:t>
      </w:r>
      <w:r>
        <w:rPr>
          <w:rFonts w:ascii="맑은 고딕" w:hAnsi="맑은 고딕"/>
          <w:rFonts w:ascii="맑은 고딕" w:hAnsi="맑은 고딕" w:eastAsia="맑은 고딕"/>
        </w:rPr>
        <w:t>: RAG, Python, React, Gemini 2.5, Chroma DB (Vector DB), GitHub Pages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핵심 역할</w:t>
      </w:r>
      <w:r>
        <w:rPr>
          <w:rFonts w:ascii="맑은 고딕" w:hAnsi="맑은 고딕"/>
          <w:rFonts w:ascii="맑은 고딕" w:hAnsi="맑은 고딕" w:eastAsia="맑은 고딕"/>
        </w:rPr>
        <w:t>: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금융 지원 정책 및 규제 문서 파싱 및 임베딩 전처리 파이프라인 개발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챗봇 프론트엔드 UI/UX 설계 및 실시간 데모 웹 사이트 배포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상세 기술 성과 및 문제 해결</w:t>
      </w:r>
      <w:r>
        <w:rPr>
          <w:rFonts w:ascii="맑은 고딕" w:hAnsi="맑은 고딕"/>
          <w:rFonts w:ascii="맑은 고딕" w:hAnsi="맑은 고딕" w:eastAsia="맑은 고딕"/>
        </w:rPr>
        <w:t>: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비정형 문서의 전처리 최적화</w:t>
      </w:r>
      <w:r>
        <w:rPr>
          <w:rFonts w:ascii="맑은 고딕" w:hAnsi="맑은 고딕"/>
          <w:rFonts w:ascii="맑은 고딕" w:hAnsi="맑은 고딕" w:eastAsia="맑은 고딕"/>
        </w:rPr>
        <w:t>: PDF, HWP 등으로 흩어진 정책 가이드라인을 마크다운(`.md`)으로 파싱하고 텍스트 정규화를 거쳐 Gemini 2.5 모델을 통해 청킹(Chunking) 및 메타데이터를 태깅했습니다. 이를 통해 관련 질문에 대한 검색 유사성 매칭 정확도를 25% 이상 개선했습니다.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환각(Hallucination) 리스크 제어</w:t>
      </w:r>
      <w:r>
        <w:rPr>
          <w:rFonts w:ascii="맑은 고딕" w:hAnsi="맑은 고딕"/>
          <w:rFonts w:ascii="맑은 고딕" w:hAnsi="맑은 고딕" w:eastAsia="맑은 고딕"/>
        </w:rPr>
        <w:t>: 금융 서비스 특성상 거짓 정보를 제공하는 환각 현상을 방지하기 위해, 시스템 프롬프트(지침서) 상에 *"제시된 근거 문서에서 명확하게 파악할 수 없는 질문은 가설을 세워 답하지 말고, '제시된 서류에 명시되지 않은 내용입니다'라는 안내 문구로 우회 응답한다"*는 구조적 방어 룰을 작성하여 환각 현상을 0%에 가깝게 차단했습니다.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설명 가능한 AI(XAI) 설계</w:t>
      </w:r>
      <w:r>
        <w:rPr>
          <w:rFonts w:ascii="맑은 고딕" w:hAnsi="맑은 고딕"/>
          <w:rFonts w:ascii="맑은 고딕" w:hAnsi="맑은 고딕" w:eastAsia="맑은 고딕"/>
        </w:rPr>
        <w:t xml:space="preserve">: 사용자 신뢰도를 증명하기 위해 생성된 답변 하단에 </w:t>
      </w:r>
      <w:r>
        <w:rPr>
          <w:rFonts w:ascii="맑은 고딕" w:hAnsi="맑은 고딕"/>
          <w:b/>
          <w:rFonts w:ascii="맑은 고딕" w:hAnsi="맑은 고딕" w:eastAsia="맑은 고딕"/>
        </w:rPr>
        <w:t>답변의 근거가 된 조항 및 참고 문서 원본 출처</w:t>
      </w:r>
      <w:r>
        <w:rPr>
          <w:rFonts w:ascii="맑은 고딕" w:hAnsi="맑은 고딕"/>
          <w:rFonts w:ascii="맑은 고딕" w:hAnsi="맑은 고딕" w:eastAsia="맑은 고딕"/>
        </w:rPr>
        <w:t>를 동적으로 인용(Citation)하여 제시하는 기능을 프론트엔드 UI에 구현했습니다.</w:t>
      </w:r>
    </w:p>
    <w:p>
      <w:pPr>
        <w:spacing w:before="120" w:after="120"/>
        <w:pBdr>
          <w:bottom w:val="dashed" w:sz="4" w:space="1" w:color="F2F4F6"/>
        </w:pBdr>
      </w:pPr>
    </w:p>
    <w:p>
      <w:pPr>
        <w:keepNext/>
        <w:spacing w:before="240" w:after="80"/>
      </w:pPr>
      <w:r>
        <w:rPr>
          <w:rFonts w:ascii="맑은 고딕" w:hAnsi="맑은 고딕"/>
          <w:b/>
          <w:color w:val="191F28"/>
          <w:sz w:val="23"/>
          <w:rFonts w:ascii="맑은 고딕" w:hAnsi="맑은 고딕" w:eastAsia="맑은 고딕"/>
        </w:rPr>
        <w:t>2. 스테이블코인 리스크 평가 모델 (SRHS)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수행 기간</w:t>
      </w:r>
      <w:r>
        <w:rPr>
          <w:rFonts w:ascii="맑은 고딕" w:hAnsi="맑은 고딕"/>
          <w:rFonts w:ascii="맑은 고딕" w:hAnsi="맑은 고딕" w:eastAsia="맑은 고딕"/>
        </w:rPr>
        <w:t>: 2026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소속</w:t>
      </w:r>
      <w:r>
        <w:rPr>
          <w:rFonts w:ascii="맑은 고딕" w:hAnsi="맑은 고딕"/>
          <w:rFonts w:ascii="맑은 고딕" w:hAnsi="맑은 고딕" w:eastAsia="맑은 고딕"/>
        </w:rPr>
        <w:t>: 한국경영컨설팅학회 학술대회 최우수상 및 KCI 등재지 논문 게재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기술 스택</w:t>
      </w:r>
      <w:r>
        <w:rPr>
          <w:rFonts w:ascii="맑은 고딕" w:hAnsi="맑은 고딕"/>
          <w:rFonts w:ascii="맑은 고딕" w:hAnsi="맑은 고딕" w:eastAsia="맑은 고딕"/>
        </w:rPr>
        <w:t>: Python, Ridge Regression, React, CoinGecko/DeFiLlama API, 백테스팅, 민감도 분석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핵심 역할</w:t>
      </w:r>
      <w:r>
        <w:rPr>
          <w:rFonts w:ascii="맑은 고딕" w:hAnsi="맑은 고딕"/>
          <w:rFonts w:ascii="맑은 고딕" w:hAnsi="맑은 고딕" w:eastAsia="맑은 고딕"/>
        </w:rPr>
        <w:t>: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스테이블코인 리스크 정량 지표 5종(PD·LS·CR·TI·RR) 설계 및 백테스팅 모듈 구현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실시간 리스크 스코어 시각화 대시보드(React SVG 차트) 프론트엔드 구현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상세 기술 성과 및 문제 해결</w:t>
      </w:r>
      <w:r>
        <w:rPr>
          <w:rFonts w:ascii="맑은 고딕" w:hAnsi="맑은 고딕"/>
          <w:rFonts w:ascii="맑은 고딕" w:hAnsi="맑은 고딕" w:eastAsia="맑은 고딕"/>
        </w:rPr>
        <w:t>: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정성적 위험 요소의 정량화</w:t>
      </w:r>
      <w:r>
        <w:rPr>
          <w:rFonts w:ascii="맑은 고딕" w:hAnsi="맑은 고딕"/>
          <w:rFonts w:ascii="맑은 고딕" w:hAnsi="맑은 고딕" w:eastAsia="맑은 고딕"/>
        </w:rPr>
        <w:t>: 선행연구들을 바탕으로 스테이블코인의 핵심 리스크 요인을 담보건전성(CR), 부도확률(PD), 유동성(LS), 거래지표(TI), 규제(RR) 5가지 지표로 세분화하여 점수화하는 알고리즘을 설계했습니다.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가중치 최적화 및 강건성 검증</w:t>
      </w:r>
      <w:r>
        <w:rPr>
          <w:rFonts w:ascii="맑은 고딕" w:hAnsi="맑은 고딕"/>
          <w:rFonts w:ascii="맑은 고딕" w:hAnsi="맑은 고딕" w:eastAsia="맑은 고딕"/>
        </w:rPr>
        <w:t xml:space="preserve">: FTX 파산, 테라-루나 붕괴, 빗썸 규제 리스크의 3대 위기 시나리오 시계열 데이터를 백테스팅 모형에 역적용했습니다. 가중치 조합 시뮬레이션을 통해 </w:t>
      </w:r>
      <w:r>
        <w:rPr>
          <w:rFonts w:ascii="맑은 고딕" w:hAnsi="맑은 고딕"/>
          <w:b/>
          <w:rFonts w:ascii="맑은 고딕" w:hAnsi="맑은 고딕" w:eastAsia="맑은 고딕"/>
        </w:rPr>
        <w:t>CR(담보건전성) 25% · PD(부도확률) 20% · LS(유동성) 20% · TI(거래지표) 20% · RR(규제) 15%</w:t>
      </w:r>
      <w:r>
        <w:rPr>
          <w:rFonts w:ascii="맑은 고딕" w:hAnsi="맑은 고딕"/>
          <w:rFonts w:ascii="맑은 고딕" w:hAnsi="맑은 고딕" w:eastAsia="맑은 고딕"/>
        </w:rPr>
        <w:t xml:space="preserve"> 조합이 </w:t>
      </w:r>
      <w:r>
        <w:rPr>
          <w:rFonts w:ascii="맑은 고딕" w:hAnsi="맑은 고딕"/>
          <w:b/>
          <w:rFonts w:ascii="맑은 고딕" w:hAnsi="맑은 고딕" w:eastAsia="맑은 고딕"/>
        </w:rPr>
        <w:t>위기 발생 5일 전 조기경보 활성화 및 오경보율(False Positive) 0건</w:t>
      </w:r>
      <w:r>
        <w:rPr>
          <w:rFonts w:ascii="맑은 고딕" w:hAnsi="맑은 고딕"/>
          <w:rFonts w:ascii="맑은 고딕" w:hAnsi="맑은 고딕" w:eastAsia="맑은 고딕"/>
        </w:rPr>
        <w:t>을 동시에 충족함을 검증했습니다. ±5%p 민감도 분석에서도 모델의 안전성을 확인했습니다.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비즈니스 응용성</w:t>
      </w:r>
      <w:r>
        <w:rPr>
          <w:rFonts w:ascii="맑은 고딕" w:hAnsi="맑은 고딕"/>
          <w:rFonts w:ascii="맑은 고딕" w:hAnsi="맑은 고딕" w:eastAsia="맑은 고딕"/>
        </w:rPr>
        <w:t>: 해당 스코어링 모델을 가맹점 온보딩(KYC/FDS) 단계에 대입하여, 가맹점의 업종 특성, 정산 로그, 리스크 유형을 기반으로 Merchant 가입 적합성을 조기에 스크리닝하는 위험 스코어카드로의 비즈니스 연결 고리를 입증했습니다.</w:t>
      </w:r>
    </w:p>
    <w:p>
      <w:pPr>
        <w:spacing w:before="120" w:after="120"/>
        <w:pBdr>
          <w:bottom w:val="dashed" w:sz="4" w:space="1" w:color="F2F4F6"/>
        </w:pBdr>
      </w:pPr>
    </w:p>
    <w:p>
      <w:pPr>
        <w:keepNext/>
        <w:spacing w:before="240" w:after="80"/>
      </w:pPr>
      <w:r>
        <w:rPr>
          <w:rFonts w:ascii="맑은 고딕" w:hAnsi="맑은 고딕"/>
          <w:b/>
          <w:color w:val="191F28"/>
          <w:sz w:val="23"/>
          <w:rFonts w:ascii="맑은 고딕" w:hAnsi="맑은 고딕" w:eastAsia="맑은 고딕"/>
        </w:rPr>
        <w:t>3. SafeFall Intelligence (비지도 학습 기반 낙상 전조 예측 시스템)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수행 기간</w:t>
      </w:r>
      <w:r>
        <w:rPr>
          <w:rFonts w:ascii="맑은 고딕" w:hAnsi="맑은 고딕"/>
          <w:rFonts w:ascii="맑은 고딕" w:hAnsi="맑은 고딕" w:eastAsia="맑은 고딕"/>
        </w:rPr>
        <w:t>: 2025.09 ~ 현재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소속</w:t>
      </w:r>
      <w:r>
        <w:rPr>
          <w:rFonts w:ascii="맑은 고딕" w:hAnsi="맑은 고딕"/>
          <w:rFonts w:ascii="맑은 고딕" w:hAnsi="맑은 고딕" w:eastAsia="맑은 고딕"/>
        </w:rPr>
        <w:t>: 창업동아리 Code UP (팀장) | 용인대 창업경진대회 최우수상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기술 스택</w:t>
      </w:r>
      <w:r>
        <w:rPr>
          <w:rFonts w:ascii="맑은 고딕" w:hAnsi="맑은 고딕"/>
          <w:rFonts w:ascii="맑은 고딕" w:hAnsi="맑은 고딕" w:eastAsia="맑은 고딕"/>
        </w:rPr>
        <w:t>: PyTorch, RandomForest, K-Means Clustering, IMU/HRV/SpO₂ 다중 생체 센서 데이터, Transfer Learning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핵심 역할</w:t>
      </w:r>
      <w:r>
        <w:rPr>
          <w:rFonts w:ascii="맑은 고딕" w:hAnsi="맑은 고딕"/>
          <w:rFonts w:ascii="맑은 고딕" w:hAnsi="맑은 고딕" w:eastAsia="맑은 고딕"/>
        </w:rPr>
        <w:t>: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팀 리더로서 센서 데이터 수집, 이상치 제거 및 전처리 설계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사용자 불규칙 생체 신호 군집 분석 및 전이학습(Transfer Learning) 출력 분류 모델 개발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상세 기술 성과 및 문제 해결</w:t>
      </w:r>
      <w:r>
        <w:rPr>
          <w:rFonts w:ascii="맑은 고딕" w:hAnsi="맑은 고딕"/>
          <w:rFonts w:ascii="맑은 고딕" w:hAnsi="맑은 고딕" w:eastAsia="맑은 고딕"/>
        </w:rPr>
        <w:t>: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라벨링 한계 극복 (비지도 학습 도입)</w:t>
      </w:r>
      <w:r>
        <w:rPr>
          <w:rFonts w:ascii="맑은 고딕" w:hAnsi="맑은 고딕"/>
          <w:rFonts w:ascii="맑은 고딕" w:hAnsi="맑은 고딕" w:eastAsia="맑은 고딕"/>
        </w:rPr>
        <w:t xml:space="preserve">: 사용자의 신체 조건에 따라 낙상 전조 신호가 다르고 기준을 명확하게 규정할 수 없다는 임곗값 한계를 발견했습니다. 사람이 판단 경계를 그을 수 없는 한계를 극복하기 위해 </w:t>
      </w:r>
      <w:r>
        <w:rPr>
          <w:rFonts w:ascii="맑은 고딕" w:hAnsi="맑은 고딕"/>
          <w:b/>
          <w:rFonts w:ascii="맑은 고딕" w:hAnsi="맑은 고딕" w:eastAsia="맑은 고딕"/>
        </w:rPr>
        <w:t>비지도 학습(K-Means)</w:t>
      </w:r>
      <w:r>
        <w:rPr>
          <w:rFonts w:ascii="맑은 고딕" w:hAnsi="맑은 고딕"/>
          <w:rFonts w:ascii="맑은 고딕" w:hAnsi="맑은 고딕" w:eastAsia="맑은 고딕"/>
        </w:rPr>
        <w:t>을 도입, 센서 데이터 간의 다차원 거리 분포를 기반으로 전조 증상(미끄러짐 등)의 경계를 알고리즘이 스스로 식별하도록 모델을 설계했습니다.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시계열 다중 센서 전처리</w:t>
      </w:r>
      <w:r>
        <w:rPr>
          <w:rFonts w:ascii="맑은 고딕" w:hAnsi="맑은 고딕"/>
          <w:rFonts w:ascii="맑은 고딕" w:hAnsi="맑은 고딕" w:eastAsia="맑은 고딕"/>
        </w:rPr>
        <w:t>: IMU(가속도/자이로) 센서 노이즈와 생체 HRV/SpO₂ 센서의 지연 시간 차이를 보정하기 위해 이동 평균 필터링과 시간 정렬 파이프라인을 구축했습니다. 상관분석(Correlation Heatmap) 시각화를 통해 생체 신호 변화와 가속도가 실제 사고 예측에 유의미한 양적 상관성을 보임을 입증했습니다.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경량 모델 전이학습</w:t>
      </w:r>
      <w:r>
        <w:rPr>
          <w:rFonts w:ascii="맑은 고딕" w:hAnsi="맑은 고딕"/>
          <w:rFonts w:ascii="맑은 고딕" w:hAnsi="맑은 고딕" w:eastAsia="맑은 고딕"/>
        </w:rPr>
        <w:t xml:space="preserve">: Edge-AI 환경에 탑재하기 위해 가중치를 고정한 뒤 출력 분류층(Classifier Layer)만 새로운 라벨에 맞춰 파인튜닝하는 특징 추출(Feature Extraction) 기반 전이학습을 적용하여 리소스를 최적화했습니다. 그 결과 </w:t>
      </w:r>
      <w:r>
        <w:rPr>
          <w:rFonts w:ascii="맑은 고딕" w:hAnsi="맑은 고딕"/>
          <w:b/>
          <w:rFonts w:ascii="맑은 고딕" w:hAnsi="맑은 고딕" w:eastAsia="맑은 고딕"/>
        </w:rPr>
        <w:t>정확도 83%</w:t>
      </w:r>
      <w:r>
        <w:rPr>
          <w:rFonts w:ascii="맑은 고딕" w:hAnsi="맑은 고딕"/>
          <w:rFonts w:ascii="맑은 고딕" w:hAnsi="맑은 고딕" w:eastAsia="맑은 고딕"/>
        </w:rPr>
        <w:t xml:space="preserve">, </w:t>
      </w:r>
      <w:r>
        <w:rPr>
          <w:rFonts w:ascii="맑은 고딕" w:hAnsi="맑은 고딕"/>
          <w:b/>
          <w:rFonts w:ascii="맑은 고딕" w:hAnsi="맑은 고딕" w:eastAsia="맑은 고딕"/>
        </w:rPr>
        <w:t>F1-Score 82%</w:t>
      </w:r>
      <w:r>
        <w:rPr>
          <w:rFonts w:ascii="맑은 고딕" w:hAnsi="맑은 고딕"/>
          <w:rFonts w:ascii="맑은 고딕" w:hAnsi="맑은 고딕" w:eastAsia="맑은 고딕"/>
        </w:rPr>
        <w:t>를 달성해 사후 대처가 아닌 사전 리스크 예방의 유효성을 실증했습니다.</w:t>
      </w:r>
    </w:p>
    <w:p>
      <w:pPr>
        <w:spacing w:before="120" w:after="120"/>
        <w:pBdr>
          <w:bottom w:val="dashed" w:sz="4" w:space="1" w:color="F2F4F6"/>
        </w:pBdr>
      </w:pPr>
    </w:p>
    <w:p>
      <w:pPr>
        <w:keepNext/>
        <w:spacing w:before="240" w:after="80"/>
      </w:pPr>
      <w:r>
        <w:rPr>
          <w:rFonts w:ascii="맑은 고딕" w:hAnsi="맑은 고딕"/>
          <w:b/>
          <w:color w:val="191F28"/>
          <w:sz w:val="23"/>
          <w:rFonts w:ascii="맑은 고딕" w:hAnsi="맑은 고딕" w:eastAsia="맑은 고딕"/>
        </w:rPr>
        <w:t>4. DSA IT 아웃소싱 플랫폼 거래 로그 데이터 분석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수행 기간</w:t>
      </w:r>
      <w:r>
        <w:rPr>
          <w:rFonts w:ascii="맑은 고딕" w:hAnsi="맑은 고딕"/>
          <w:rFonts w:ascii="맑은 고딕" w:hAnsi="맑은 고딕" w:eastAsia="맑은 고딕"/>
        </w:rPr>
        <w:t>: 2025.03 ~ 2025.04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소속</w:t>
      </w:r>
      <w:r>
        <w:rPr>
          <w:rFonts w:ascii="맑은 고딕" w:hAnsi="맑은 고딕"/>
          <w:rFonts w:ascii="맑은 고딕" w:hAnsi="맑은 고딕" w:eastAsia="맑은 고딕"/>
        </w:rPr>
        <w:t>: DSA 19기 4팀 (펜타바이트) | 데이터스테이션 실무 분석 최우수상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기술 스택</w:t>
      </w:r>
      <w:r>
        <w:rPr>
          <w:rFonts w:ascii="맑은 고딕" w:hAnsi="맑은 고딕"/>
          <w:rFonts w:ascii="맑은 고딕" w:hAnsi="맑은 고딕" w:eastAsia="맑은 고딕"/>
        </w:rPr>
        <w:t>: Python, Pandas, Matplotlib, 상관분석, 회귀분석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핵심 역할</w:t>
      </w:r>
      <w:r>
        <w:rPr>
          <w:rFonts w:ascii="맑은 고딕" w:hAnsi="맑은 고딕"/>
          <w:rFonts w:ascii="맑은 고딕" w:hAnsi="맑은 고딕" w:eastAsia="맑은 고딕"/>
        </w:rPr>
        <w:t>: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거래 데이터와 고객 프로필 데이터의 결합 스키마 설계 및 데이터 전처리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거래 성사율 및 취소 원인 규명을 위한 상관/회귀 통계적 분석 및 전략 도출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상세 기술 성과 및 문제 해결</w:t>
      </w:r>
      <w:r>
        <w:rPr>
          <w:rFonts w:ascii="맑은 고딕" w:hAnsi="맑은 고딕"/>
          <w:rFonts w:ascii="맑은 고딕" w:hAnsi="맑은 고딕" w:eastAsia="맑은 고딕"/>
        </w:rPr>
        <w:t>: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통합 분석 프레임 설계</w:t>
      </w:r>
      <w:r>
        <w:rPr>
          <w:rFonts w:ascii="맑은 고딕" w:hAnsi="맑은 고딕"/>
          <w:rFonts w:ascii="맑은 고딕" w:hAnsi="맑은 고딕" w:eastAsia="맑은 고딕"/>
        </w:rPr>
        <w:t>: 파편화된 거래 로그와 연령·성별·거주지 등의 소비자 패턴 데이터를 머지하여 "서비스 단가·평점 ➡️ 거래 성사율 ➡️ 거래 취소 및 매출 기여도"가 연결되는 정량적 분석 구조를 수립했습니다.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거래 패턴 함수 모델링</w:t>
      </w:r>
      <w:r>
        <w:rPr>
          <w:rFonts w:ascii="맑은 고딕" w:hAnsi="맑은 고딕"/>
          <w:rFonts w:ascii="맑은 고딕" w:hAnsi="맑은 고딕" w:eastAsia="맑은 고딕"/>
        </w:rPr>
        <w:t xml:space="preserve">: 거래 취소와 성사율의 관계를 다각도 회귀분석으로 검증했습니다. 전체 4,146건의 거래 중 성사율이 0~0.01에 극도로 치우친 비정상성 분포와 가격 대비 평점이 높아도 실제 총 구매 금액이 0원인 이례적 이상치 구간들을 추출하여, </w:t>
      </w:r>
      <w:r>
        <w:rPr>
          <w:rFonts w:ascii="맑은 고딕" w:hAnsi="맑은 고딕"/>
          <w:b/>
          <w:rFonts w:ascii="맑은 고딕" w:hAnsi="맑은 고딕" w:eastAsia="맑은 고딕"/>
        </w:rPr>
        <w:t>일괄 수수료의 비효율성</w:t>
      </w:r>
      <w:r>
        <w:rPr>
          <w:rFonts w:ascii="맑은 고딕" w:hAnsi="맑은 고딕"/>
          <w:rFonts w:ascii="맑은 고딕" w:hAnsi="맑은 고딕" w:eastAsia="맑은 고딕"/>
        </w:rPr>
        <w:t>을 수학적으로 밝혔습니다. 이를 통해 평점과 가격 가중치를 종합한 차등 수수료율 및 타겟 마케팅 세그먼트를 비즈니스 제안서로 도출했습니다.</w:t>
      </w:r>
    </w:p>
    <w:p>
      <w:pPr>
        <w:spacing w:before="120" w:after="120"/>
        <w:pBdr>
          <w:bottom w:val="dashed" w:sz="4" w:space="1" w:color="F2F4F6"/>
        </w:pBdr>
      </w:pPr>
    </w:p>
    <w:p>
      <w:pPr>
        <w:keepNext/>
        <w:spacing w:before="360" w:after="160"/>
        <w:pBdr>
          <w:bottom w:val="single" w:sz="6" w:space="4" w:color="3182F6"/>
        </w:pBdr>
      </w:pPr>
      <w:r>
        <w:rPr>
          <w:rFonts w:ascii="맑은 고딕" w:hAnsi="맑은 고딕"/>
          <w:b/>
          <w:color w:val="3182F6"/>
          <w:sz w:val="28"/>
          <w:rFonts w:ascii="맑은 고딕" w:hAnsi="맑은 고딕" w:eastAsia="맑은 고딕"/>
        </w:rPr>
        <w:t>🏆 수상 및 자격증 (Awards &amp; Certificates)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수상 이력</w:t>
      </w:r>
      <w:r>
        <w:rPr>
          <w:rFonts w:ascii="맑은 고딕" w:hAnsi="맑은 고딕"/>
          <w:rFonts w:ascii="맑은 고딕" w:hAnsi="맑은 고딕" w:eastAsia="맑은 고딕"/>
        </w:rPr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최우수상 | 한국경영컨설팅학회 학술대회 (SRHS 리스크 모델 제안, 2026)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최우수상 | 용인대 제2회 창업아이디어 경진대회 (SafeFall AI, 2025)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최우수상 | 데이터스테이션 실무 데이터 분석 (DSA IT 아웃소싱, 2025)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장려상 | 단국 창업 해커톤 (공급망 리스크 예측, 2025)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</w:r>
      <w:r>
        <w:rPr>
          <w:rFonts w:ascii="맑은 고딕" w:hAnsi="맑은 고딕"/>
          <w:b/>
          <w:rFonts w:ascii="맑은 고딕" w:hAnsi="맑은 고딕" w:eastAsia="맑은 고딕"/>
        </w:rPr>
        <w:t>자격증 및 학술</w:t>
      </w:r>
      <w:r>
        <w:rPr>
          <w:rFonts w:ascii="맑은 고딕" w:hAnsi="맑은 고딕"/>
          <w:rFonts w:ascii="맑은 고딕" w:hAnsi="맑은 고딕" w:eastAsia="맑은 고딕"/>
        </w:rPr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ADsP (데이터분석 준전문가) | 한국데이터산업진흥원 (2026.02)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SQLD (SQL Developer) | 한국데이터산업진흥원 (2024.09)</w:t>
      </w:r>
    </w:p>
    <w:p>
      <w:pPr>
        <w:pStyle w:val="ListBullet"/>
        <w:spacing w:before="0" w:after="60" w:line="276" w:lineRule="auto"/>
      </w:pPr>
      <w:r>
        <w:rPr>
          <w:rFonts w:ascii="맑은 고딕" w:hAnsi="맑은 고딕"/>
          <w:rFonts w:ascii="맑은 고딕" w:hAnsi="맑은 고딕" w:eastAsia="맑은 고딕"/>
        </w:rPr>
        <w:t>학술지 등재 | 《경영컨설팅연구》 제26권 제3호 논문 게재 (B2B 무역결제에서 스테이블 코인의 안정성 평가 모델 개발: 실시간 건전성 지수(SRHS)와 규제 통합 프레임워크 중심)</w:t>
      </w:r>
    </w:p>
    <w:p>
      <w:pPr>
        <w:spacing w:before="120" w:after="120"/>
        <w:pBdr>
          <w:bottom w:val="dashed" w:sz="4" w:space="1" w:color="F2F4F6"/>
        </w:pBdr>
      </w:pPr>
    </w:p>
    <w:p>
      <w:pPr>
        <w:keepNext/>
        <w:spacing w:before="360" w:after="160"/>
        <w:pBdr>
          <w:bottom w:val="single" w:sz="6" w:space="4" w:color="3182F6"/>
        </w:pBdr>
      </w:pPr>
      <w:r>
        <w:rPr>
          <w:rFonts w:ascii="맑은 고딕" w:hAnsi="맑은 고딕"/>
          <w:b/>
          <w:color w:val="3182F6"/>
          <w:sz w:val="28"/>
          <w:rFonts w:ascii="맑은 고딕" w:hAnsi="맑은 고딕" w:eastAsia="맑은 고딕"/>
        </w:rPr>
        <w:t>📝 자기소개 및 지원 동기 (Cover Letter)</w:t>
      </w:r>
    </w:p>
    <w:p>
      <w:pPr>
        <w:keepNext/>
        <w:spacing w:before="240" w:after="80"/>
      </w:pPr>
      <w:r>
        <w:rPr>
          <w:rFonts w:ascii="맑은 고딕" w:hAnsi="맑은 고딕"/>
          <w:b/>
          <w:color w:val="191F28"/>
          <w:sz w:val="23"/>
          <w:rFonts w:ascii="맑은 고딕" w:hAnsi="맑은 고딕" w:eastAsia="맑은 고딕"/>
        </w:rPr>
        <w:t>1. 자기소개</w:t>
      </w:r>
    </w:p>
    <w:p>
      <w:pPr>
        <w:spacing w:before="0" w:after="120" w:line="288" w:lineRule="auto"/>
      </w:pPr>
      <w:r>
        <w:rPr>
          <w:rFonts w:ascii="맑은 고딕" w:hAnsi="맑은 고딕"/>
          <w:rFonts w:ascii="맑은 고딕" w:hAnsi="맑은 고딕" w:eastAsia="맑은 고딕"/>
        </w:rPr>
        <w:t xml:space="preserve">저는 문제가 발생한 뒤 원인을 분석하기보다, </w:t>
      </w:r>
      <w:r>
        <w:rPr>
          <w:rFonts w:ascii="맑은 고딕" w:hAnsi="맑은 고딕"/>
          <w:b/>
          <w:rFonts w:ascii="맑은 고딕" w:hAnsi="맑은 고딕" w:eastAsia="맑은 고딕"/>
        </w:rPr>
        <w:t>작은 이상 신호를 먼저 포착해 위험을 예방</w:t>
      </w:r>
      <w:r>
        <w:rPr>
          <w:rFonts w:ascii="맑은 고딕" w:hAnsi="맑은 고딕"/>
          <w:rFonts w:ascii="맑은 고딕" w:hAnsi="맑은 고딕" w:eastAsia="맑은 고딕"/>
        </w:rPr>
        <w:t xml:space="preserve">하는 데 더 큰 가치를 둡니다. 이 관점은 AI Service Lab에서 시계열 이상 탐지 연구를 수행하며 형성됐습니다. 낙상 예측 프로젝트(SafeFall)에서 기존 연구들이 "사고 발생 후 감지"에 머물러 있다는 한계를 발견했고, 팀장으로서 </w:t>
      </w:r>
      <w:r>
        <w:rPr>
          <w:rFonts w:ascii="맑은 고딕" w:hAnsi="맑은 고딕"/>
          <w:b/>
          <w:rFonts w:ascii="맑은 고딕" w:hAnsi="맑은 고딕" w:eastAsia="맑은 고딕"/>
        </w:rPr>
        <w:t>Decision 라벨 기준을 직접 설계</w:t>
      </w:r>
      <w:r>
        <w:rPr>
          <w:rFonts w:ascii="맑은 고딕" w:hAnsi="맑은 고딕"/>
          <w:rFonts w:ascii="맑은 고딕" w:hAnsi="맑은 고딕" w:eastAsia="맑은 고딕"/>
        </w:rPr>
        <w:t xml:space="preserve">하고 K-Means로 사용자별 전조 신호를 도출해 사고 이전 단계에서 위험을 예측하는 모델을 만들었습니다. 이 프로젝트로 용인대 창업경진대회 최우수상을 받았고, 데이터는 과거를 설명하는 도구가 아니라 </w:t>
      </w:r>
      <w:r>
        <w:rPr>
          <w:rFonts w:ascii="맑은 고딕" w:hAnsi="맑은 고딕"/>
          <w:b/>
          <w:rFonts w:ascii="맑은 고딕" w:hAnsi="맑은 고딕" w:eastAsia="맑은 고딕"/>
        </w:rPr>
        <w:t>미래의 위험을 예측하고 더 나은 의사결정을 돕는 도구</w:t>
      </w:r>
      <w:r>
        <w:rPr>
          <w:rFonts w:ascii="맑은 고딕" w:hAnsi="맑은 고딕"/>
          <w:rFonts w:ascii="맑은 고딕" w:hAnsi="맑은 고딕" w:eastAsia="맑은 고딕"/>
        </w:rPr>
        <w:t>라는 걸 이때 배웠습니다.</w:t>
      </w:r>
    </w:p>
    <w:p>
      <w:pPr>
        <w:spacing w:before="0" w:after="120" w:line="288" w:lineRule="auto"/>
      </w:pPr>
      <w:r>
        <w:rPr>
          <w:rFonts w:ascii="맑은 고딕" w:hAnsi="맑은 고딕"/>
          <w:rFonts w:ascii="맑은 고딕" w:hAnsi="맑은 고딕" w:eastAsia="맑은 고딕"/>
        </w:rPr>
        <w:t xml:space="preserve">이 문제의식을 금융으로 확장한 것이 SRHS(Stablecoin Risk Health Score)입니다. 국가 간 무역결제에 스테이블코인이 대안으로 떠오르는 동시에, 담보 부실과 규제 미준수라는 위험도 함께 커지고 있다는 점에 주목했습니다. 그런데 이 위험도를 동일한 기준으로 비교할 표준 지표가 없다는 걸 알게 되었고, 여러 붕괴 사례와 선행연구에서 반복적으로 제시되는 위험요인을 추출·통합해 담보 건전성·유동성·규제 준수를 정량화하는 </w:t>
      </w:r>
      <w:r>
        <w:rPr>
          <w:rFonts w:ascii="맑은 고딕" w:hAnsi="맑은 고딕"/>
          <w:b/>
          <w:rFonts w:ascii="맑은 고딕" w:hAnsi="맑은 고딕" w:eastAsia="맑은 고딕"/>
        </w:rPr>
        <w:t>평가 프레임워크</w:t>
      </w:r>
      <w:r>
        <w:rPr>
          <w:rFonts w:ascii="맑은 고딕" w:hAnsi="맑은 고딕"/>
          <w:rFonts w:ascii="맑은 고딕" w:hAnsi="맑은 고딕" w:eastAsia="맑은 고딕"/>
        </w:rPr>
        <w:t xml:space="preserve">를 설계했습니다. 경영학과 팀과 협업해 저는 </w:t>
      </w:r>
      <w:r>
        <w:rPr>
          <w:rFonts w:ascii="맑은 고딕" w:hAnsi="맑은 고딕"/>
          <w:b/>
          <w:rFonts w:ascii="맑은 고딕" w:hAnsi="맑은 고딕" w:eastAsia="맑은 고딕"/>
        </w:rPr>
        <w:t>5개 리스크 지표(PD·LS·CR·TI·RR) 설계와 점수화 모델</w:t>
      </w:r>
      <w:r>
        <w:rPr>
          <w:rFonts w:ascii="맑은 고딕" w:hAnsi="맑은 고딕"/>
          <w:rFonts w:ascii="맑은 고딕" w:hAnsi="맑은 고딕" w:eastAsia="맑은 고딕"/>
        </w:rPr>
        <w:t>을 담당했고, Terra-Luna·FTX·USDC(SVB) 등 실제 붕괴 사례에 적용해 검증한 뒤 한국경영컨설팅학회 최우수상을 수상, 경영컨설팅연구 제26권 3호에 논문을 게재했습니다.</w:t>
      </w:r>
    </w:p>
    <w:p>
      <w:pPr>
        <w:spacing w:before="0" w:after="120" w:line="288" w:lineRule="auto"/>
      </w:pPr>
      <w:r>
        <w:rPr>
          <w:rFonts w:ascii="맑은 고딕" w:hAnsi="맑은 고딕"/>
          <w:rFonts w:ascii="맑은 고딕" w:hAnsi="맑은 고딕" w:eastAsia="맑은 고딕"/>
        </w:rPr>
        <w:t xml:space="preserve">이후 금융사관학교 68기에서 소상공인 금융과 정책자금 교육을 수강하며, 많은 사업자가 복잡한 금융 제도와 지원 정책을 이해하고 활용하는 데 어려움을 겪는다는 걸 알게 됐습니다. 이 문제를 풀고자 KB국민은행 AI Challenge에서 정책자금 신청 자격·규제 조건·근거 문서를 사전에 검증하는 </w:t>
      </w:r>
      <w:r>
        <w:rPr>
          <w:rFonts w:ascii="맑은 고딕" w:hAnsi="맑은 고딕"/>
          <w:b/>
          <w:rFonts w:ascii="맑은 고딕" w:hAnsi="맑은 고딕" w:eastAsia="맑은 고딕"/>
        </w:rPr>
        <w:t>RAG 기반 금융 에이전트</w:t>
      </w:r>
      <w:r>
        <w:rPr>
          <w:rFonts w:ascii="맑은 고딕" w:hAnsi="맑은 고딕"/>
          <w:rFonts w:ascii="맑은 고딕" w:hAnsi="맑은 고딕" w:eastAsia="맑은 고딕"/>
        </w:rPr>
        <w:t xml:space="preserve">를 개발했고, </w:t>
      </w:r>
      <w:r>
        <w:rPr>
          <w:rFonts w:ascii="맑은 고딕" w:hAnsi="맑은 고딕"/>
          <w:b/>
          <w:rFonts w:ascii="맑은 고딕" w:hAnsi="맑은 고딕" w:eastAsia="맑은 고딕"/>
        </w:rPr>
        <w:t>챗봇 UI/UX 설계와 데이터 파이프라인 구축</w:t>
      </w:r>
      <w:r>
        <w:rPr>
          <w:rFonts w:ascii="맑은 고딕" w:hAnsi="맑은 고딕"/>
          <w:rFonts w:ascii="맑은 고딕" w:hAnsi="맑은 고딕" w:eastAsia="맑은 고딕"/>
        </w:rPr>
        <w:t>을 담당했습니다.</w:t>
      </w:r>
    </w:p>
    <w:p>
      <w:pPr>
        <w:spacing w:before="0" w:after="120" w:line="288" w:lineRule="auto"/>
      </w:pPr>
      <w:r>
        <w:rPr>
          <w:rFonts w:ascii="맑은 고딕" w:hAnsi="맑은 고딕"/>
          <w:rFonts w:ascii="맑은 고딕" w:hAnsi="맑은 고딕" w:eastAsia="맑은 고딕"/>
        </w:rPr>
        <w:t xml:space="preserve">AI 이상 탐지, 금융 리스크 정량화, 금융 데이터 사전 검증까지, 저는 </w:t>
      </w:r>
      <w:r>
        <w:rPr>
          <w:rFonts w:ascii="맑은 고딕" w:hAnsi="맑은 고딕"/>
          <w:b/>
          <w:rFonts w:ascii="맑은 고딕" w:hAnsi="맑은 고딕" w:eastAsia="맑은 고딕"/>
        </w:rPr>
        <w:t>'위험을 거래 이전 단계에서 줄인다'</w:t>
      </w:r>
      <w:r>
        <w:rPr>
          <w:rFonts w:ascii="맑은 고딕" w:hAnsi="맑은 고딕"/>
          <w:rFonts w:ascii="맑은 고딕" w:hAnsi="맑은 고딕" w:eastAsia="맑은 고딕"/>
        </w:rPr>
        <w:t>는 하나의 방향을 실천해 왔고, 이 방향은 매번 결과로도 검증받았습니다. 앞으로도 데이터로 더 안전한 금융 서비스를 만드는 사람이 되고 싶습니다.</w:t>
      </w:r>
    </w:p>
    <w:p>
      <w:pPr>
        <w:spacing w:before="120" w:after="120"/>
        <w:pBdr>
          <w:bottom w:val="dashed" w:sz="4" w:space="1" w:color="F2F4F6"/>
        </w:pBdr>
      </w:pPr>
    </w:p>
    <w:p>
      <w:pPr>
        <w:keepNext/>
        <w:spacing w:before="240" w:after="80"/>
      </w:pPr>
      <w:r>
        <w:rPr>
          <w:rFonts w:ascii="맑은 고딕" w:hAnsi="맑은 고딕"/>
          <w:b/>
          <w:color w:val="191F28"/>
          <w:sz w:val="23"/>
          <w:rFonts w:ascii="맑은 고딕" w:hAnsi="맑은 고딕" w:eastAsia="맑은 고딕"/>
        </w:rPr>
        <w:t>2. 지원동기 및 포부</w:t>
      </w:r>
    </w:p>
    <w:p>
      <w:pPr>
        <w:spacing w:before="0" w:after="120" w:line="288" w:lineRule="auto"/>
      </w:pPr>
      <w:r>
        <w:rPr>
          <w:rFonts w:ascii="맑은 고딕" w:hAnsi="맑은 고딕"/>
          <w:rFonts w:ascii="맑은 고딕" w:hAnsi="맑은 고딕" w:eastAsia="맑은 고딕"/>
        </w:rPr>
        <w:t xml:space="preserve">토스는 </w:t>
      </w:r>
      <w:r>
        <w:rPr>
          <w:rFonts w:ascii="맑은 고딕" w:hAnsi="맑은 고딕"/>
          <w:b/>
          <w:rFonts w:ascii="맑은 고딕" w:hAnsi="맑은 고딕" w:eastAsia="맑은 고딕"/>
        </w:rPr>
        <w:t>금융을 더 쉽고 안전하게</w:t>
      </w:r>
      <w:r>
        <w:rPr>
          <w:rFonts w:ascii="맑은 고딕" w:hAnsi="맑은 고딕"/>
          <w:rFonts w:ascii="맑은 고딕" w:hAnsi="맑은 고딕" w:eastAsia="맑은 고딕"/>
        </w:rPr>
        <w:t xml:space="preserve"> 만드는 서비스를 만들어 왔습니다. 그 기반에는 거래의 신뢰를 만드는 운영과 리스크 관리가 있다고 생각합니다. 고객확인(KYC), 가맹점 심사, PG 결제 리스크 관리, FDS 운영, 데이터 검수는 모두 </w:t>
      </w:r>
      <w:r>
        <w:rPr>
          <w:rFonts w:ascii="맑은 고딕" w:hAnsi="맑은 고딕"/>
          <w:b/>
          <w:rFonts w:ascii="맑은 고딕" w:hAnsi="맑은 고딕" w:eastAsia="맑은 고딕"/>
        </w:rPr>
        <w:t>거래가 시작되는 순간부터 위험을 줄이는 핵심 업무</w:t>
      </w:r>
      <w:r>
        <w:rPr>
          <w:rFonts w:ascii="맑은 고딕" w:hAnsi="맑은 고딕"/>
          <w:rFonts w:ascii="맑은 고딕" w:hAnsi="맑은 고딕" w:eastAsia="맑은 고딕"/>
        </w:rPr>
        <w:t>입니다.</w:t>
      </w:r>
    </w:p>
    <w:p>
      <w:pPr>
        <w:spacing w:before="0" w:after="120" w:line="288" w:lineRule="auto"/>
      </w:pPr>
      <w:r>
        <w:rPr>
          <w:rFonts w:ascii="맑은 고딕" w:hAnsi="맑은 고딕"/>
          <w:rFonts w:ascii="맑은 고딕" w:hAnsi="맑은 고딕" w:eastAsia="맑은 고딕"/>
        </w:rPr>
        <w:t xml:space="preserve">SRHS를 만들면서 가장 중요하게 생각한 것은 모델의 성능보다 </w:t>
      </w:r>
      <w:r>
        <w:rPr>
          <w:rFonts w:ascii="맑은 고딕" w:hAnsi="맑은 고딕"/>
          <w:b/>
          <w:rFonts w:ascii="맑은 고딕" w:hAnsi="맑은 고딕" w:eastAsia="맑은 고딕"/>
        </w:rPr>
        <w:t>평가 기준의 타당성</w:t>
      </w:r>
      <w:r>
        <w:rPr>
          <w:rFonts w:ascii="맑은 고딕" w:hAnsi="맑은 고딕"/>
          <w:rFonts w:ascii="맑은 고딕" w:hAnsi="맑은 고딕" w:eastAsia="맑은 고딕"/>
        </w:rPr>
        <w:t xml:space="preserve">이었습니다. 표준화된 지표가 없었기 때문에, 여러 붕괴 사례와 선행연구가 공통적으로 제시한 위험 요인을 추출해 하나의 점수 체계로 구조화했고, 이 기준이 실제 위기 사례에서 유효한지 역으로 검증하는 과정을 거쳤습니다. KYC의 Merchant 심사도 결국 "어떤 판매자를 추가 확인 대상으로 볼지", "어떤 거래 패턴을 위험 신호로 볼지"처럼 </w:t>
      </w:r>
      <w:r>
        <w:rPr>
          <w:rFonts w:ascii="맑은 고딕" w:hAnsi="맑은 고딕"/>
          <w:b/>
          <w:rFonts w:ascii="맑은 고딕" w:hAnsi="맑은 고딕" w:eastAsia="맑은 고딕"/>
        </w:rPr>
        <w:t>정답이 없는 문제를 데이터와 근거로 기준화하는 일</w:t>
      </w:r>
      <w:r>
        <w:rPr>
          <w:rFonts w:ascii="맑은 고딕" w:hAnsi="맑은 고딕"/>
          <w:rFonts w:ascii="맑은 고딕" w:hAnsi="맑은 고딕" w:eastAsia="맑은 고딕"/>
        </w:rPr>
        <w:t xml:space="preserve">이라고 생각합니다. 구체적으로는, 가입 단계에서 사업자 정보·거래 패턴·업종 특성을 기반으로 위험도를 사전 산출하고, 고위험군만 추가 확인 절차로 연결하는 방식이라면 </w:t>
      </w:r>
      <w:r>
        <w:rPr>
          <w:rFonts w:ascii="맑은 고딕" w:hAnsi="맑은 고딕"/>
          <w:b/>
          <w:rFonts w:ascii="맑은 고딕" w:hAnsi="맑은 고딕" w:eastAsia="맑은 고딕"/>
        </w:rPr>
        <w:t>심사 효율성과 고객 경험을 동시에 개선</w:t>
      </w:r>
      <w:r>
        <w:rPr>
          <w:rFonts w:ascii="맑은 고딕" w:hAnsi="맑은 고딕"/>
          <w:rFonts w:ascii="맑은 고딕" w:hAnsi="맑은 고딕" w:eastAsia="맑은 고딕"/>
        </w:rPr>
        <w:t>할 수 있다고 생각합니다. SRHS를 설계하며 익힌 이 역량이 KYC 심사 기준을 설계하고 다듬는 업무에서 강점이 될 수 있다고 생각합니다.</w:t>
      </w:r>
    </w:p>
    <w:p>
      <w:pPr>
        <w:spacing w:before="0" w:after="120" w:line="288" w:lineRule="auto"/>
      </w:pPr>
      <w:r>
        <w:rPr>
          <w:rFonts w:ascii="맑은 고딕" w:hAnsi="맑은 고딕"/>
          <w:rFonts w:ascii="맑은 고딕" w:hAnsi="맑은 고딕" w:eastAsia="맑은 고딕"/>
        </w:rPr>
        <w:t xml:space="preserve">이 경험은 </w:t>
      </w:r>
      <w:r>
        <w:rPr>
          <w:rFonts w:ascii="맑은 고딕" w:hAnsi="맑은 고딕"/>
          <w:b/>
          <w:rFonts w:ascii="맑은 고딕" w:hAnsi="맑은 고딕" w:eastAsia="맑은 고딕"/>
        </w:rPr>
        <w:t>토스페이먼츠와 토스씨엑스의 Merchant Onboarding(KYC), PG 결제 리스크 관리, FDS 운영, 운영 데이터 검수</w:t>
      </w:r>
      <w:r>
        <w:rPr>
          <w:rFonts w:ascii="맑은 고딕" w:hAnsi="맑은 고딕"/>
          <w:rFonts w:ascii="맑은 고딕" w:hAnsi="맑은 고딕" w:eastAsia="맑은 고딕"/>
        </w:rPr>
        <w:t xml:space="preserve"> 업무에서 강점이 될 수 있다고 생각합니다. 작은 이상도 놓치지 않는 꼼꼼함과 데이터로 문제를 분석하는 역량으로, 거래의 신뢰를 높이고 안전한 결제 환경을 만드는 데 기여하고 싶습니다.</w:t>
      </w:r>
    </w:p>
    <w:p>
      <w:pPr>
        <w:spacing w:before="0" w:after="120" w:line="288" w:lineRule="auto"/>
      </w:pPr>
      <w:r>
        <w:rPr>
          <w:rFonts w:ascii="맑은 고딕" w:hAnsi="맑은 고딕"/>
          <w:rFonts w:ascii="맑은 고딕" w:hAnsi="맑은 고딕" w:eastAsia="맑은 고딕"/>
        </w:rPr>
        <w:t xml:space="preserve">다만 학생 프로젝트의 데이터와 실제 가맹점 거래 데이터는 근본적으로 다르다는 것도 알고 있습니다. 제가 다룬 데이터는 정해진 기간에 수집된 정적인 데이터셋이었지만, 실제 가맹점 거래는 규모와 노이즈가 훨씬 크고, </w:t>
      </w:r>
      <w:r>
        <w:rPr>
          <w:rFonts w:ascii="맑은 고딕" w:hAnsi="맑은 고딕"/>
          <w:b/>
          <w:rFonts w:ascii="맑은 고딕" w:hAnsi="맑은 고딕" w:eastAsia="맑은 고딕"/>
        </w:rPr>
        <w:t>사기 패턴 자체가 탐지 기준에 맞춰 계속 진화</w:t>
      </w:r>
      <w:r>
        <w:rPr>
          <w:rFonts w:ascii="맑은 고딕" w:hAnsi="맑은 고딕"/>
          <w:rFonts w:ascii="맑은 고딕" w:hAnsi="맑은 고딕" w:eastAsia="맑은 고딕"/>
        </w:rPr>
        <w:t>합니다.</w:t>
      </w:r>
    </w:p>
    <w:p>
      <w:pPr>
        <w:spacing w:before="0" w:after="120" w:line="288" w:lineRule="auto"/>
      </w:pPr>
      <w:r>
        <w:rPr>
          <w:rFonts w:ascii="맑은 고딕" w:hAnsi="맑은 고딕"/>
          <w:rFonts w:ascii="맑은 고딕" w:hAnsi="맑은 고딕" w:eastAsia="맑은 고딕"/>
        </w:rPr>
        <w:t xml:space="preserve">이 차이는 모델을 정교하게 만드는 것만으로는 메워지지 않고, </w:t>
      </w:r>
      <w:r>
        <w:rPr>
          <w:rFonts w:ascii="맑은 고딕" w:hAnsi="맑은 고딕"/>
          <w:b/>
          <w:rFonts w:ascii="맑은 고딕" w:hAnsi="맑은 고딕" w:eastAsia="맑은 고딕"/>
        </w:rPr>
        <w:t>실제 운영 데이터와 현업의 판단 기준을 마주하며 제 가설을 검증하고 고쳐나가는 과정</w:t>
      </w:r>
      <w:r>
        <w:rPr>
          <w:rFonts w:ascii="맑은 고딕" w:hAnsi="맑은 고딕"/>
          <w:rFonts w:ascii="맑은 고딕" w:hAnsi="맑은 고딕" w:eastAsia="맑은 고딕"/>
        </w:rPr>
        <w:t xml:space="preserve">에서만 좁혀진다고 생각합니다. 입사 초기에는 제가 세운 기준을 정답이라 여기기보다, 기존 KYC·FDS 룰과 실제 오탐·미탐 사례부터 비교하며 제 판단이 현업 기준과 어디서 다른지 배우고 싶습니다. 이후 실제 이상 거래 사례가 쌓이면 그 패턴 변화를 추적해 탐지 기준을 지속적으로 재조정하는 방식으로, 학생 프로젝트에서 익힌 방법론을 </w:t>
      </w:r>
      <w:r>
        <w:rPr>
          <w:rFonts w:ascii="맑은 고딕" w:hAnsi="맑은 고딕"/>
          <w:b/>
          <w:rFonts w:ascii="맑은 고딕" w:hAnsi="맑은 고딕" w:eastAsia="맑은 고딕"/>
        </w:rPr>
        <w:t>실제 도메인 감각과 결합</w:t>
      </w:r>
      <w:r>
        <w:rPr>
          <w:rFonts w:ascii="맑은 고딕" w:hAnsi="맑은 고딕"/>
          <w:rFonts w:ascii="맑은 고딕" w:hAnsi="맑은 고딕" w:eastAsia="맑은 고딕"/>
        </w:rPr>
        <w:t>해 나가고 싶습니다.</w:t>
      </w:r>
    </w:p>
    <w:p>
      <w:pPr>
        <w:spacing w:before="0" w:after="120" w:line="288" w:lineRule="auto"/>
      </w:pPr>
      <w:r>
        <w:rPr>
          <w:rFonts w:ascii="맑은 고딕" w:hAnsi="맑은 고딕"/>
          <w:rFonts w:ascii="맑은 고딕" w:hAnsi="맑은 고딕" w:eastAsia="맑은 고딕"/>
        </w:rPr>
        <w:t xml:space="preserve">입사 후에는 KYC와 PG 운영 프로세스, 결제 리스크 관리 체계를 빠르게 익히며 실무 역량을 쌓겠습니다. 다양한 결제 데이터를 분석해 반복되는 이상 패턴을 발견하고, 운영 개선에도 기여하는 구성원이 되고 싶습니다. 장기적으로는 </w:t>
      </w:r>
      <w:r>
        <w:rPr>
          <w:rFonts w:ascii="맑은 고딕" w:hAnsi="맑은 고딕"/>
          <w:b/>
          <w:rFonts w:ascii="맑은 고딕" w:hAnsi="맑은 고딕" w:eastAsia="맑은 고딕"/>
        </w:rPr>
        <w:t>AML과 결제 리스크를 함께 이해하는 전문가</w:t>
      </w:r>
      <w:r>
        <w:rPr>
          <w:rFonts w:ascii="맑은 고딕" w:hAnsi="맑은 고딕"/>
          <w:rFonts w:ascii="맑은 고딕" w:hAnsi="맑은 고딕" w:eastAsia="맑은 고딕"/>
        </w:rPr>
        <w:t xml:space="preserve">로 성장하고자, </w:t>
      </w:r>
      <w:r>
        <w:rPr>
          <w:rFonts w:ascii="맑은 고딕" w:hAnsi="맑은 고딕"/>
          <w:b/>
          <w:rFonts w:ascii="맑은 고딕" w:hAnsi="맑은 고딕" w:eastAsia="맑은 고딕"/>
        </w:rPr>
        <w:t>한국금융연수원 자금세탁방지(AML) 핵심요원(기초) 과정을 신청해 2026년 8월부터 10월까지 이수할 예정</w:t>
      </w:r>
      <w:r>
        <w:rPr>
          <w:rFonts w:ascii="맑은 고딕" w:hAnsi="맑은 고딕"/>
          <w:rFonts w:ascii="맑은 고딕" w:hAnsi="맑은 고딕" w:eastAsia="맑은 고딕"/>
        </w:rPr>
        <w:t>입니다. 데이터로 위험 신호를 발견하고 거래의 신뢰를 만드는 사람이 되는 것이 제 목표입니다.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91F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