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ENTITY RELATIONSHIP DIAGRAM (ERD)</w:t>
      </w:r>
    </w:p>
    <w:p>
      <w:pPr>
        <w:jc w:val="center"/>
      </w:pPr>
      <w:r>
        <w:rPr>
          <w:i/>
        </w:rPr>
        <w:t>RaceDay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29400" cy="412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r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Notes on corrections</w:t>
      </w:r>
    </w:p>
    <w:p>
      <w:pPr>
        <w:pStyle w:val="ListBullet"/>
      </w:pPr>
      <w:r>
        <w:t>The Result entity is linked to Registration because Result contains RegistrationID (FK).</w:t>
      </w:r>
    </w:p>
    <w:p>
      <w:pPr>
        <w:pStyle w:val="ListBullet"/>
      </w:pPr>
      <w:r>
        <w:t>The EventID foreign key was removed from Registration because Category already identifies the event in this model; this avoids storing the same event relationship twice.</w:t>
      </w:r>
    </w:p>
    <w:p>
      <w:pPr>
        <w:pStyle w:val="ListBullet"/>
      </w:pPr>
      <w:r>
        <w:t>Relationship cardinalities are labelled clearly: one event manager manages many events; one event has many categories; one participant can have many registrations; one category can have many registrations; and a registration can have zero or one result.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