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A77C3B"/>
          <w:sz w:val="84"/>
        </w:rPr>
        <w:t>SEP</w:t>
      </w:r>
    </w:p>
    <w:p>
      <w:pPr>
        <w:jc w:val="center"/>
      </w:pPr>
      <w:r>
        <w:rPr>
          <w:b/>
          <w:color w:val="182033"/>
          <w:sz w:val="34"/>
        </w:rPr>
        <w:t>STUDENT ÉPARGNE POGNON</w:t>
      </w:r>
    </w:p>
    <w:p>
      <w:pPr>
        <w:spacing w:before="320"/>
        <w:jc w:val="center"/>
      </w:pPr>
      <w:r>
        <w:rPr>
          <w:b/>
          <w:sz w:val="30"/>
        </w:rPr>
        <w:t>CAHIER DES CHARGES FONCTIONNEL ET TECHNIQUE</w:t>
      </w:r>
    </w:p>
    <w:p>
      <w:pPr>
        <w:jc w:val="center"/>
      </w:pPr>
      <w:r>
        <w:t>Version 1.0 — MVP / V1</w:t>
        <w:br/>
        <w:t>Date : 12 octobre 2026</w:t>
        <w:br/>
        <w:t>Statut : document de référence pour la conception et le développement</w:t>
      </w:r>
    </w:p>
    <w:p>
      <w:r>
        <w:br w:type="page"/>
      </w:r>
    </w:p>
    <w:p>
      <w:pPr>
        <w:pStyle w:val="Heading1"/>
      </w:pPr>
      <w:r>
        <w:t>Document de contrôle</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82033"/>
          </w:tcPr>
          <w:p>
            <w:r/>
            <w:r>
              <w:rPr>
                <w:b/>
                <w:color w:val="FFFFFF"/>
                <w:sz w:val="18"/>
              </w:rPr>
              <w:t>Élément</w:t>
            </w:r>
          </w:p>
        </w:tc>
        <w:tc>
          <w:tcPr>
            <w:tcW w:type="dxa" w:w="4968"/>
            <w:shd w:fill="182033"/>
          </w:tcPr>
          <w:p>
            <w:r/>
            <w:r>
              <w:rPr>
                <w:b/>
                <w:color w:val="FFFFFF"/>
                <w:sz w:val="18"/>
              </w:rPr>
              <w:t>Description</w:t>
            </w:r>
          </w:p>
        </w:tc>
      </w:tr>
      <w:tr>
        <w:tc>
          <w:tcPr>
            <w:tcW w:type="dxa" w:w="4968"/>
          </w:tcPr>
          <w:p>
            <w:r/>
            <w:r>
              <w:rPr>
                <w:b w:val="0"/>
                <w:sz w:val="18"/>
              </w:rPr>
              <w:t>Nom du projet</w:t>
            </w:r>
          </w:p>
        </w:tc>
        <w:tc>
          <w:tcPr>
            <w:tcW w:type="dxa" w:w="4968"/>
          </w:tcPr>
          <w:p>
            <w:r/>
            <w:r>
              <w:rPr>
                <w:b w:val="0"/>
                <w:sz w:val="18"/>
              </w:rPr>
              <w:t>SEP — Student Épargne Pognon</w:t>
            </w:r>
          </w:p>
        </w:tc>
      </w:tr>
      <w:tr>
        <w:tc>
          <w:tcPr>
            <w:tcW w:type="dxa" w:w="4968"/>
          </w:tcPr>
          <w:p>
            <w:r/>
            <w:r>
              <w:rPr>
                <w:b w:val="0"/>
                <w:sz w:val="18"/>
              </w:rPr>
              <w:t>Nature</w:t>
            </w:r>
          </w:p>
        </w:tc>
        <w:tc>
          <w:tcPr>
            <w:tcW w:type="dxa" w:w="4968"/>
          </w:tcPr>
          <w:p>
            <w:r/>
            <w:r>
              <w:rPr>
                <w:b w:val="0"/>
                <w:sz w:val="18"/>
              </w:rPr>
              <w:t>Application personnelle de gestion budgétaire et d’aide au contrôle des achats impulsifs</w:t>
            </w:r>
          </w:p>
        </w:tc>
      </w:tr>
      <w:tr>
        <w:tc>
          <w:tcPr>
            <w:tcW w:type="dxa" w:w="4968"/>
          </w:tcPr>
          <w:p>
            <w:r/>
            <w:r>
              <w:rPr>
                <w:b w:val="0"/>
                <w:sz w:val="18"/>
              </w:rPr>
              <w:t>Version</w:t>
            </w:r>
          </w:p>
        </w:tc>
        <w:tc>
          <w:tcPr>
            <w:tcW w:type="dxa" w:w="4968"/>
          </w:tcPr>
          <w:p>
            <w:r/>
            <w:r>
              <w:rPr>
                <w:b w:val="0"/>
                <w:sz w:val="18"/>
              </w:rPr>
              <w:t>1.0 — MVP / V1</w:t>
            </w:r>
          </w:p>
        </w:tc>
      </w:tr>
      <w:tr>
        <w:tc>
          <w:tcPr>
            <w:tcW w:type="dxa" w:w="4968"/>
          </w:tcPr>
          <w:p>
            <w:r/>
            <w:r>
              <w:rPr>
                <w:b w:val="0"/>
                <w:sz w:val="18"/>
              </w:rPr>
              <w:t>Plateforme cible</w:t>
            </w:r>
          </w:p>
        </w:tc>
        <w:tc>
          <w:tcPr>
            <w:tcW w:type="dxa" w:w="4968"/>
          </w:tcPr>
          <w:p>
            <w:r/>
            <w:r>
              <w:rPr>
                <w:b w:val="0"/>
                <w:sz w:val="18"/>
              </w:rPr>
              <w:t>Application mobile construite avec Ionic + Angular + TypeScript</w:t>
            </w:r>
          </w:p>
        </w:tc>
      </w:tr>
      <w:tr>
        <w:tc>
          <w:tcPr>
            <w:tcW w:type="dxa" w:w="4968"/>
          </w:tcPr>
          <w:p>
            <w:r/>
            <w:r>
              <w:rPr>
                <w:b w:val="0"/>
                <w:sz w:val="18"/>
              </w:rPr>
              <w:t>Stockage</w:t>
            </w:r>
          </w:p>
        </w:tc>
        <w:tc>
          <w:tcPr>
            <w:tcW w:type="dxa" w:w="4968"/>
          </w:tcPr>
          <w:p>
            <w:r/>
            <w:r>
              <w:rPr>
                <w:b w:val="0"/>
                <w:sz w:val="18"/>
              </w:rPr>
              <w:t>IndexedDB en local, sans compte utilisateur ni backend métier personnel</w:t>
            </w:r>
          </w:p>
        </w:tc>
      </w:tr>
      <w:tr>
        <w:tc>
          <w:tcPr>
            <w:tcW w:type="dxa" w:w="4968"/>
          </w:tcPr>
          <w:p>
            <w:r/>
            <w:r>
              <w:rPr>
                <w:b w:val="0"/>
                <w:sz w:val="18"/>
              </w:rPr>
              <w:t>IA</w:t>
            </w:r>
          </w:p>
        </w:tc>
        <w:tc>
          <w:tcPr>
            <w:tcW w:type="dxa" w:w="4968"/>
          </w:tcPr>
          <w:p>
            <w:r/>
            <w:r>
              <w:rPr>
                <w:b w:val="0"/>
                <w:sz w:val="18"/>
              </w:rPr>
              <w:t>API OpenAI pour l’analyse distante des captures et justificatifs</w:t>
            </w:r>
          </w:p>
        </w:tc>
      </w:tr>
      <w:tr>
        <w:tc>
          <w:tcPr>
            <w:tcW w:type="dxa" w:w="4968"/>
          </w:tcPr>
          <w:p>
            <w:r/>
            <w:r>
              <w:rPr>
                <w:b w:val="0"/>
                <w:sz w:val="18"/>
              </w:rPr>
              <w:t>Devises</w:t>
            </w:r>
          </w:p>
        </w:tc>
        <w:tc>
          <w:tcPr>
            <w:tcW w:type="dxa" w:w="4968"/>
          </w:tcPr>
          <w:p>
            <w:r/>
            <w:r>
              <w:rPr>
                <w:b w:val="0"/>
                <w:sz w:val="18"/>
              </w:rPr>
              <w:t>XOF (FCFA) et GHS (cedi ghanéen)</w:t>
            </w:r>
          </w:p>
        </w:tc>
      </w:tr>
      <w:tr>
        <w:tc>
          <w:tcPr>
            <w:tcW w:type="dxa" w:w="4968"/>
          </w:tcPr>
          <w:p>
            <w:r/>
            <w:r>
              <w:rPr>
                <w:b w:val="0"/>
                <w:sz w:val="18"/>
              </w:rPr>
              <w:t>Évolution prévue</w:t>
            </w:r>
          </w:p>
        </w:tc>
        <w:tc>
          <w:tcPr>
            <w:tcW w:type="dxa" w:w="4968"/>
          </w:tcPr>
          <w:p>
            <w:r/>
            <w:r>
              <w:rPr>
                <w:b w:val="0"/>
                <w:sz w:val="18"/>
              </w:rPr>
              <w:t>Sauvegarde/synchronisation Google Drive en V2</w:t>
            </w:r>
          </w:p>
        </w:tc>
      </w:tr>
    </w:tbl>
    <w:p/>
    <w:p>
      <w:pPr>
        <w:pStyle w:val="Heading1"/>
      </w:pPr>
      <w:r>
        <w:t>Sommaire</w:t>
      </w:r>
    </w:p>
    <w:p>
      <w:pPr>
        <w:pStyle w:val="ListBullet"/>
      </w:pPr>
      <w:r>
        <w:t>1. Présentation et vision du projet</w:t>
      </w:r>
    </w:p>
    <w:p>
      <w:pPr>
        <w:pStyle w:val="ListBullet"/>
      </w:pPr>
      <w:r>
        <w:t>2. Objectifs et indicateurs de réussite</w:t>
      </w:r>
    </w:p>
    <w:p>
      <w:pPr>
        <w:pStyle w:val="ListBullet"/>
      </w:pPr>
      <w:r>
        <w:t>3. Périmètre du MVP</w:t>
      </w:r>
    </w:p>
    <w:p>
      <w:pPr>
        <w:pStyle w:val="ListBullet"/>
      </w:pPr>
      <w:r>
        <w:t>4. Utilisateurs et principes UX</w:t>
      </w:r>
    </w:p>
    <w:p>
      <w:pPr>
        <w:pStyle w:val="ListBullet"/>
      </w:pPr>
      <w:r>
        <w:t>5. Navigation et écrans</w:t>
      </w:r>
    </w:p>
    <w:p>
      <w:pPr>
        <w:pStyle w:val="ListBullet"/>
      </w:pPr>
      <w:r>
        <w:t>6. Modules fonctionnels</w:t>
      </w:r>
    </w:p>
    <w:p>
      <w:pPr>
        <w:pStyle w:val="ListBullet"/>
      </w:pPr>
      <w:r>
        <w:t>7. Parcours de capture et extraction IA</w:t>
      </w:r>
    </w:p>
    <w:p>
      <w:pPr>
        <w:pStyle w:val="ListBullet"/>
      </w:pPr>
      <w:r>
        <w:t>8. Règles métier et comptabilisation</w:t>
      </w:r>
    </w:p>
    <w:p>
      <w:pPr>
        <w:pStyle w:val="ListBullet"/>
      </w:pPr>
      <w:r>
        <w:t>9. Modèle de données indicatif</w:t>
      </w:r>
    </w:p>
    <w:p>
      <w:pPr>
        <w:pStyle w:val="ListBullet"/>
      </w:pPr>
      <w:r>
        <w:t>10. Architecture technique</w:t>
      </w:r>
    </w:p>
    <w:p>
      <w:pPr>
        <w:pStyle w:val="ListBullet"/>
      </w:pPr>
      <w:r>
        <w:t>11. Sécurité, confidentialité et sauvegarde</w:t>
      </w:r>
    </w:p>
    <w:p>
      <w:pPr>
        <w:pStyle w:val="ListBullet"/>
      </w:pPr>
      <w:r>
        <w:t>12. Exigences non fonctionnelles</w:t>
      </w:r>
    </w:p>
    <w:p>
      <w:pPr>
        <w:pStyle w:val="ListBullet"/>
      </w:pPr>
      <w:r>
        <w:t>13. Critères d’acceptation et plan de tests</w:t>
      </w:r>
    </w:p>
    <w:p>
      <w:pPr>
        <w:pStyle w:val="ListBullet"/>
      </w:pPr>
      <w:r>
        <w:t>14. Hors périmètre et V2</w:t>
      </w:r>
    </w:p>
    <w:p>
      <w:pPr>
        <w:pStyle w:val="ListBullet"/>
      </w:pPr>
      <w:r>
        <w:t>15. Décisions restantes</w:t>
      </w:r>
    </w:p>
    <w:p>
      <w:pPr>
        <w:pStyle w:val="ListBullet"/>
      </w:pPr>
      <w:r>
        <w:t>16. Plan de réalisation</w:t>
      </w:r>
    </w:p>
    <w:p>
      <w:pPr>
        <w:pStyle w:val="Heading1"/>
      </w:pPr>
      <w:r>
        <w:t>1. Présentation et vision du projet</w:t>
      </w:r>
    </w:p>
    <w:p>
      <w:r>
        <w:t>SEP (Student Épargne Pognon) est une application personnelle destinée à aider un étudiant à mieux gérer son argent, notamment pendant un séjour d’études au Ghana. Elle vise à limiter les achats impulsifs, rendre l’épargne plus régulière et comprendre progressivement les habitudes de dépenses de l’utilisateur.</w:t>
      </w:r>
    </w:p>
    <w:p>
      <w:r>
        <w:t>SEP n’est pas une banque, un portefeuille de paiement ni un service de transfert d’argent. Elle observe et organise les informations que l’utilisateur lui fournit. Les soldes d’épargne sont des soldes observés à partir de justificatifs, pas des soldes garantis en temps réel.</w:t>
      </w:r>
    </w:p>
    <w:p>
      <w:pPr>
        <w:pStyle w:val="Heading2"/>
      </w:pPr>
      <w:r>
        <w:t>1.1 Principes directeurs</w:t>
      </w:r>
    </w:p>
    <w:p>
      <w:pPr>
        <w:pStyle w:val="ListBullet"/>
      </w:pPr>
      <w:r>
        <w:t>Local-first : les données métier et les justificatifs sont conservés sur l’appareil en V1.</w:t>
      </w:r>
    </w:p>
    <w:p>
      <w:pPr>
        <w:pStyle w:val="ListBullet"/>
      </w:pPr>
      <w:r>
        <w:t>Pas d’authentification utilisateur dans la V1 ; création d’un UUIDv7 local au premier démarrage.</w:t>
      </w:r>
    </w:p>
    <w:p>
      <w:pPr>
        <w:pStyle w:val="ListBullet"/>
      </w:pPr>
      <w:r>
        <w:t>Toute extraction IA est une proposition, jamais une écriture financière automatique.</w:t>
      </w:r>
    </w:p>
    <w:p>
      <w:pPr>
        <w:pStyle w:val="ListBullet"/>
      </w:pPr>
      <w:r>
        <w:t>Aucune dépense issue d’une capture n’est comptabilisée sans prévisualisation et confirmation explicite.</w:t>
      </w:r>
    </w:p>
    <w:p>
      <w:pPr>
        <w:pStyle w:val="ListBullet"/>
      </w:pPr>
      <w:r>
        <w:t>La saisie manuelle doit rester utilisable sans connexion Internet.</w:t>
      </w:r>
    </w:p>
    <w:p>
      <w:pPr>
        <w:pStyle w:val="ListBullet"/>
      </w:pPr>
      <w:r>
        <w:t>Les montants XOF et GHS restent séparés, sauf conversion explicite.</w:t>
      </w:r>
    </w:p>
    <w:p>
      <w:pPr>
        <w:pStyle w:val="ListBullet"/>
      </w:pPr>
      <w:r>
        <w:t>Le contrôle des achats impulsifs doit accompagner et expliquer, pas punir ni bloquer arbitrairement.</w:t>
      </w:r>
    </w:p>
    <w:p>
      <w:pPr>
        <w:pStyle w:val="Heading1"/>
      </w:pPr>
      <w:r>
        <w:t>2. Objectifs et indicateurs de réussite</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82033"/>
          </w:tcPr>
          <w:p>
            <w:r/>
            <w:r>
              <w:rPr>
                <w:b/>
                <w:color w:val="FFFFFF"/>
                <w:sz w:val="18"/>
              </w:rPr>
              <w:t>Objectif</w:t>
            </w:r>
          </w:p>
        </w:tc>
        <w:tc>
          <w:tcPr>
            <w:tcW w:type="dxa" w:w="4968"/>
            <w:shd w:fill="182033"/>
          </w:tcPr>
          <w:p>
            <w:r/>
            <w:r>
              <w:rPr>
                <w:b/>
                <w:color w:val="FFFFFF"/>
                <w:sz w:val="18"/>
              </w:rPr>
              <w:t>Indicateur proposé</w:t>
            </w:r>
          </w:p>
        </w:tc>
      </w:tr>
      <w:tr>
        <w:tc>
          <w:tcPr>
            <w:tcW w:type="dxa" w:w="4968"/>
          </w:tcPr>
          <w:p>
            <w:r/>
            <w:r>
              <w:rPr>
                <w:b w:val="0"/>
                <w:sz w:val="18"/>
              </w:rPr>
              <w:t>Mieux suivre les dépenses</w:t>
            </w:r>
          </w:p>
        </w:tc>
        <w:tc>
          <w:tcPr>
            <w:tcW w:type="dxa" w:w="4968"/>
          </w:tcPr>
          <w:p>
            <w:r/>
            <w:r>
              <w:rPr>
                <w:b w:val="0"/>
                <w:sz w:val="18"/>
              </w:rPr>
              <w:t>Une opération confirmée apparaît une seule fois dans l’historique et les rapports.</w:t>
            </w:r>
          </w:p>
        </w:tc>
      </w:tr>
      <w:tr>
        <w:tc>
          <w:tcPr>
            <w:tcW w:type="dxa" w:w="4968"/>
          </w:tcPr>
          <w:p>
            <w:r/>
            <w:r>
              <w:rPr>
                <w:b w:val="0"/>
                <w:sz w:val="18"/>
              </w:rPr>
              <w:t>Réduire les achats impulsifs</w:t>
            </w:r>
          </w:p>
        </w:tc>
        <w:tc>
          <w:tcPr>
            <w:tcW w:type="dxa" w:w="4968"/>
          </w:tcPr>
          <w:p>
            <w:r/>
            <w:r>
              <w:rPr>
                <w:b w:val="0"/>
                <w:sz w:val="18"/>
              </w:rPr>
              <w:t>L’utilisateur peut activer un délai de réflexion et consigner une justification pour un achat important.</w:t>
            </w:r>
          </w:p>
        </w:tc>
      </w:tr>
      <w:tr>
        <w:tc>
          <w:tcPr>
            <w:tcW w:type="dxa" w:w="4968"/>
          </w:tcPr>
          <w:p>
            <w:r/>
            <w:r>
              <w:rPr>
                <w:b w:val="0"/>
                <w:sz w:val="18"/>
              </w:rPr>
              <w:t>Épargner régulièrement</w:t>
            </w:r>
          </w:p>
        </w:tc>
        <w:tc>
          <w:tcPr>
            <w:tcW w:type="dxa" w:w="4968"/>
          </w:tcPr>
          <w:p>
            <w:r/>
            <w:r>
              <w:rPr>
                <w:b w:val="0"/>
                <w:sz w:val="18"/>
              </w:rPr>
              <w:t>Rappels d’épargne configurables et bilans quotidiens/hebdomadaires.</w:t>
            </w:r>
          </w:p>
        </w:tc>
      </w:tr>
      <w:tr>
        <w:tc>
          <w:tcPr>
            <w:tcW w:type="dxa" w:w="4968"/>
          </w:tcPr>
          <w:p>
            <w:r/>
            <w:r>
              <w:rPr>
                <w:b w:val="0"/>
                <w:sz w:val="18"/>
              </w:rPr>
              <w:t>Comprendre les habitudes</w:t>
            </w:r>
          </w:p>
        </w:tc>
        <w:tc>
          <w:tcPr>
            <w:tcW w:type="dxa" w:w="4968"/>
          </w:tcPr>
          <w:p>
            <w:r/>
            <w:r>
              <w:rPr>
                <w:b w:val="0"/>
                <w:sz w:val="18"/>
              </w:rPr>
              <w:t>Les catégories fréquentes et tendances sont calculées progressivement à partir des opérations confirmées.</w:t>
            </w:r>
          </w:p>
        </w:tc>
      </w:tr>
      <w:tr>
        <w:tc>
          <w:tcPr>
            <w:tcW w:type="dxa" w:w="4968"/>
          </w:tcPr>
          <w:p>
            <w:r/>
            <w:r>
              <w:rPr>
                <w:b w:val="0"/>
                <w:sz w:val="18"/>
              </w:rPr>
              <w:t>Extraire les données des justificatifs</w:t>
            </w:r>
          </w:p>
        </w:tc>
        <w:tc>
          <w:tcPr>
            <w:tcW w:type="dxa" w:w="4968"/>
          </w:tcPr>
          <w:p>
            <w:r/>
            <w:r>
              <w:rPr>
                <w:b w:val="0"/>
                <w:sz w:val="18"/>
              </w:rPr>
              <w:t>Les champs utiles sont préremplis, vérifiables et modifiables avant confirmation.</w:t>
            </w:r>
          </w:p>
        </w:tc>
      </w:tr>
      <w:tr>
        <w:tc>
          <w:tcPr>
            <w:tcW w:type="dxa" w:w="4968"/>
          </w:tcPr>
          <w:p>
            <w:r/>
            <w:r>
              <w:rPr>
                <w:b w:val="0"/>
                <w:sz w:val="18"/>
              </w:rPr>
              <w:t>Protéger les données</w:t>
            </w:r>
          </w:p>
        </w:tc>
        <w:tc>
          <w:tcPr>
            <w:tcW w:type="dxa" w:w="4968"/>
          </w:tcPr>
          <w:p>
            <w:r/>
            <w:r>
              <w:rPr>
                <w:b w:val="0"/>
                <w:sz w:val="18"/>
              </w:rPr>
              <w:t>Les données financières et preuves ne sont pas envoyées vers un backend SEP ; seules les images nécessaires à l’analyse sont transmises au fournisseur IA après information de l’utilisateur.</w:t>
            </w:r>
          </w:p>
        </w:tc>
      </w:tr>
    </w:tbl>
    <w:p/>
    <w:p>
      <w:r>
        <w:t>Les indicateurs sont des objectifs de recette à mesurer sur un jeu de test représentatif ; ils ne constituent pas une promesse de précision de l’IA.</w:t>
      </w:r>
    </w:p>
    <w:p>
      <w:pPr>
        <w:pStyle w:val="Heading1"/>
      </w:pPr>
      <w:r>
        <w:t>3. Périmètre du MVP</w:t>
      </w:r>
    </w:p>
    <w:p>
      <w:pPr>
        <w:pStyle w:val="Heading2"/>
      </w:pPr>
      <w:r>
        <w:t>3.1 Inclus en V1</w:t>
      </w:r>
    </w:p>
    <w:p>
      <w:pPr>
        <w:pStyle w:val="ListBullet"/>
      </w:pPr>
      <w:r>
        <w:t>Onboarding de premier lancement avec bouton « Commencer ».</w:t>
      </w:r>
    </w:p>
    <w:p>
      <w:pPr>
        <w:pStyle w:val="ListBullet"/>
      </w:pPr>
      <w:r>
        <w:t>Génération et conservation locale d’un UUIDv7 d’installation.</w:t>
      </w:r>
    </w:p>
    <w:p>
      <w:pPr>
        <w:pStyle w:val="ListBullet"/>
      </w:pPr>
      <w:r>
        <w:t>Navigation à trois destinations, avec action centrale légèrement surélevée.</w:t>
      </w:r>
    </w:p>
    <w:p>
      <w:pPr>
        <w:pStyle w:val="ListBullet"/>
      </w:pPr>
      <w:r>
        <w:t>Enregistrement manuel des dépenses, revenus et mouvements d’épargne.</w:t>
      </w:r>
    </w:p>
    <w:p>
      <w:pPr>
        <w:pStyle w:val="ListBullet"/>
      </w:pPr>
      <w:r>
        <w:t>Import de captures numériques et de photos/scans de reçus papier.</w:t>
      </w:r>
    </w:p>
    <w:p>
      <w:pPr>
        <w:pStyle w:val="ListBullet"/>
      </w:pPr>
      <w:r>
        <w:t>Extraction distante via API OpenAI, derrière une interface indépendante du fournisseur.</w:t>
      </w:r>
    </w:p>
    <w:p>
      <w:pPr>
        <w:pStyle w:val="ListBullet"/>
      </w:pPr>
      <w:r>
        <w:t>Prévisualisation modifiable, contrôles métier et confirmation obligatoire.</w:t>
      </w:r>
    </w:p>
    <w:p>
      <w:pPr>
        <w:pStyle w:val="ListBullet"/>
      </w:pPr>
      <w:r>
        <w:t>Conservation locale systématique des justificatifs associés aux opérations enregistrées.</w:t>
      </w:r>
    </w:p>
    <w:p>
      <w:pPr>
        <w:pStyle w:val="ListBullet"/>
      </w:pPr>
      <w:r>
        <w:t>Catégories de dépenses, budgets, rapports quotidiens et hebdomadaires.</w:t>
      </w:r>
    </w:p>
    <w:p>
      <w:pPr>
        <w:pStyle w:val="ListBullet"/>
      </w:pPr>
      <w:r>
        <w:t>Contrôle Anti-Pulsion : délai de réflexion, justification des achats importants et rappels.</w:t>
      </w:r>
    </w:p>
    <w:p>
      <w:pPr>
        <w:pStyle w:val="ListBullet"/>
      </w:pPr>
      <w:r>
        <w:t>Coffre d’épargne fondé sur des captures de soldes réels, avec date du solde observé.</w:t>
      </w:r>
    </w:p>
    <w:p>
      <w:pPr>
        <w:pStyle w:val="ListBullet"/>
      </w:pPr>
      <w:r>
        <w:t>Analyse locale progressive des habitudes de dépenses.</w:t>
      </w:r>
    </w:p>
    <w:p>
      <w:pPr>
        <w:pStyle w:val="ListBullet"/>
      </w:pPr>
      <w:r>
        <w:t>Gestion de XOF et GHS sans agrégation directe des devises.</w:t>
      </w:r>
    </w:p>
    <w:p>
      <w:pPr>
        <w:pStyle w:val="ListBullet"/>
      </w:pPr>
      <w:r>
        <w:t>Gestion des erreurs, doublons suspects, export manuel à définir et tests de données.</w:t>
      </w:r>
    </w:p>
    <w:p>
      <w:pPr>
        <w:pStyle w:val="Heading2"/>
      </w:pPr>
      <w:r>
        <w:t>3.2 Exclu de la V1</w:t>
      </w:r>
    </w:p>
    <w:p>
      <w:pPr>
        <w:pStyle w:val="ListBullet"/>
      </w:pPr>
      <w:r>
        <w:t>Authentification, création de compte et profils multi-utilisateurs.</w:t>
      </w:r>
    </w:p>
    <w:p>
      <w:pPr>
        <w:pStyle w:val="ListBullet"/>
      </w:pPr>
      <w:r>
        <w:t>Backend métier SEP, VPS ou base de données distante gérée par le projet.</w:t>
      </w:r>
    </w:p>
    <w:p>
      <w:pPr>
        <w:pStyle w:val="ListBullet"/>
      </w:pPr>
      <w:r>
        <w:t>Synchronisation Google Drive automatique (prévue en V2).</w:t>
      </w:r>
    </w:p>
    <w:p>
      <w:pPr>
        <w:pStyle w:val="ListBullet"/>
      </w:pPr>
      <w:r>
        <w:t>Connexion directe aux comptes bancaires ou aux portefeuilles mobiles.</w:t>
      </w:r>
    </w:p>
    <w:p>
      <w:pPr>
        <w:pStyle w:val="ListBullet"/>
      </w:pPr>
      <w:r>
        <w:t>Paiements, transferts d’argent ou accès aux identifiants bancaires.</w:t>
      </w:r>
    </w:p>
    <w:p>
      <w:pPr>
        <w:pStyle w:val="ListBullet"/>
      </w:pPr>
      <w:r>
        <w:t>Comptabilisation automatique sur la seule base de la sortie IA.</w:t>
      </w:r>
    </w:p>
    <w:p>
      <w:pPr>
        <w:pStyle w:val="ListBullet"/>
      </w:pPr>
      <w:r>
        <w:t>Conversion automatique des devises sans taux et date explicitement présentés.</w:t>
      </w:r>
    </w:p>
    <w:p>
      <w:pPr>
        <w:pStyle w:val="ListBullet"/>
      </w:pPr>
      <w:r>
        <w:t>Garantie d’extraction parfaite pour toute application, tout reçu ou toute qualité d’image.</w:t>
      </w:r>
    </w:p>
    <w:p>
      <w:pPr>
        <w:pStyle w:val="Heading1"/>
      </w:pPr>
      <w:r>
        <w:t>4. Utilisateur et principes UX</w:t>
      </w:r>
    </w:p>
    <w:p>
      <w:r>
        <w:t>Utilisateur principal : une personne utilisant SEP pour suivre son budget personnel, ses dépenses, ses objectifs d’épargne et ses habitudes. L’interface doit être simple, lisible sur mobile, utilisable en français et adaptée à un usage fréquent.</w:t>
      </w:r>
    </w:p>
    <w:p>
      <w:pPr>
        <w:pStyle w:val="ListBullet"/>
      </w:pPr>
      <w:r>
        <w:t>Les actions principales doivent être accessibles en peu d’étapes.</w:t>
      </w:r>
    </w:p>
    <w:p>
      <w:pPr>
        <w:pStyle w:val="ListBullet"/>
      </w:pPr>
      <w:r>
        <w:t>Le bouton central est visuellement légèrement surélevé et ouvre la création d’opération.</w:t>
      </w:r>
    </w:p>
    <w:p>
      <w:pPr>
        <w:pStyle w:val="ListBullet"/>
      </w:pPr>
      <w:r>
        <w:t>Les erreurs doivent expliquer le problème et proposer une action de récupération.</w:t>
      </w:r>
    </w:p>
    <w:p>
      <w:pPr>
        <w:pStyle w:val="ListBullet"/>
      </w:pPr>
      <w:r>
        <w:t>Les alertes de dépenses inhabituelles sont des aides à la décision, pas des jugements.</w:t>
      </w:r>
    </w:p>
    <w:p>
      <w:pPr>
        <w:pStyle w:val="ListBullet"/>
      </w:pPr>
      <w:r>
        <w:t>La prévisualisation IA distingue clairement données extraites, données incertaines et données corrigées.</w:t>
      </w:r>
    </w:p>
    <w:p>
      <w:pPr>
        <w:pStyle w:val="Heading1"/>
      </w:pPr>
      <w:r>
        <w:t>5. Navigation et écrans</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82033"/>
          </w:tcPr>
          <w:p>
            <w:r/>
            <w:r>
              <w:rPr>
                <w:b/>
                <w:color w:val="FFFFFF"/>
                <w:sz w:val="18"/>
              </w:rPr>
              <w:t>Destination</w:t>
            </w:r>
          </w:p>
        </w:tc>
        <w:tc>
          <w:tcPr>
            <w:tcW w:type="dxa" w:w="4968"/>
            <w:shd w:fill="182033"/>
          </w:tcPr>
          <w:p>
            <w:r/>
            <w:r>
              <w:rPr>
                <w:b/>
                <w:color w:val="FFFFFF"/>
                <w:sz w:val="18"/>
              </w:rPr>
              <w:t>Fonctions principales</w:t>
            </w:r>
          </w:p>
        </w:tc>
      </w:tr>
      <w:tr>
        <w:tc>
          <w:tcPr>
            <w:tcW w:type="dxa" w:w="4968"/>
          </w:tcPr>
          <w:p>
            <w:r/>
            <w:r>
              <w:rPr>
                <w:b w:val="0"/>
                <w:sz w:val="18"/>
              </w:rPr>
              <w:t>Accueil / Tableau de bord</w:t>
            </w:r>
          </w:p>
        </w:tc>
        <w:tc>
          <w:tcPr>
            <w:tcW w:type="dxa" w:w="4968"/>
          </w:tcPr>
          <w:p>
            <w:r/>
            <w:r>
              <w:rPr>
                <w:b w:val="0"/>
                <w:sz w:val="18"/>
              </w:rPr>
              <w:t>Résumé des dépenses, budgets, soldes observés, rappels et tendances.</w:t>
            </w:r>
          </w:p>
        </w:tc>
      </w:tr>
      <w:tr>
        <w:tc>
          <w:tcPr>
            <w:tcW w:type="dxa" w:w="4968"/>
          </w:tcPr>
          <w:p>
            <w:r/>
            <w:r>
              <w:rPr>
                <w:b w:val="0"/>
                <w:sz w:val="18"/>
              </w:rPr>
              <w:t>Opération (action centrale)</w:t>
            </w:r>
          </w:p>
        </w:tc>
        <w:tc>
          <w:tcPr>
            <w:tcW w:type="dxa" w:w="4968"/>
          </w:tcPr>
          <w:p>
            <w:r/>
            <w:r>
              <w:rPr>
                <w:b w:val="0"/>
                <w:sz w:val="18"/>
              </w:rPr>
              <w:t>Créer une dépense, un revenu, un versement ou un retrait ; saisie manuelle ou capture.</w:t>
            </w:r>
          </w:p>
        </w:tc>
      </w:tr>
      <w:tr>
        <w:tc>
          <w:tcPr>
            <w:tcW w:type="dxa" w:w="4968"/>
          </w:tcPr>
          <w:p>
            <w:r/>
            <w:r>
              <w:rPr>
                <w:b w:val="0"/>
                <w:sz w:val="18"/>
              </w:rPr>
              <w:t>Épargne / Profil financier</w:t>
            </w:r>
          </w:p>
        </w:tc>
        <w:tc>
          <w:tcPr>
            <w:tcW w:type="dxa" w:w="4968"/>
          </w:tcPr>
          <w:p>
            <w:r/>
            <w:r>
              <w:rPr>
                <w:b w:val="0"/>
                <w:sz w:val="18"/>
              </w:rPr>
              <w:t>Comptes suivis, derniers soldes observés, objectifs, rapports, catégories et paramètres selon l’arborescence retenue.</w:t>
            </w:r>
          </w:p>
        </w:tc>
      </w:tr>
    </w:tbl>
    <w:p/>
    <w:p>
      <w:r>
        <w:t>Le menu final doit contenir trois destinations seulement. L’action centrale « Opération » est légèrement surélevée par rapport aux deux autres. La composition exacte des deux autres destinations doit être validée avant le design final.</w:t>
      </w:r>
    </w:p>
    <w:p>
      <w:pPr>
        <w:pStyle w:val="Heading1"/>
      </w:pPr>
      <w:r>
        <w:t>6. Modules fonctionnels</w:t>
      </w:r>
    </w:p>
    <w:p>
      <w:pPr>
        <w:pStyle w:val="Heading2"/>
      </w:pPr>
      <w:r>
        <w:t>6.1 Onboarding et initialisation</w:t>
      </w:r>
    </w:p>
    <w:p>
      <w:pPr>
        <w:pStyle w:val="ListNumber"/>
      </w:pPr>
      <w:r>
        <w:t>Au premier lancement, afficher l’écran d’accueil SEP avec le bouton « Commencer ».</w:t>
      </w:r>
    </w:p>
    <w:p>
      <w:pPr>
        <w:pStyle w:val="ListNumber"/>
      </w:pPr>
      <w:r>
        <w:t>Au clic, générer un UUIDv7 unique et initialiser IndexedDB avec une version de schéma.</w:t>
      </w:r>
    </w:p>
    <w:p>
      <w:pPr>
        <w:pStyle w:val="ListNumber"/>
      </w:pPr>
      <w:r>
        <w:t>Ne générer l’identifiant qu’une fois et le réutiliser aux lancements suivants.</w:t>
      </w:r>
    </w:p>
    <w:p>
      <w:pPr>
        <w:pStyle w:val="ListNumber"/>
      </w:pPr>
      <w:r>
        <w:t>Configurer les devises actives, catégories, rappels et règles Anti-Pulsion.</w:t>
      </w:r>
    </w:p>
    <w:p>
      <w:pPr>
        <w:pStyle w:val="ListNumber"/>
      </w:pPr>
      <w:r>
        <w:t>En cas d’échec d’initialisation, afficher une erreur explicite et permettre une nouvelle tentative.</w:t>
      </w:r>
    </w:p>
    <w:p>
      <w:pPr>
        <w:pStyle w:val="Heading2"/>
      </w:pPr>
      <w:r>
        <w:t>6.2 Dépenses, revenus et mouvements</w:t>
      </w:r>
    </w:p>
    <w:p>
      <w:pPr>
        <w:pStyle w:val="ListBullet"/>
      </w:pPr>
      <w:r>
        <w:t>Saisie manuelle disponible à tout moment, y compris hors ligne.</w:t>
      </w:r>
    </w:p>
    <w:p>
      <w:pPr>
        <w:pStyle w:val="ListBullet"/>
      </w:pPr>
      <w:r>
        <w:t>Une dépense requiert montant, devise, date, catégorie, libellé et statut confirmé.</w:t>
      </w:r>
    </w:p>
    <w:p>
      <w:pPr>
        <w:pStyle w:val="ListBullet"/>
      </w:pPr>
      <w:r>
        <w:t>Un revenu requiert montant, devise, date et libellé ; la catégorie/source peut être précisée.</w:t>
      </w:r>
    </w:p>
    <w:p>
      <w:pPr>
        <w:pStyle w:val="ListBullet"/>
      </w:pPr>
      <w:r>
        <w:t>Un versement ou retrait d’épargne est un mouvement entre liquidités et épargne, pas automatiquement une dépense de consommation.</w:t>
      </w:r>
    </w:p>
    <w:p>
      <w:pPr>
        <w:pStyle w:val="ListBullet"/>
      </w:pPr>
      <w:r>
        <w:t>Une opération modifiée ou supprimée déclenche le recalcul des agrégats et tendances concernés.</w:t>
      </w:r>
    </w:p>
    <w:p>
      <w:pPr>
        <w:pStyle w:val="Heading2"/>
      </w:pPr>
      <w:r>
        <w:t>6.3 Capture et extraction IA</w:t>
      </w:r>
    </w:p>
    <w:p>
      <w:r>
        <w:t>Les sources acceptées au lancement sont les captures d’applications de paiement, écrans bancaires, reçus numériques et reçus papier photographiés ou numérisés. Le module fonctionne uniquement si la connexion Internet et le service d’extraction sont disponibles. L’utilisateur peut basculer vers la saisie manuelle en cas d’échec.</w:t>
      </w:r>
    </w:p>
    <w:p>
      <w:pPr>
        <w:pStyle w:val="Heading2"/>
      </w:pPr>
      <w:r>
        <w:t>6.4 Coffre d’épargne</w:t>
      </w:r>
    </w:p>
    <w:p>
      <w:pPr>
        <w:pStyle w:val="ListBullet"/>
      </w:pPr>
      <w:r>
        <w:t>L’utilisateur sélectionne ou crée un établissement suivi (ex. banque ou application d’épargne).</w:t>
      </w:r>
    </w:p>
    <w:p>
      <w:pPr>
        <w:pStyle w:val="ListBullet"/>
      </w:pPr>
      <w:r>
        <w:t>Il importe une capture du solde ; l’IA propose établissement, libellé, montant, devise et date observée.</w:t>
      </w:r>
    </w:p>
    <w:p>
      <w:pPr>
        <w:pStyle w:val="ListBullet"/>
      </w:pPr>
      <w:r>
        <w:t>L’utilisateur vérifie puis confirme l’enregistrement du solde observé.</w:t>
      </w:r>
    </w:p>
    <w:p>
      <w:pPr>
        <w:pStyle w:val="ListBullet"/>
      </w:pPr>
      <w:r>
        <w:t>Un solde observé ne crée ni revenu, ni versement, ni retrait.</w:t>
      </w:r>
    </w:p>
    <w:p>
      <w:pPr>
        <w:pStyle w:val="ListBullet"/>
      </w:pPr>
      <w:r>
        <w:t>La différence entre deux soldes peut être signalée, mais ne doit pas être attribuée automatiquement à un mouvement précis.</w:t>
      </w:r>
    </w:p>
    <w:p>
      <w:pPr>
        <w:pStyle w:val="Heading2"/>
      </w:pPr>
      <w:r>
        <w:t>6.5 Anti-Pulsion</w:t>
      </w:r>
    </w:p>
    <w:p>
      <w:pPr>
        <w:pStyle w:val="ListBullet"/>
      </w:pPr>
      <w:r>
        <w:t>Délai de réflexion configurable avant de décider d’un achat non essentiel.</w:t>
      </w:r>
    </w:p>
    <w:p>
      <w:pPr>
        <w:pStyle w:val="ListBullet"/>
      </w:pPr>
      <w:r>
        <w:t>Justification demandée pour les achats dépassant un seuil configurable.</w:t>
      </w:r>
    </w:p>
    <w:p>
      <w:pPr>
        <w:pStyle w:val="ListBullet"/>
      </w:pPr>
      <w:r>
        <w:t>Rappels d’épargne et rappels de réflexion configurables.</w:t>
      </w:r>
    </w:p>
    <w:p>
      <w:pPr>
        <w:pStyle w:val="ListBullet"/>
      </w:pPr>
      <w:r>
        <w:t>Après le délai, l’utilisateur décide de poursuivre, reporter ou abandonner l’achat.</w:t>
      </w:r>
    </w:p>
    <w:p>
      <w:pPr>
        <w:pStyle w:val="ListBullet"/>
      </w:pPr>
      <w:r>
        <w:t>SEP ne bloque pas les paiements réels et ne prétend pas contrôler les applications bancaires.</w:t>
      </w:r>
    </w:p>
    <w:p>
      <w:pPr>
        <w:pStyle w:val="Heading2"/>
      </w:pPr>
      <w:r>
        <w:t>6.6 Apprentissage des habitudes</w:t>
      </w:r>
    </w:p>
    <w:p>
      <w:pPr>
        <w:pStyle w:val="ListBullet"/>
      </w:pPr>
      <w:r>
        <w:t>Calcul local des montants habituels par catégorie, fréquence, jours actifs et tendances hebdomadaires.</w:t>
      </w:r>
    </w:p>
    <w:p>
      <w:pPr>
        <w:pStyle w:val="ListBullet"/>
      </w:pPr>
      <w:r>
        <w:t>Utiliser des méthodes statistiques simples et explicables au MVP : médianes, fréquences, récurrences et seuils adaptatifs.</w:t>
      </w:r>
    </w:p>
    <w:p>
      <w:pPr>
        <w:pStyle w:val="ListBullet"/>
      </w:pPr>
      <w:r>
        <w:t>Ne pas produire de conclusion ferme avec trop peu de données.</w:t>
      </w:r>
    </w:p>
    <w:p>
      <w:pPr>
        <w:pStyle w:val="ListBullet"/>
      </w:pPr>
      <w:r>
        <w:t>Les alertes décrivent les écarts observés et laissent à l’utilisateur la décision.</w:t>
      </w:r>
    </w:p>
    <w:p>
      <w:pPr>
        <w:pStyle w:val="ListBullet"/>
      </w:pPr>
      <w:r>
        <w:t>Les corrections de catégories doivent être prises en compte lors du recalcul.</w:t>
      </w:r>
    </w:p>
    <w:p>
      <w:pPr>
        <w:pStyle w:val="Heading2"/>
      </w:pPr>
      <w:r>
        <w:t>6.7 Bilans</w:t>
      </w:r>
    </w:p>
    <w:p>
      <w:pPr>
        <w:pStyle w:val="ListBullet"/>
      </w:pPr>
      <w:r>
        <w:t>Bilan quotidien : dépenses par catégorie et devise, budgets consommés, opérations récentes et rappels.</w:t>
      </w:r>
    </w:p>
    <w:p>
      <w:pPr>
        <w:pStyle w:val="ListBullet"/>
      </w:pPr>
      <w:r>
        <w:t>Bilan hebdomadaire : tendances, catégories principales, comparaison avec la période précédente et objectifs d’épargne.</w:t>
      </w:r>
    </w:p>
    <w:p>
      <w:pPr>
        <w:pStyle w:val="ListBullet"/>
      </w:pPr>
      <w:r>
        <w:t>Les bilans distinguent les devises et les soldes observés des flux réellement confirmés.</w:t>
      </w:r>
    </w:p>
    <w:p>
      <w:pPr>
        <w:pStyle w:val="Heading1"/>
      </w:pPr>
      <w:r>
        <w:t>7. Spécification détaillée : capture et extraction OpenAI</w:t>
      </w:r>
    </w:p>
    <w:p>
      <w:pPr>
        <w:pStyle w:val="Heading2"/>
      </w:pPr>
      <w:r>
        <w:t>7.1 Parcours utilisateur</w:t>
      </w:r>
    </w:p>
    <w:p>
      <w:pPr>
        <w:pStyle w:val="ListNumber"/>
      </w:pPr>
      <w:r>
        <w:t>Depuis l’action centrale, choisir « Dépense », puis « Capture d’écran / reçu ».</w:t>
      </w:r>
    </w:p>
    <w:p>
      <w:pPr>
        <w:pStyle w:val="ListNumber"/>
      </w:pPr>
      <w:r>
        <w:t>Sélectionner une image depuis la galerie ou le sélecteur de fichiers ; une photo de reçu papier est autorisée si la plateforme le permet.</w:t>
      </w:r>
    </w:p>
    <w:p>
      <w:pPr>
        <w:pStyle w:val="ListNumber"/>
      </w:pPr>
      <w:r>
        <w:t>Afficher l’aperçu ; permettre remplacement et recadrage sans écraser l’original.</w:t>
      </w:r>
    </w:p>
    <w:p>
      <w:pPr>
        <w:pStyle w:val="ListNumber"/>
      </w:pPr>
      <w:r>
        <w:t>Informer l’utilisateur que l’image sera transmise au service OpenAI pour analyse et obtenir son accord avant le premier envoi ou selon la politique de consentement retenue.</w:t>
      </w:r>
    </w:p>
    <w:p>
      <w:pPr>
        <w:pStyle w:val="ListNumber"/>
      </w:pPr>
      <w:r>
        <w:t>Analyser l’image via le service d’extraction ; montrer l’état en cours et empêcher les doubles soumissions.</w:t>
      </w:r>
    </w:p>
    <w:p>
      <w:pPr>
        <w:pStyle w:val="ListNumber"/>
      </w:pPr>
      <w:r>
        <w:t>Si l’analyse échoue, permettre une nouvelle tentative ; après échec, proposer la saisie manuelle.</w:t>
      </w:r>
    </w:p>
    <w:p>
      <w:pPr>
        <w:pStyle w:val="ListNumber"/>
      </w:pPr>
      <w:r>
        <w:t>Afficher la prévisualisation modifiable, les champs manquants et les avertissements.</w:t>
      </w:r>
    </w:p>
    <w:p>
      <w:pPr>
        <w:pStyle w:val="ListNumber"/>
      </w:pPr>
      <w:r>
        <w:t>Vérifier les doublons et appliquer les règles métier.</w:t>
      </w:r>
    </w:p>
    <w:p>
      <w:pPr>
        <w:pStyle w:val="ListNumber"/>
      </w:pPr>
      <w:r>
        <w:t>Demander une confirmation explicite ; enregistrer l’opération et le justificatif localement.</w:t>
      </w:r>
    </w:p>
    <w:p>
      <w:pPr>
        <w:pStyle w:val="ListNumber"/>
      </w:pPr>
      <w:r>
        <w:t>Afficher un résultat de succès uniquement après confirmation de l’écriture locale.</w:t>
      </w:r>
    </w:p>
    <w:p>
      <w:pPr>
        <w:pStyle w:val="Heading2"/>
      </w:pPr>
      <w:r>
        <w:t>7.2 Champs à extraire</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82033"/>
          </w:tcPr>
          <w:p>
            <w:r/>
            <w:r>
              <w:rPr>
                <w:b/>
                <w:color w:val="FFFFFF"/>
                <w:sz w:val="18"/>
              </w:rPr>
              <w:t>Champ</w:t>
            </w:r>
          </w:p>
        </w:tc>
        <w:tc>
          <w:tcPr>
            <w:tcW w:type="dxa" w:w="4968"/>
            <w:shd w:fill="182033"/>
          </w:tcPr>
          <w:p>
            <w:r/>
            <w:r>
              <w:rPr>
                <w:b/>
                <w:color w:val="FFFFFF"/>
                <w:sz w:val="18"/>
              </w:rPr>
              <w:t>Règle</w:t>
            </w:r>
          </w:p>
        </w:tc>
      </w:tr>
      <w:tr>
        <w:tc>
          <w:tcPr>
            <w:tcW w:type="dxa" w:w="4968"/>
          </w:tcPr>
          <w:p>
            <w:r/>
            <w:r>
              <w:rPr>
                <w:b w:val="0"/>
                <w:sz w:val="18"/>
              </w:rPr>
              <w:t>Type de document</w:t>
            </w:r>
          </w:p>
        </w:tc>
        <w:tc>
          <w:tcPr>
            <w:tcW w:type="dxa" w:w="4968"/>
          </w:tcPr>
          <w:p>
            <w:r/>
            <w:r>
              <w:rPr>
                <w:b w:val="0"/>
                <w:sz w:val="18"/>
              </w:rPr>
              <w:t>Capture de paiement, écran bancaire, reçu numérique, reçu papier ou inconnu.</w:t>
            </w:r>
          </w:p>
        </w:tc>
      </w:tr>
      <w:tr>
        <w:tc>
          <w:tcPr>
            <w:tcW w:type="dxa" w:w="4968"/>
          </w:tcPr>
          <w:p>
            <w:r/>
            <w:r>
              <w:rPr>
                <w:b w:val="0"/>
                <w:sz w:val="18"/>
              </w:rPr>
              <w:t>Montant principal</w:t>
            </w:r>
          </w:p>
        </w:tc>
        <w:tc>
          <w:tcPr>
            <w:tcW w:type="dxa" w:w="4968"/>
          </w:tcPr>
          <w:p>
            <w:r/>
            <w:r>
              <w:rPr>
                <w:b w:val="0"/>
                <w:sz w:val="18"/>
              </w:rPr>
              <w:t>Montant de la transaction, distinct du solde affiché.</w:t>
            </w:r>
          </w:p>
        </w:tc>
      </w:tr>
      <w:tr>
        <w:tc>
          <w:tcPr>
            <w:tcW w:type="dxa" w:w="4968"/>
          </w:tcPr>
          <w:p>
            <w:r/>
            <w:r>
              <w:rPr>
                <w:b w:val="0"/>
                <w:sz w:val="18"/>
              </w:rPr>
              <w:t>Devise</w:t>
            </w:r>
          </w:p>
        </w:tc>
        <w:tc>
          <w:tcPr>
            <w:tcW w:type="dxa" w:w="4968"/>
          </w:tcPr>
          <w:p>
            <w:r/>
            <w:r>
              <w:rPr>
                <w:b w:val="0"/>
                <w:sz w:val="18"/>
              </w:rPr>
              <w:t>XOF ou GHS ; si incertaine, demander à l’utilisateur.</w:t>
            </w:r>
          </w:p>
        </w:tc>
      </w:tr>
      <w:tr>
        <w:tc>
          <w:tcPr>
            <w:tcW w:type="dxa" w:w="4968"/>
          </w:tcPr>
          <w:p>
            <w:r/>
            <w:r>
              <w:rPr>
                <w:b w:val="0"/>
                <w:sz w:val="18"/>
              </w:rPr>
              <w:t>Date/heure</w:t>
            </w:r>
          </w:p>
        </w:tc>
        <w:tc>
          <w:tcPr>
            <w:tcW w:type="dxa" w:w="4968"/>
          </w:tcPr>
          <w:p>
            <w:r/>
            <w:r>
              <w:rPr>
                <w:b w:val="0"/>
                <w:sz w:val="18"/>
              </w:rPr>
              <w:t>Date du paiement si visible, distincte de la date d’import.</w:t>
            </w:r>
          </w:p>
        </w:tc>
      </w:tr>
      <w:tr>
        <w:tc>
          <w:tcPr>
            <w:tcW w:type="dxa" w:w="4968"/>
          </w:tcPr>
          <w:p>
            <w:r/>
            <w:r>
              <w:rPr>
                <w:b w:val="0"/>
                <w:sz w:val="18"/>
              </w:rPr>
              <w:t>Libellé</w:t>
            </w:r>
          </w:p>
        </w:tc>
        <w:tc>
          <w:tcPr>
            <w:tcW w:type="dxa" w:w="4968"/>
          </w:tcPr>
          <w:p>
            <w:r/>
            <w:r>
              <w:rPr>
                <w:b w:val="0"/>
                <w:sz w:val="18"/>
              </w:rPr>
              <w:t>Description normalisée, modifiable.</w:t>
            </w:r>
          </w:p>
        </w:tc>
      </w:tr>
      <w:tr>
        <w:tc>
          <w:tcPr>
            <w:tcW w:type="dxa" w:w="4968"/>
          </w:tcPr>
          <w:p>
            <w:r/>
            <w:r>
              <w:rPr>
                <w:b w:val="0"/>
                <w:sz w:val="18"/>
              </w:rPr>
              <w:t>Marchand/bénéficiaire</w:t>
            </w:r>
          </w:p>
        </w:tc>
        <w:tc>
          <w:tcPr>
            <w:tcW w:type="dxa" w:w="4968"/>
          </w:tcPr>
          <w:p>
            <w:r/>
            <w:r>
              <w:rPr>
                <w:b w:val="0"/>
                <w:sz w:val="18"/>
              </w:rPr>
              <w:t>Facultatif si identifiable.</w:t>
            </w:r>
          </w:p>
        </w:tc>
      </w:tr>
      <w:tr>
        <w:tc>
          <w:tcPr>
            <w:tcW w:type="dxa" w:w="4968"/>
          </w:tcPr>
          <w:p>
            <w:r/>
            <w:r>
              <w:rPr>
                <w:b w:val="0"/>
                <w:sz w:val="18"/>
              </w:rPr>
              <w:t>Statut apparent</w:t>
            </w:r>
          </w:p>
        </w:tc>
        <w:tc>
          <w:tcPr>
            <w:tcW w:type="dxa" w:w="4968"/>
          </w:tcPr>
          <w:p>
            <w:r/>
            <w:r>
              <w:rPr>
                <w:b w:val="0"/>
                <w:sz w:val="18"/>
              </w:rPr>
              <w:t>Confirmé, en attente, échoué, annulé ou inconnu ; à vérifier par l’utilisateur.</w:t>
            </w:r>
          </w:p>
        </w:tc>
      </w:tr>
      <w:tr>
        <w:tc>
          <w:tcPr>
            <w:tcW w:type="dxa" w:w="4968"/>
          </w:tcPr>
          <w:p>
            <w:r/>
            <w:r>
              <w:rPr>
                <w:b w:val="0"/>
                <w:sz w:val="18"/>
              </w:rPr>
              <w:t>Frais</w:t>
            </w:r>
          </w:p>
        </w:tc>
        <w:tc>
          <w:tcPr>
            <w:tcW w:type="dxa" w:w="4968"/>
          </w:tcPr>
          <w:p>
            <w:r/>
            <w:r>
              <w:rPr>
                <w:b w:val="0"/>
                <w:sz w:val="18"/>
              </w:rPr>
              <w:t>Montant distinct si les frais sont explicitement identifiés.</w:t>
            </w:r>
          </w:p>
        </w:tc>
      </w:tr>
      <w:tr>
        <w:tc>
          <w:tcPr>
            <w:tcW w:type="dxa" w:w="4968"/>
          </w:tcPr>
          <w:p>
            <w:r/>
            <w:r>
              <w:rPr>
                <w:b w:val="0"/>
                <w:sz w:val="18"/>
              </w:rPr>
              <w:t>Total débité</w:t>
            </w:r>
          </w:p>
        </w:tc>
        <w:tc>
          <w:tcPr>
            <w:tcW w:type="dxa" w:w="4968"/>
          </w:tcPr>
          <w:p>
            <w:r/>
            <w:r>
              <w:rPr>
                <w:b w:val="0"/>
                <w:sz w:val="18"/>
              </w:rPr>
              <w:t>Valeur extraite si visible ; contrôler la cohérence avec montant principal et frais.</w:t>
            </w:r>
          </w:p>
        </w:tc>
      </w:tr>
      <w:tr>
        <w:tc>
          <w:tcPr>
            <w:tcW w:type="dxa" w:w="4968"/>
          </w:tcPr>
          <w:p>
            <w:r/>
            <w:r>
              <w:rPr>
                <w:b w:val="0"/>
                <w:sz w:val="18"/>
              </w:rPr>
              <w:t>Référence</w:t>
            </w:r>
          </w:p>
        </w:tc>
        <w:tc>
          <w:tcPr>
            <w:tcW w:type="dxa" w:w="4968"/>
          </w:tcPr>
          <w:p>
            <w:r/>
            <w:r>
              <w:rPr>
                <w:b w:val="0"/>
                <w:sz w:val="18"/>
              </w:rPr>
              <w:t>Référence de transaction, si présente.</w:t>
            </w:r>
          </w:p>
        </w:tc>
      </w:tr>
      <w:tr>
        <w:tc>
          <w:tcPr>
            <w:tcW w:type="dxa" w:w="4968"/>
          </w:tcPr>
          <w:p>
            <w:r/>
            <w:r>
              <w:rPr>
                <w:b w:val="0"/>
                <w:sz w:val="18"/>
              </w:rPr>
              <w:t>Catégorie suggérée</w:t>
            </w:r>
          </w:p>
        </w:tc>
        <w:tc>
          <w:tcPr>
            <w:tcW w:type="dxa" w:w="4968"/>
          </w:tcPr>
          <w:p>
            <w:r/>
            <w:r>
              <w:rPr>
                <w:b w:val="0"/>
                <w:sz w:val="18"/>
              </w:rPr>
              <w:t>Suggestion parmi les catégories SEP ; validation utilisateur requise.</w:t>
            </w:r>
          </w:p>
        </w:tc>
      </w:tr>
      <w:tr>
        <w:tc>
          <w:tcPr>
            <w:tcW w:type="dxa" w:w="4968"/>
          </w:tcPr>
          <w:p>
            <w:r/>
            <w:r>
              <w:rPr>
                <w:b w:val="0"/>
                <w:sz w:val="18"/>
              </w:rPr>
              <w:t>Solde affiché</w:t>
            </w:r>
          </w:p>
        </w:tc>
        <w:tc>
          <w:tcPr>
            <w:tcW w:type="dxa" w:w="4968"/>
          </w:tcPr>
          <w:p>
            <w:r/>
            <w:r>
              <w:rPr>
                <w:b w:val="0"/>
                <w:sz w:val="18"/>
              </w:rPr>
              <w:t>Conservé comme donnée distincte et seulement si pertinent ; jamais assimilé au montant de dépense.</w:t>
            </w:r>
          </w:p>
        </w:tc>
      </w:tr>
    </w:tbl>
    <w:p/>
    <w:p>
      <w:pPr>
        <w:pStyle w:val="Heading2"/>
      </w:pPr>
      <w:r>
        <w:t>7.3 Règles de prévisualisation</w:t>
      </w:r>
    </w:p>
    <w:p>
      <w:pPr>
        <w:pStyle w:val="ListBullet"/>
      </w:pPr>
      <w:r>
        <w:t>Tous les champs sont modifiables avant confirmation, à l’exception des métadonnées techniques immuables.</w:t>
      </w:r>
    </w:p>
    <w:p>
      <w:pPr>
        <w:pStyle w:val="ListBullet"/>
      </w:pPr>
      <w:r>
        <w:t>Les champs incertains sont signalés ; la confiance du modèle n’est pas une preuve de validité.</w:t>
      </w:r>
    </w:p>
    <w:p>
      <w:pPr>
        <w:pStyle w:val="ListBullet"/>
      </w:pPr>
      <w:r>
        <w:t>Montant, devise, date, catégorie, libellé et statut doivent être résolus avant enregistrement.</w:t>
      </w:r>
    </w:p>
    <w:p>
      <w:pPr>
        <w:pStyle w:val="ListBullet"/>
      </w:pPr>
      <w:r>
        <w:t>Pour un reçu papier sans statut numérique, demander à l’utilisateur de confirmer que l’achat a été payé.</w:t>
      </w:r>
    </w:p>
    <w:p>
      <w:pPr>
        <w:pStyle w:val="ListBullet"/>
      </w:pPr>
      <w:r>
        <w:t>Aucune réponse IA ne déclenche directement une écriture financière.</w:t>
      </w:r>
    </w:p>
    <w:p>
      <w:pPr>
        <w:pStyle w:val="ListBullet"/>
      </w:pPr>
      <w:r>
        <w:t>Le résultat doit être validé contre un schéma strict et traité comme une entrée non fiable.</w:t>
      </w:r>
    </w:p>
    <w:p>
      <w:pPr>
        <w:pStyle w:val="Heading2"/>
      </w:pPr>
      <w:r>
        <w:t>7.4 Erreurs et récupération</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82033"/>
          </w:tcPr>
          <w:p>
            <w:r/>
            <w:r>
              <w:rPr>
                <w:b/>
                <w:color w:val="FFFFFF"/>
                <w:sz w:val="18"/>
              </w:rPr>
              <w:t>Erreur</w:t>
            </w:r>
          </w:p>
        </w:tc>
        <w:tc>
          <w:tcPr>
            <w:tcW w:type="dxa" w:w="4968"/>
            <w:shd w:fill="182033"/>
          </w:tcPr>
          <w:p>
            <w:r/>
            <w:r>
              <w:rPr>
                <w:b/>
                <w:color w:val="FFFFFF"/>
                <w:sz w:val="18"/>
              </w:rPr>
              <w:t>Comportement attendu</w:t>
            </w:r>
          </w:p>
        </w:tc>
      </w:tr>
      <w:tr>
        <w:tc>
          <w:tcPr>
            <w:tcW w:type="dxa" w:w="4968"/>
          </w:tcPr>
          <w:p>
            <w:r/>
            <w:r>
              <w:rPr>
                <w:b w:val="0"/>
                <w:sz w:val="18"/>
              </w:rPr>
              <w:t>Image illisible</w:t>
            </w:r>
          </w:p>
        </w:tc>
        <w:tc>
          <w:tcPr>
            <w:tcW w:type="dxa" w:w="4968"/>
          </w:tcPr>
          <w:p>
            <w:r/>
            <w:r>
              <w:rPr>
                <w:b w:val="0"/>
                <w:sz w:val="18"/>
              </w:rPr>
              <w:t>Demander une nouvelle image ou un recadrage.</w:t>
            </w:r>
          </w:p>
        </w:tc>
      </w:tr>
      <w:tr>
        <w:tc>
          <w:tcPr>
            <w:tcW w:type="dxa" w:w="4968"/>
          </w:tcPr>
          <w:p>
            <w:r/>
            <w:r>
              <w:rPr>
                <w:b w:val="0"/>
                <w:sz w:val="18"/>
              </w:rPr>
              <w:t>Hors ligne</w:t>
            </w:r>
          </w:p>
        </w:tc>
        <w:tc>
          <w:tcPr>
            <w:tcW w:type="dxa" w:w="4968"/>
          </w:tcPr>
          <w:p>
            <w:r/>
            <w:r>
              <w:rPr>
                <w:b w:val="0"/>
                <w:sz w:val="18"/>
              </w:rPr>
              <w:t>Ne pas appeler l’API ; proposer saisie manuelle.</w:t>
            </w:r>
          </w:p>
        </w:tc>
      </w:tr>
      <w:tr>
        <w:tc>
          <w:tcPr>
            <w:tcW w:type="dxa" w:w="4968"/>
          </w:tcPr>
          <w:p>
            <w:r/>
            <w:r>
              <w:rPr>
                <w:b w:val="0"/>
                <w:sz w:val="18"/>
              </w:rPr>
              <w:t>Limite API / quota</w:t>
            </w:r>
          </w:p>
        </w:tc>
        <w:tc>
          <w:tcPr>
            <w:tcW w:type="dxa" w:w="4968"/>
          </w:tcPr>
          <w:p>
            <w:r/>
            <w:r>
              <w:rPr>
                <w:b w:val="0"/>
                <w:sz w:val="18"/>
              </w:rPr>
              <w:t>Afficher une erreur compréhensible et permettre une nouvelle tentative ultérieure.</w:t>
            </w:r>
          </w:p>
        </w:tc>
      </w:tr>
      <w:tr>
        <w:tc>
          <w:tcPr>
            <w:tcW w:type="dxa" w:w="4968"/>
          </w:tcPr>
          <w:p>
            <w:r/>
            <w:r>
              <w:rPr>
                <w:b w:val="0"/>
                <w:sz w:val="18"/>
              </w:rPr>
              <w:t>Délai dépassé / erreur réseau</w:t>
            </w:r>
          </w:p>
        </w:tc>
        <w:tc>
          <w:tcPr>
            <w:tcW w:type="dxa" w:w="4968"/>
          </w:tcPr>
          <w:p>
            <w:r/>
            <w:r>
              <w:rPr>
                <w:b w:val="0"/>
                <w:sz w:val="18"/>
              </w:rPr>
              <w:t>Réessayer sans créer de transaction ; éviter les appels multiples involontaires.</w:t>
            </w:r>
          </w:p>
        </w:tc>
      </w:tr>
      <w:tr>
        <w:tc>
          <w:tcPr>
            <w:tcW w:type="dxa" w:w="4968"/>
          </w:tcPr>
          <w:p>
            <w:r/>
            <w:r>
              <w:rPr>
                <w:b w:val="0"/>
                <w:sz w:val="18"/>
              </w:rPr>
              <w:t>Réponse mal formée</w:t>
            </w:r>
          </w:p>
        </w:tc>
        <w:tc>
          <w:tcPr>
            <w:tcW w:type="dxa" w:w="4968"/>
          </w:tcPr>
          <w:p>
            <w:r/>
            <w:r>
              <w:rPr>
                <w:b w:val="0"/>
                <w:sz w:val="18"/>
              </w:rPr>
              <w:t>Rejeter la réponse, journaliser un code technique sans données sensibles et proposer une nouvelle tentative.</w:t>
            </w:r>
          </w:p>
        </w:tc>
      </w:tr>
      <w:tr>
        <w:tc>
          <w:tcPr>
            <w:tcW w:type="dxa" w:w="4968"/>
          </w:tcPr>
          <w:p>
            <w:r/>
            <w:r>
              <w:rPr>
                <w:b w:val="0"/>
                <w:sz w:val="18"/>
              </w:rPr>
              <w:t>Champs incomplets</w:t>
            </w:r>
          </w:p>
        </w:tc>
        <w:tc>
          <w:tcPr>
            <w:tcW w:type="dxa" w:w="4968"/>
          </w:tcPr>
          <w:p>
            <w:r/>
            <w:r>
              <w:rPr>
                <w:b w:val="0"/>
                <w:sz w:val="18"/>
              </w:rPr>
              <w:t>Ouvrir la prévisualisation et demander les compléments.</w:t>
            </w:r>
          </w:p>
        </w:tc>
      </w:tr>
      <w:tr>
        <w:tc>
          <w:tcPr>
            <w:tcW w:type="dxa" w:w="4968"/>
          </w:tcPr>
          <w:p>
            <w:r/>
            <w:r>
              <w:rPr>
                <w:b w:val="0"/>
                <w:sz w:val="18"/>
              </w:rPr>
              <w:t>Doublon probable</w:t>
            </w:r>
          </w:p>
        </w:tc>
        <w:tc>
          <w:tcPr>
            <w:tcW w:type="dxa" w:w="4968"/>
          </w:tcPr>
          <w:p>
            <w:r/>
            <w:r>
              <w:rPr>
                <w:b w:val="0"/>
                <w:sz w:val="18"/>
              </w:rPr>
              <w:t>Avertir et demander confirmation explicite.</w:t>
            </w:r>
          </w:p>
        </w:tc>
      </w:tr>
      <w:tr>
        <w:tc>
          <w:tcPr>
            <w:tcW w:type="dxa" w:w="4968"/>
          </w:tcPr>
          <w:p>
            <w:r/>
            <w:r>
              <w:rPr>
                <w:b w:val="0"/>
                <w:sz w:val="18"/>
              </w:rPr>
              <w:t>Écriture locale échouée</w:t>
            </w:r>
          </w:p>
        </w:tc>
        <w:tc>
          <w:tcPr>
            <w:tcW w:type="dxa" w:w="4968"/>
          </w:tcPr>
          <w:p>
            <w:r/>
            <w:r>
              <w:rPr>
                <w:b w:val="0"/>
                <w:sz w:val="18"/>
              </w:rPr>
              <w:t>Ne pas afficher de succès ; conserver le formulaire si possible et permettre de réessayer.</w:t>
            </w:r>
          </w:p>
        </w:tc>
      </w:tr>
    </w:tbl>
    <w:p/>
    <w:p>
      <w:pPr>
        <w:pStyle w:val="Heading2"/>
      </w:pPr>
      <w:r>
        <w:t>7.5 Règles de doublon</w:t>
      </w:r>
    </w:p>
    <w:p>
      <w:pPr>
        <w:pStyle w:val="ListBullet"/>
      </w:pPr>
      <w:r>
        <w:t>Comparer en priorité la référence de transaction si elle existe.</w:t>
      </w:r>
    </w:p>
    <w:p>
      <w:pPr>
        <w:pStyle w:val="ListBullet"/>
      </w:pPr>
      <w:r>
        <w:t>À défaut, comparer montant, devise, date, source et libellé normalisé dans une fenêtre de temps définie.</w:t>
      </w:r>
    </w:p>
    <w:p>
      <w:pPr>
        <w:pStyle w:val="ListBullet"/>
      </w:pPr>
      <w:r>
        <w:t>Un doublon suspect déclenche un avertissement, pas une suppression automatique.</w:t>
      </w:r>
    </w:p>
    <w:p>
      <w:pPr>
        <w:pStyle w:val="ListBullet"/>
      </w:pPr>
      <w:r>
        <w:t>L’utilisateur peut ouvrir l’opération existante ou confirmer qu’il s’agit d’une nouvelle dépense.</w:t>
      </w:r>
    </w:p>
    <w:p>
      <w:pPr>
        <w:pStyle w:val="ListBullet"/>
      </w:pPr>
      <w:r>
        <w:t>Prévoir une protection contre le double clic et les écritures répétées.</w:t>
      </w:r>
    </w:p>
    <w:p>
      <w:pPr>
        <w:pStyle w:val="Heading1"/>
      </w:pPr>
      <w:r>
        <w:t>8. Règles métier et comptabilisation</w:t>
      </w:r>
    </w:p>
    <w:p>
      <w:pPr>
        <w:pStyle w:val="ListBullet"/>
      </w:pPr>
      <w:r>
        <w:t>Une dépense ne compte dans les rapports qu’après confirmation explicite et écriture locale réussie.</w:t>
      </w:r>
    </w:p>
    <w:p>
      <w:pPr>
        <w:pStyle w:val="ListBullet"/>
      </w:pPr>
      <w:r>
        <w:t>Un paiement échoué ou annulé ne compte pas comme dépense confirmée.</w:t>
      </w:r>
    </w:p>
    <w:p>
      <w:pPr>
        <w:pStyle w:val="ListBullet"/>
      </w:pPr>
      <w:r>
        <w:t>Un paiement en attente n’est pas comptabilisé comme dépense confirmée au MVP.</w:t>
      </w:r>
    </w:p>
    <w:p>
      <w:pPr>
        <w:pStyle w:val="ListBullet"/>
      </w:pPr>
      <w:r>
        <w:t>Les frais sont séparés lorsqu’ils sont explicitement identifiables ; sinon le montant global confirmé est utilisé.</w:t>
      </w:r>
    </w:p>
    <w:p>
      <w:pPr>
        <w:pStyle w:val="ListBullet"/>
      </w:pPr>
      <w:r>
        <w:t>Le total de sortie ne doit jamais additionner deux fois les frais.</w:t>
      </w:r>
    </w:p>
    <w:p>
      <w:pPr>
        <w:pStyle w:val="ListBullet"/>
      </w:pPr>
      <w:r>
        <w:t>Les XOF et GHS ne sont jamais additionnés directement ; une conversion exige un taux, une date et une validation visibles.</w:t>
      </w:r>
    </w:p>
    <w:p>
      <w:pPr>
        <w:pStyle w:val="ListBullet"/>
      </w:pPr>
      <w:r>
        <w:t>Un transfert entre comptes propres n’est pas une dépense de consommation.</w:t>
      </w:r>
    </w:p>
    <w:p>
      <w:pPr>
        <w:pStyle w:val="ListBullet"/>
      </w:pPr>
      <w:r>
        <w:t>Une capture de solde ne crée pas un revenu ou un versement.</w:t>
      </w:r>
    </w:p>
    <w:p>
      <w:pPr>
        <w:pStyle w:val="ListBullet"/>
      </w:pPr>
      <w:r>
        <w:t>Les dépassements de budget déclenchent un avertissement mais ne bloquent pas une dépense légitime.</w:t>
      </w:r>
    </w:p>
    <w:p>
      <w:pPr>
        <w:pStyle w:val="ListBullet"/>
      </w:pPr>
      <w:r>
        <w:t>Les corrections ou suppressions déclenchent le recalcul des budgets, bilans et profils d’habitudes.</w:t>
      </w:r>
    </w:p>
    <w:p>
      <w:r>
        <w:t>Exemple : montant principal de 5 000 XOF et frais explicites de 100 XOF donnent une sortie totale de 5 100 XOF. Si la capture ne détaille pas les frais, SEP enregistre le total global confirmé sans inventer de ventilation.</w:t>
      </w:r>
    </w:p>
    <w:p>
      <w:pPr>
        <w:pStyle w:val="Heading1"/>
      </w:pPr>
      <w:r>
        <w:t>9. Modèle de données indicatif</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82033"/>
          </w:tcPr>
          <w:p>
            <w:r/>
            <w:r>
              <w:rPr>
                <w:b/>
                <w:color w:val="FFFFFF"/>
                <w:sz w:val="18"/>
              </w:rPr>
              <w:t>Entité</w:t>
            </w:r>
          </w:p>
        </w:tc>
        <w:tc>
          <w:tcPr>
            <w:tcW w:type="dxa" w:w="4968"/>
            <w:shd w:fill="182033"/>
          </w:tcPr>
          <w:p>
            <w:r/>
            <w:r>
              <w:rPr>
                <w:b/>
                <w:color w:val="FFFFFF"/>
                <w:sz w:val="18"/>
              </w:rPr>
              <w:t>Champs indicatifs</w:t>
            </w:r>
          </w:p>
        </w:tc>
      </w:tr>
      <w:tr>
        <w:tc>
          <w:tcPr>
            <w:tcW w:type="dxa" w:w="4968"/>
          </w:tcPr>
          <w:p>
            <w:r/>
            <w:r>
              <w:rPr>
                <w:b w:val="0"/>
                <w:sz w:val="18"/>
              </w:rPr>
              <w:t>Installation</w:t>
            </w:r>
          </w:p>
        </w:tc>
        <w:tc>
          <w:tcPr>
            <w:tcW w:type="dxa" w:w="4968"/>
          </w:tcPr>
          <w:p>
            <w:r/>
            <w:r>
              <w:rPr>
                <w:b w:val="0"/>
                <w:sz w:val="18"/>
              </w:rPr>
              <w:t>installationId (UUIDv7), createdAt, schemaVersion, preferences</w:t>
            </w:r>
          </w:p>
        </w:tc>
      </w:tr>
      <w:tr>
        <w:tc>
          <w:tcPr>
            <w:tcW w:type="dxa" w:w="4968"/>
          </w:tcPr>
          <w:p>
            <w:r/>
            <w:r>
              <w:rPr>
                <w:b w:val="0"/>
                <w:sz w:val="18"/>
              </w:rPr>
              <w:t>Transaction</w:t>
            </w:r>
          </w:p>
        </w:tc>
        <w:tc>
          <w:tcPr>
            <w:tcW w:type="dxa" w:w="4968"/>
          </w:tcPr>
          <w:p>
            <w:r/>
            <w:r>
              <w:rPr>
                <w:b w:val="0"/>
                <w:sz w:val="18"/>
              </w:rPr>
              <w:t>id, type, amountMinorUnits/decimalExact, currency, occurredAt, categoryId, label, source, paymentStatus, createdAt, updatedAt</w:t>
            </w:r>
          </w:p>
        </w:tc>
      </w:tr>
      <w:tr>
        <w:tc>
          <w:tcPr>
            <w:tcW w:type="dxa" w:w="4968"/>
          </w:tcPr>
          <w:p>
            <w:r/>
            <w:r>
              <w:rPr>
                <w:b w:val="0"/>
                <w:sz w:val="18"/>
              </w:rPr>
              <w:t>TransactionEvidence</w:t>
            </w:r>
          </w:p>
        </w:tc>
        <w:tc>
          <w:tcPr>
            <w:tcW w:type="dxa" w:w="4968"/>
          </w:tcPr>
          <w:p>
            <w:r/>
            <w:r>
              <w:rPr>
                <w:b w:val="0"/>
                <w:sz w:val="18"/>
              </w:rPr>
              <w:t>id, transactionId, localPath/storageKey, mimeType, sizeBytes, checksum, createdAt</w:t>
            </w:r>
          </w:p>
        </w:tc>
      </w:tr>
      <w:tr>
        <w:tc>
          <w:tcPr>
            <w:tcW w:type="dxa" w:w="4968"/>
          </w:tcPr>
          <w:p>
            <w:r/>
            <w:r>
              <w:rPr>
                <w:b w:val="0"/>
                <w:sz w:val="18"/>
              </w:rPr>
              <w:t>ExtractionDraft</w:t>
            </w:r>
          </w:p>
        </w:tc>
        <w:tc>
          <w:tcPr>
            <w:tcW w:type="dxa" w:w="4968"/>
          </w:tcPr>
          <w:p>
            <w:r/>
            <w:r>
              <w:rPr>
                <w:b w:val="0"/>
                <w:sz w:val="18"/>
              </w:rPr>
              <w:t>id, evidenceId, documentType, extractedFields, confidenceByField, warnings, status, attemptCount</w:t>
            </w:r>
          </w:p>
        </w:tc>
      </w:tr>
      <w:tr>
        <w:tc>
          <w:tcPr>
            <w:tcW w:type="dxa" w:w="4968"/>
          </w:tcPr>
          <w:p>
            <w:r/>
            <w:r>
              <w:rPr>
                <w:b w:val="0"/>
                <w:sz w:val="18"/>
              </w:rPr>
              <w:t>TransactionFee</w:t>
            </w:r>
          </w:p>
        </w:tc>
        <w:tc>
          <w:tcPr>
            <w:tcW w:type="dxa" w:w="4968"/>
          </w:tcPr>
          <w:p>
            <w:r/>
            <w:r>
              <w:rPr>
                <w:b w:val="0"/>
                <w:sz w:val="18"/>
              </w:rPr>
              <w:t>id, transactionId, amount, currency, label</w:t>
            </w:r>
          </w:p>
        </w:tc>
      </w:tr>
      <w:tr>
        <w:tc>
          <w:tcPr>
            <w:tcW w:type="dxa" w:w="4968"/>
          </w:tcPr>
          <w:p>
            <w:r/>
            <w:r>
              <w:rPr>
                <w:b w:val="0"/>
                <w:sz w:val="18"/>
              </w:rPr>
              <w:t>ObservedBalance</w:t>
            </w:r>
          </w:p>
        </w:tc>
        <w:tc>
          <w:tcPr>
            <w:tcW w:type="dxa" w:w="4968"/>
          </w:tcPr>
          <w:p>
            <w:r/>
            <w:r>
              <w:rPr>
                <w:b w:val="0"/>
                <w:sz w:val="18"/>
              </w:rPr>
              <w:t>id, institutionId, amount, currency, observedAt, evidenceId</w:t>
            </w:r>
          </w:p>
        </w:tc>
      </w:tr>
      <w:tr>
        <w:tc>
          <w:tcPr>
            <w:tcW w:type="dxa" w:w="4968"/>
          </w:tcPr>
          <w:p>
            <w:r/>
            <w:r>
              <w:rPr>
                <w:b w:val="0"/>
                <w:sz w:val="18"/>
              </w:rPr>
              <w:t>Category</w:t>
            </w:r>
          </w:p>
        </w:tc>
        <w:tc>
          <w:tcPr>
            <w:tcW w:type="dxa" w:w="4968"/>
          </w:tcPr>
          <w:p>
            <w:r/>
            <w:r>
              <w:rPr>
                <w:b w:val="0"/>
                <w:sz w:val="18"/>
              </w:rPr>
              <w:t>id, name, parentId facultatif, isCustom, createdAt</w:t>
            </w:r>
          </w:p>
        </w:tc>
      </w:tr>
      <w:tr>
        <w:tc>
          <w:tcPr>
            <w:tcW w:type="dxa" w:w="4968"/>
          </w:tcPr>
          <w:p>
            <w:r/>
            <w:r>
              <w:rPr>
                <w:b w:val="0"/>
                <w:sz w:val="18"/>
              </w:rPr>
              <w:t>Budget</w:t>
            </w:r>
          </w:p>
        </w:tc>
        <w:tc>
          <w:tcPr>
            <w:tcW w:type="dxa" w:w="4968"/>
          </w:tcPr>
          <w:p>
            <w:r/>
            <w:r>
              <w:rPr>
                <w:b w:val="0"/>
                <w:sz w:val="18"/>
              </w:rPr>
              <w:t>id, categoryId, amount, currency, period, startDate, endDate</w:t>
            </w:r>
          </w:p>
        </w:tc>
      </w:tr>
      <w:tr>
        <w:tc>
          <w:tcPr>
            <w:tcW w:type="dxa" w:w="4968"/>
          </w:tcPr>
          <w:p>
            <w:r/>
            <w:r>
              <w:rPr>
                <w:b w:val="0"/>
                <w:sz w:val="18"/>
              </w:rPr>
              <w:t>SavingsGoal</w:t>
            </w:r>
          </w:p>
        </w:tc>
        <w:tc>
          <w:tcPr>
            <w:tcW w:type="dxa" w:w="4968"/>
          </w:tcPr>
          <w:p>
            <w:r/>
            <w:r>
              <w:rPr>
                <w:b w:val="0"/>
                <w:sz w:val="18"/>
              </w:rPr>
              <w:t>id, name, targetAmount, currency, targetDate facultative, currentProgress</w:t>
            </w:r>
          </w:p>
        </w:tc>
      </w:tr>
      <w:tr>
        <w:tc>
          <w:tcPr>
            <w:tcW w:type="dxa" w:w="4968"/>
          </w:tcPr>
          <w:p>
            <w:r/>
            <w:r>
              <w:rPr>
                <w:b w:val="0"/>
                <w:sz w:val="18"/>
              </w:rPr>
              <w:t>AntiImpulseSettings</w:t>
            </w:r>
          </w:p>
        </w:tc>
        <w:tc>
          <w:tcPr>
            <w:tcW w:type="dxa" w:w="4968"/>
          </w:tcPr>
          <w:p>
            <w:r/>
            <w:r>
              <w:rPr>
                <w:b w:val="0"/>
                <w:sz w:val="18"/>
              </w:rPr>
              <w:t>threshold, reflectionDelay, reminderSchedule, justificationRequired</w:t>
            </w:r>
          </w:p>
        </w:tc>
      </w:tr>
      <w:tr>
        <w:tc>
          <w:tcPr>
            <w:tcW w:type="dxa" w:w="4968"/>
          </w:tcPr>
          <w:p>
            <w:r/>
            <w:r>
              <w:rPr>
                <w:b w:val="0"/>
                <w:sz w:val="18"/>
              </w:rPr>
              <w:t>HabitStats</w:t>
            </w:r>
          </w:p>
        </w:tc>
        <w:tc>
          <w:tcPr>
            <w:tcW w:type="dxa" w:w="4968"/>
          </w:tcPr>
          <w:p>
            <w:r/>
            <w:r>
              <w:rPr>
                <w:b w:val="0"/>
                <w:sz w:val="18"/>
              </w:rPr>
              <w:t>categoryId, currency, sampleCount, medianAmount, frequency, updatedAt</w:t>
            </w:r>
          </w:p>
        </w:tc>
      </w:tr>
    </w:tbl>
    <w:p/>
    <w:p>
      <w:r>
        <w:t>Les valeurs monétaires doivent être représentées sans erreurs de virgule flottante, par exemple en unités mineures entières lorsque c’est approprié ou en décimaux exacts. Le schéma doit être versionné et les migrations testées. Les brouillons IA ne doivent pas être confondus avec les transactions confirmées.</w:t>
      </w:r>
    </w:p>
    <w:p>
      <w:pPr>
        <w:pStyle w:val="Heading1"/>
      </w:pPr>
      <w:r>
        <w:t>10. Architecture technique</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82033"/>
          </w:tcPr>
          <w:p>
            <w:r/>
            <w:r>
              <w:rPr>
                <w:b/>
                <w:color w:val="FFFFFF"/>
                <w:sz w:val="18"/>
              </w:rPr>
              <w:t>Couche</w:t>
            </w:r>
          </w:p>
        </w:tc>
        <w:tc>
          <w:tcPr>
            <w:tcW w:type="dxa" w:w="4968"/>
            <w:shd w:fill="182033"/>
          </w:tcPr>
          <w:p>
            <w:r/>
            <w:r>
              <w:rPr>
                <w:b/>
                <w:color w:val="FFFFFF"/>
                <w:sz w:val="18"/>
              </w:rPr>
              <w:t>Responsabilité</w:t>
            </w:r>
          </w:p>
        </w:tc>
      </w:tr>
      <w:tr>
        <w:tc>
          <w:tcPr>
            <w:tcW w:type="dxa" w:w="4968"/>
          </w:tcPr>
          <w:p>
            <w:r/>
            <w:r>
              <w:rPr>
                <w:b w:val="0"/>
                <w:sz w:val="18"/>
              </w:rPr>
              <w:t>Ionic + Angular + TypeScript</w:t>
            </w:r>
          </w:p>
        </w:tc>
        <w:tc>
          <w:tcPr>
            <w:tcW w:type="dxa" w:w="4968"/>
          </w:tcPr>
          <w:p>
            <w:r/>
            <w:r>
              <w:rPr>
                <w:b w:val="0"/>
                <w:sz w:val="18"/>
              </w:rPr>
              <w:t>Écrans, navigation, formulaires, prévisualisation et accessibilité.</w:t>
            </w:r>
          </w:p>
        </w:tc>
      </w:tr>
      <w:tr>
        <w:tc>
          <w:tcPr>
            <w:tcW w:type="dxa" w:w="4968"/>
          </w:tcPr>
          <w:p>
            <w:r/>
            <w:r>
              <w:rPr>
                <w:b w:val="0"/>
                <w:sz w:val="18"/>
              </w:rPr>
              <w:t>Services métier SEP</w:t>
            </w:r>
          </w:p>
        </w:tc>
        <w:tc>
          <w:tcPr>
            <w:tcW w:type="dxa" w:w="4968"/>
          </w:tcPr>
          <w:p>
            <w:r/>
            <w:r>
              <w:rPr>
                <w:b w:val="0"/>
                <w:sz w:val="18"/>
              </w:rPr>
              <w:t>Validations, budgets, anti-pulsion, règles de comptabilisation et statistiques.</w:t>
            </w:r>
          </w:p>
        </w:tc>
      </w:tr>
      <w:tr>
        <w:tc>
          <w:tcPr>
            <w:tcW w:type="dxa" w:w="4968"/>
          </w:tcPr>
          <w:p>
            <w:r/>
            <w:r>
              <w:rPr>
                <w:b w:val="0"/>
                <w:sz w:val="18"/>
              </w:rPr>
              <w:t>Repository IndexedDB</w:t>
            </w:r>
          </w:p>
        </w:tc>
        <w:tc>
          <w:tcPr>
            <w:tcW w:type="dxa" w:w="4968"/>
          </w:tcPr>
          <w:p>
            <w:r/>
            <w:r>
              <w:rPr>
                <w:b w:val="0"/>
                <w:sz w:val="18"/>
              </w:rPr>
              <w:t>Lecture/écriture locale, migrations et transactions atomiques.</w:t>
            </w:r>
          </w:p>
        </w:tc>
      </w:tr>
      <w:tr>
        <w:tc>
          <w:tcPr>
            <w:tcW w:type="dxa" w:w="4968"/>
          </w:tcPr>
          <w:p>
            <w:r/>
            <w:r>
              <w:rPr>
                <w:b w:val="0"/>
                <w:sz w:val="18"/>
              </w:rPr>
              <w:t>Stockage de fichiers local</w:t>
            </w:r>
          </w:p>
        </w:tc>
        <w:tc>
          <w:tcPr>
            <w:tcW w:type="dxa" w:w="4968"/>
          </w:tcPr>
          <w:p>
            <w:r/>
            <w:r>
              <w:rPr>
                <w:b w:val="0"/>
                <w:sz w:val="18"/>
              </w:rPr>
              <w:t>Conservation durable des images dans l’espace privé de l’application si la plateforme le permet.</w:t>
            </w:r>
          </w:p>
        </w:tc>
      </w:tr>
      <w:tr>
        <w:tc>
          <w:tcPr>
            <w:tcW w:type="dxa" w:w="4968"/>
          </w:tcPr>
          <w:p>
            <w:r/>
            <w:r>
              <w:rPr>
                <w:b w:val="0"/>
                <w:sz w:val="18"/>
              </w:rPr>
              <w:t>DocumentExtractionService</w:t>
            </w:r>
          </w:p>
        </w:tc>
        <w:tc>
          <w:tcPr>
            <w:tcW w:type="dxa" w:w="4968"/>
          </w:tcPr>
          <w:p>
            <w:r/>
            <w:r>
              <w:rPr>
                <w:b w:val="0"/>
                <w:sz w:val="18"/>
              </w:rPr>
              <w:t>Contrat indépendant du fournisseur IA, gestion des tentatives, délais et erreurs.</w:t>
            </w:r>
          </w:p>
        </w:tc>
      </w:tr>
      <w:tr>
        <w:tc>
          <w:tcPr>
            <w:tcW w:type="dxa" w:w="4968"/>
          </w:tcPr>
          <w:p>
            <w:r/>
            <w:r>
              <w:rPr>
                <w:b w:val="0"/>
                <w:sz w:val="18"/>
              </w:rPr>
              <w:t>Adaptateur OpenAI</w:t>
            </w:r>
          </w:p>
        </w:tc>
        <w:tc>
          <w:tcPr>
            <w:tcW w:type="dxa" w:w="4968"/>
          </w:tcPr>
          <w:p>
            <w:r/>
            <w:r>
              <w:rPr>
                <w:b w:val="0"/>
                <w:sz w:val="18"/>
              </w:rPr>
              <w:t>Appel distant, normalisation des résultats et validation de la sortie.</w:t>
            </w:r>
          </w:p>
        </w:tc>
      </w:tr>
      <w:tr>
        <w:tc>
          <w:tcPr>
            <w:tcW w:type="dxa" w:w="4968"/>
          </w:tcPr>
          <w:p>
            <w:r/>
            <w:r>
              <w:rPr>
                <w:b w:val="0"/>
                <w:sz w:val="18"/>
              </w:rPr>
              <w:t>Notifications locales</w:t>
            </w:r>
          </w:p>
        </w:tc>
        <w:tc>
          <w:tcPr>
            <w:tcW w:type="dxa" w:w="4968"/>
          </w:tcPr>
          <w:p>
            <w:r/>
            <w:r>
              <w:rPr>
                <w:b w:val="0"/>
                <w:sz w:val="18"/>
              </w:rPr>
              <w:t>Rappels d’épargne, bilans et délai de réflexion selon capacités de la plateforme.</w:t>
            </w:r>
          </w:p>
        </w:tc>
      </w:tr>
    </w:tbl>
    <w:p/>
    <w:p>
      <w:pPr>
        <w:pStyle w:val="Heading2"/>
      </w:pPr>
      <w:r>
        <w:t>10.1 Sécurité de l’appel OpenAI</w:t>
      </w:r>
    </w:p>
    <w:p>
      <w:pPr>
        <w:pStyle w:val="ListBullet"/>
      </w:pPr>
      <w:r>
        <w:t>Ne jamais embarquer une clé API OpenAI secrète dans le bundle web, l’application Android ou le dépôt Git.</w:t>
      </w:r>
    </w:p>
    <w:p>
      <w:pPr>
        <w:pStyle w:val="ListBullet"/>
      </w:pPr>
      <w:r>
        <w:t>Une application sans backend personnel ne peut pas garder secrète une clé utilisée directement côté client.</w:t>
      </w:r>
    </w:p>
    <w:p>
      <w:pPr>
        <w:pStyle w:val="ListBullet"/>
      </w:pPr>
      <w:r>
        <w:t>Choisir avant production un mécanisme d’accès sécurisé : fonction cloud gérée, passerelle contrôlée ou autre solution validée.</w:t>
      </w:r>
    </w:p>
    <w:p>
      <w:pPr>
        <w:pStyle w:val="ListBullet"/>
      </w:pPr>
      <w:r>
        <w:t>Limiter les tailles d’images et le nombre de tentatives ; appliquer des plafonds de dépenses côté fournisseur si disponibles.</w:t>
      </w:r>
    </w:p>
    <w:p>
      <w:pPr>
        <w:pStyle w:val="ListBullet"/>
      </w:pPr>
      <w:r>
        <w:t>Ne transmettre que les images nécessaires à l’extraction ; éviter d’envoyer des données supplémentaires.</w:t>
      </w:r>
    </w:p>
    <w:p>
      <w:pPr>
        <w:pStyle w:val="ListBullet"/>
      </w:pPr>
      <w:r>
        <w:t>Examiner les conditions de traitement, de conservation et de confidentialité du fournisseur avant lancement.</w:t>
      </w:r>
    </w:p>
    <w:p>
      <w:pPr>
        <w:pStyle w:val="ListBullet"/>
      </w:pPr>
      <w:r>
        <w:t>Ne pas envoyer les justificatifs à OpenAI sans informer clairement l’utilisateur.</w:t>
      </w:r>
    </w:p>
    <w:p>
      <w:pPr>
        <w:pStyle w:val="Heading2"/>
      </w:pPr>
      <w:r>
        <w:t>10.2 Gestion des images</w:t>
      </w:r>
    </w:p>
    <w:p>
      <w:pPr>
        <w:pStyle w:val="ListBullet"/>
      </w:pPr>
      <w:r>
        <w:t>Conserver l’original localement ; créer une copie redimensionnée ou recadrée pour l’analyse si nécessaire.</w:t>
      </w:r>
    </w:p>
    <w:p>
      <w:pPr>
        <w:pStyle w:val="ListBullet"/>
      </w:pPr>
      <w:r>
        <w:t>Valider type MIME, taille et décodage avant traitement.</w:t>
      </w:r>
    </w:p>
    <w:p>
      <w:pPr>
        <w:pStyle w:val="ListBullet"/>
      </w:pPr>
      <w:r>
        <w:t>Associer chaque preuve à un identifiant stable et à une empreinte de fichier.</w:t>
      </w:r>
    </w:p>
    <w:p>
      <w:pPr>
        <w:pStyle w:val="ListBullet"/>
      </w:pPr>
      <w:r>
        <w:t>Éviter de stocker de grandes images en base64 dans les enregistrements transactionnels.</w:t>
      </w:r>
    </w:p>
    <w:p>
      <w:pPr>
        <w:pStyle w:val="ListBullet"/>
      </w:pPr>
      <w:r>
        <w:t>Prévoir une gestion des fichiers orphelins et des opérations supprimées.</w:t>
      </w:r>
    </w:p>
    <w:p>
      <w:pPr>
        <w:pStyle w:val="ListBullet"/>
      </w:pPr>
      <w:r>
        <w:t>Informer que les données locales peuvent être perdues lors d’une désinstallation ou d’une panne, en l’absence de sauvegarde.</w:t>
      </w:r>
    </w:p>
    <w:p>
      <w:pPr>
        <w:pStyle w:val="Heading1"/>
      </w:pPr>
      <w:r>
        <w:t>11. Sécurité, confidentialité et sauvegarde</w:t>
      </w:r>
    </w:p>
    <w:p>
      <w:pPr>
        <w:pStyle w:val="ListBullet"/>
      </w:pPr>
      <w:r>
        <w:t>V1 sans authentification SEP et sans backend métier personnel.</w:t>
      </w:r>
    </w:p>
    <w:p>
      <w:pPr>
        <w:pStyle w:val="ListBullet"/>
      </w:pPr>
      <w:r>
        <w:t>Stockage local privé autant que possible ; protéger l’accès à l’appareil et éviter les logs contenant des données financières.</w:t>
      </w:r>
    </w:p>
    <w:p>
      <w:pPr>
        <w:pStyle w:val="ListBullet"/>
      </w:pPr>
      <w:r>
        <w:t>La capture est conservée localement systématiquement avec l’opération confirmée.</w:t>
      </w:r>
    </w:p>
    <w:p>
      <w:pPr>
        <w:pStyle w:val="ListBullet"/>
      </w:pPr>
      <w:r>
        <w:t>Définir une procédure de suppression d’une opération et de son justificatif associé, sous réserve des règles d’intégrité choisies.</w:t>
      </w:r>
    </w:p>
    <w:p>
      <w:pPr>
        <w:pStyle w:val="ListBullet"/>
      </w:pPr>
      <w:r>
        <w:t>Prévoir un export manuel des données comme mesure de récupération, sous réserve de finaliser son format et son chiffrement.</w:t>
      </w:r>
    </w:p>
    <w:p>
      <w:pPr>
        <w:pStyle w:val="ListBullet"/>
      </w:pPr>
      <w:r>
        <w:t>Expliquer que l’analyse IA transmet l’image à un fournisseur externe.</w:t>
      </w:r>
    </w:p>
    <w:p>
      <w:pPr>
        <w:pStyle w:val="ListBullet"/>
      </w:pPr>
      <w:r>
        <w:t>V2 : définir autorisation Google Drive, chiffrement des sauvegardes, conflits, déduplication et restauration.</w:t>
      </w:r>
    </w:p>
    <w:p>
      <w:pPr>
        <w:pStyle w:val="ListBullet"/>
      </w:pPr>
      <w:r>
        <w:t>L’UUIDv7 identifie une installation ou une entité ; ce n’est ni une authentification ni un chiffrement.</w:t>
      </w:r>
    </w:p>
    <w:p>
      <w:pPr>
        <w:pStyle w:val="Heading1"/>
      </w:pPr>
      <w:r>
        <w:t>12. Exigences non fonctionnelles</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82033"/>
          </w:tcPr>
          <w:p>
            <w:r/>
            <w:r>
              <w:rPr>
                <w:b/>
                <w:color w:val="FFFFFF"/>
                <w:sz w:val="18"/>
              </w:rPr>
              <w:t>ID</w:t>
            </w:r>
          </w:p>
        </w:tc>
        <w:tc>
          <w:tcPr>
            <w:tcW w:type="dxa" w:w="4968"/>
            <w:shd w:fill="182033"/>
          </w:tcPr>
          <w:p>
            <w:r/>
            <w:r>
              <w:rPr>
                <w:b/>
                <w:color w:val="FFFFFF"/>
                <w:sz w:val="18"/>
              </w:rPr>
              <w:t>Exigence</w:t>
            </w:r>
          </w:p>
        </w:tc>
      </w:tr>
      <w:tr>
        <w:tc>
          <w:tcPr>
            <w:tcW w:type="dxa" w:w="4968"/>
          </w:tcPr>
          <w:p>
            <w:r/>
            <w:r>
              <w:rPr>
                <w:b w:val="0"/>
                <w:sz w:val="18"/>
              </w:rPr>
              <w:t>NF-01</w:t>
            </w:r>
          </w:p>
        </w:tc>
        <w:tc>
          <w:tcPr>
            <w:tcW w:type="dxa" w:w="4968"/>
          </w:tcPr>
          <w:p>
            <w:r/>
            <w:r>
              <w:rPr>
                <w:b w:val="0"/>
                <w:sz w:val="18"/>
              </w:rPr>
              <w:t>La saisie manuelle et la consultation des données locales doivent fonctionner sans connexion.</w:t>
            </w:r>
          </w:p>
        </w:tc>
      </w:tr>
      <w:tr>
        <w:tc>
          <w:tcPr>
            <w:tcW w:type="dxa" w:w="4968"/>
          </w:tcPr>
          <w:p>
            <w:r/>
            <w:r>
              <w:rPr>
                <w:b w:val="0"/>
                <w:sz w:val="18"/>
              </w:rPr>
              <w:t>NF-02</w:t>
            </w:r>
          </w:p>
        </w:tc>
        <w:tc>
          <w:tcPr>
            <w:tcW w:type="dxa" w:w="4968"/>
          </w:tcPr>
          <w:p>
            <w:r/>
            <w:r>
              <w:rPr>
                <w:b w:val="0"/>
                <w:sz w:val="18"/>
              </w:rPr>
              <w:t>Aucun message de succès avant confirmation de l’écriture locale.</w:t>
            </w:r>
          </w:p>
        </w:tc>
      </w:tr>
      <w:tr>
        <w:tc>
          <w:tcPr>
            <w:tcW w:type="dxa" w:w="4968"/>
          </w:tcPr>
          <w:p>
            <w:r/>
            <w:r>
              <w:rPr>
                <w:b w:val="0"/>
                <w:sz w:val="18"/>
              </w:rPr>
              <w:t>NF-03</w:t>
            </w:r>
          </w:p>
        </w:tc>
        <w:tc>
          <w:tcPr>
            <w:tcW w:type="dxa" w:w="4968"/>
          </w:tcPr>
          <w:p>
            <w:r/>
            <w:r>
              <w:rPr>
                <w:b w:val="0"/>
                <w:sz w:val="18"/>
              </w:rPr>
              <w:t>L’interface doit rester utilisable sur petits écrans et avec des tailles de texte accessibles.</w:t>
            </w:r>
          </w:p>
        </w:tc>
      </w:tr>
      <w:tr>
        <w:tc>
          <w:tcPr>
            <w:tcW w:type="dxa" w:w="4968"/>
          </w:tcPr>
          <w:p>
            <w:r/>
            <w:r>
              <w:rPr>
                <w:b w:val="0"/>
                <w:sz w:val="18"/>
              </w:rPr>
              <w:t>NF-04</w:t>
            </w:r>
          </w:p>
        </w:tc>
        <w:tc>
          <w:tcPr>
            <w:tcW w:type="dxa" w:w="4968"/>
          </w:tcPr>
          <w:p>
            <w:r/>
            <w:r>
              <w:rPr>
                <w:b w:val="0"/>
                <w:sz w:val="18"/>
              </w:rPr>
              <w:t>Les erreurs réseau, IA et IndexedDB doivent être récupérables autant que possible.</w:t>
            </w:r>
          </w:p>
        </w:tc>
      </w:tr>
      <w:tr>
        <w:tc>
          <w:tcPr>
            <w:tcW w:type="dxa" w:w="4968"/>
          </w:tcPr>
          <w:p>
            <w:r/>
            <w:r>
              <w:rPr>
                <w:b w:val="0"/>
                <w:sz w:val="18"/>
              </w:rPr>
              <w:t>NF-05</w:t>
            </w:r>
          </w:p>
        </w:tc>
        <w:tc>
          <w:tcPr>
            <w:tcW w:type="dxa" w:w="4968"/>
          </w:tcPr>
          <w:p>
            <w:r/>
            <w:r>
              <w:rPr>
                <w:b w:val="0"/>
                <w:sz w:val="18"/>
              </w:rPr>
              <w:t>Les migrations de schéma doivent préserver les opérations existantes.</w:t>
            </w:r>
          </w:p>
        </w:tc>
      </w:tr>
      <w:tr>
        <w:tc>
          <w:tcPr>
            <w:tcW w:type="dxa" w:w="4968"/>
          </w:tcPr>
          <w:p>
            <w:r/>
            <w:r>
              <w:rPr>
                <w:b w:val="0"/>
                <w:sz w:val="18"/>
              </w:rPr>
              <w:t>NF-06</w:t>
            </w:r>
          </w:p>
        </w:tc>
        <w:tc>
          <w:tcPr>
            <w:tcW w:type="dxa" w:w="4968"/>
          </w:tcPr>
          <w:p>
            <w:r/>
            <w:r>
              <w:rPr>
                <w:b w:val="0"/>
                <w:sz w:val="18"/>
              </w:rPr>
              <w:t>Les rapports séparent les devises et distinguent flux confirmés et soldes observés.</w:t>
            </w:r>
          </w:p>
        </w:tc>
      </w:tr>
      <w:tr>
        <w:tc>
          <w:tcPr>
            <w:tcW w:type="dxa" w:w="4968"/>
          </w:tcPr>
          <w:p>
            <w:r/>
            <w:r>
              <w:rPr>
                <w:b w:val="0"/>
                <w:sz w:val="18"/>
              </w:rPr>
              <w:t>NF-07</w:t>
            </w:r>
          </w:p>
        </w:tc>
        <w:tc>
          <w:tcPr>
            <w:tcW w:type="dxa" w:w="4968"/>
          </w:tcPr>
          <w:p>
            <w:r/>
            <w:r>
              <w:rPr>
                <w:b w:val="0"/>
                <w:sz w:val="18"/>
              </w:rPr>
              <w:t>Les opérations critiques doivent résister aux doubles clics et tentatives répétées.</w:t>
            </w:r>
          </w:p>
        </w:tc>
      </w:tr>
      <w:tr>
        <w:tc>
          <w:tcPr>
            <w:tcW w:type="dxa" w:w="4968"/>
          </w:tcPr>
          <w:p>
            <w:r/>
            <w:r>
              <w:rPr>
                <w:b w:val="0"/>
                <w:sz w:val="18"/>
              </w:rPr>
              <w:t>NF-08</w:t>
            </w:r>
          </w:p>
        </w:tc>
        <w:tc>
          <w:tcPr>
            <w:tcW w:type="dxa" w:w="4968"/>
          </w:tcPr>
          <w:p>
            <w:r/>
            <w:r>
              <w:rPr>
                <w:b w:val="0"/>
                <w:sz w:val="18"/>
              </w:rPr>
              <w:t>Le fournisseur IA doit pouvoir être remplacé sans réécrire les règles métier.</w:t>
            </w:r>
          </w:p>
        </w:tc>
      </w:tr>
      <w:tr>
        <w:tc>
          <w:tcPr>
            <w:tcW w:type="dxa" w:w="4968"/>
          </w:tcPr>
          <w:p>
            <w:r/>
            <w:r>
              <w:rPr>
                <w:b w:val="0"/>
                <w:sz w:val="18"/>
              </w:rPr>
              <w:t>NF-09</w:t>
            </w:r>
          </w:p>
        </w:tc>
        <w:tc>
          <w:tcPr>
            <w:tcW w:type="dxa" w:w="4968"/>
          </w:tcPr>
          <w:p>
            <w:r/>
            <w:r>
              <w:rPr>
                <w:b w:val="0"/>
                <w:sz w:val="18"/>
              </w:rPr>
              <w:t>Les données sensibles ne doivent pas apparaître dans les journaux techniques par défaut.</w:t>
            </w:r>
          </w:p>
        </w:tc>
      </w:tr>
      <w:tr>
        <w:tc>
          <w:tcPr>
            <w:tcW w:type="dxa" w:w="4968"/>
          </w:tcPr>
          <w:p>
            <w:r/>
            <w:r>
              <w:rPr>
                <w:b w:val="0"/>
                <w:sz w:val="18"/>
              </w:rPr>
              <w:t>NF-10</w:t>
            </w:r>
          </w:p>
        </w:tc>
        <w:tc>
          <w:tcPr>
            <w:tcW w:type="dxa" w:w="4968"/>
          </w:tcPr>
          <w:p>
            <w:r/>
            <w:r>
              <w:rPr>
                <w:b w:val="0"/>
                <w:sz w:val="18"/>
              </w:rPr>
              <w:t>La taille des justificatifs et la capacité de stockage doivent être surveillées.</w:t>
            </w:r>
          </w:p>
        </w:tc>
      </w:tr>
    </w:tbl>
    <w:p/>
    <w:p>
      <w:pPr>
        <w:pStyle w:val="Heading1"/>
      </w:pPr>
      <w:r>
        <w:t>13. Critères d’acceptation et tests</w:t>
      </w:r>
    </w:p>
    <w:p>
      <w:pPr>
        <w:pStyle w:val="Heading2"/>
      </w:pPr>
      <w:r>
        <w:t>13.1 Tests fonctionnels indispensables</w:t>
      </w:r>
    </w:p>
    <w:p>
      <w:pPr>
        <w:pStyle w:val="ListBullet"/>
      </w:pPr>
      <w:r>
        <w:t>Le premier lancement crée une installation UUIDv7 et ne recrée pas l’identifiant aux lancements suivants.</w:t>
      </w:r>
    </w:p>
    <w:p>
      <w:pPr>
        <w:pStyle w:val="ListBullet"/>
      </w:pPr>
      <w:r>
        <w:t>Une dépense manuelle peut être créée hors ligne.</w:t>
      </w:r>
    </w:p>
    <w:p>
      <w:pPr>
        <w:pStyle w:val="ListBullet"/>
      </w:pPr>
      <w:r>
        <w:t>Une capture numérique et un reçu papier peuvent être importés et prévisualisés.</w:t>
      </w:r>
    </w:p>
    <w:p>
      <w:pPr>
        <w:pStyle w:val="ListBullet"/>
      </w:pPr>
      <w:r>
        <w:t>Aucune capture n’est envoyée au fournisseur avant l’action d’analyse et l’information/autorisation requise.</w:t>
      </w:r>
    </w:p>
    <w:p>
      <w:pPr>
        <w:pStyle w:val="ListBullet"/>
      </w:pPr>
      <w:r>
        <w:t>Le résultat IA est normalisé et présenté avant toute comptabilisation.</w:t>
      </w:r>
    </w:p>
    <w:p>
      <w:pPr>
        <w:pStyle w:val="ListBullet"/>
      </w:pPr>
      <w:r>
        <w:t>Les champs incomplets ou ambigus bloquent la confirmation jusqu’à résolution.</w:t>
      </w:r>
    </w:p>
    <w:p>
      <w:pPr>
        <w:pStyle w:val="ListBullet"/>
      </w:pPr>
      <w:r>
        <w:t>Une dépense échouée, annulée ou en attente ne compte pas comme dépense confirmée.</w:t>
      </w:r>
    </w:p>
    <w:p>
      <w:pPr>
        <w:pStyle w:val="ListBullet"/>
      </w:pPr>
      <w:r>
        <w:t>La catégorie IA est confirmée ou corrigée par l’utilisateur.</w:t>
      </w:r>
    </w:p>
    <w:p>
      <w:pPr>
        <w:pStyle w:val="ListBullet"/>
      </w:pPr>
      <w:r>
        <w:t>Les frais explicites sont séparés sans double comptabilisation.</w:t>
      </w:r>
    </w:p>
    <w:p>
      <w:pPr>
        <w:pStyle w:val="ListBullet"/>
      </w:pPr>
      <w:r>
        <w:t>Un doublon suspect affiche un avertissement et demande confirmation.</w:t>
      </w:r>
    </w:p>
    <w:p>
      <w:pPr>
        <w:pStyle w:val="ListBullet"/>
      </w:pPr>
      <w:r>
        <w:t>Une panne IA conduit à une nouvelle tentative puis à la saisie manuelle.</w:t>
      </w:r>
    </w:p>
    <w:p>
      <w:pPr>
        <w:pStyle w:val="ListBullet"/>
      </w:pPr>
      <w:r>
        <w:t>Un échec d’écriture locale ne crée pas de succès fictif ni de doublon à la reprise.</w:t>
      </w:r>
    </w:p>
    <w:p>
      <w:pPr>
        <w:pStyle w:val="ListBullet"/>
      </w:pPr>
      <w:r>
        <w:t>La preuve est conservée localement avec l’opération confirmée.</w:t>
      </w:r>
    </w:p>
    <w:p>
      <w:pPr>
        <w:pStyle w:val="ListBullet"/>
      </w:pPr>
      <w:r>
        <w:t>Les bilans quotidien et hebdomadaire sont recalculés après création, modification et suppression.</w:t>
      </w:r>
    </w:p>
    <w:p>
      <w:pPr>
        <w:pStyle w:val="ListBullet"/>
      </w:pPr>
      <w:r>
        <w:t>Les données XOF et GHS sont agrégées séparément.</w:t>
      </w:r>
    </w:p>
    <w:p>
      <w:pPr>
        <w:pStyle w:val="Heading2"/>
      </w:pPr>
      <w:r>
        <w:t>13.2 Tests de sécurité et robustesse</w:t>
      </w:r>
    </w:p>
    <w:p>
      <w:pPr>
        <w:pStyle w:val="ListBullet"/>
      </w:pPr>
      <w:r>
        <w:t>Vérifier qu’aucune clé OpenAI secrète n’est présente dans le bundle ou le dépôt.</w:t>
      </w:r>
    </w:p>
    <w:p>
      <w:pPr>
        <w:pStyle w:val="ListBullet"/>
      </w:pPr>
      <w:r>
        <w:t>Tester les réponses mal formées, délais dépassés, erreurs de quota et perte de connexion.</w:t>
      </w:r>
    </w:p>
    <w:p>
      <w:pPr>
        <w:pStyle w:val="ListBullet"/>
      </w:pPr>
      <w:r>
        <w:t>Tester les images trop grandes, corrompues, floues, tournées et contenant plusieurs montants.</w:t>
      </w:r>
    </w:p>
    <w:p>
      <w:pPr>
        <w:pStyle w:val="ListBullet"/>
      </w:pPr>
      <w:r>
        <w:t>Tester le double clic sur Confirmer et la reprise après fermeture de l’application.</w:t>
      </w:r>
    </w:p>
    <w:p>
      <w:pPr>
        <w:pStyle w:val="ListBullet"/>
      </w:pPr>
      <w:r>
        <w:t>Vérifier qu’aucun détail financier sensible n’est écrit dans les logs.</w:t>
      </w:r>
    </w:p>
    <w:p>
      <w:pPr>
        <w:pStyle w:val="ListBullet"/>
      </w:pPr>
      <w:r>
        <w:t>Tester la migration IndexedDB depuis chaque version de schéma prise en charge.</w:t>
      </w:r>
    </w:p>
    <w:p>
      <w:pPr>
        <w:pStyle w:val="Heading1"/>
      </w:pPr>
      <w:r>
        <w:t>14. Hors périmètre et V2</w:t>
      </w:r>
    </w:p>
    <w:p>
      <w:pPr>
        <w:pStyle w:val="Heading2"/>
      </w:pPr>
      <w:r>
        <w:t>14.1 V2 — Google Drive</w:t>
      </w:r>
    </w:p>
    <w:p>
      <w:pPr>
        <w:pStyle w:val="ListBullet"/>
      </w:pPr>
      <w:r>
        <w:t>Connexion OAuth Google distincte de l’identité locale SEP.</w:t>
      </w:r>
    </w:p>
    <w:p>
      <w:pPr>
        <w:pStyle w:val="ListBullet"/>
      </w:pPr>
      <w:r>
        <w:t>Sauvegarde/restauration des données et justificatifs selon une politique explicite.</w:t>
      </w:r>
    </w:p>
    <w:p>
      <w:pPr>
        <w:pStyle w:val="ListBullet"/>
      </w:pPr>
      <w:r>
        <w:t>Chiffrement, gestion de clé et récupération à concevoir avant synchronisation.</w:t>
      </w:r>
    </w:p>
    <w:p>
      <w:pPr>
        <w:pStyle w:val="ListBullet"/>
      </w:pPr>
      <w:r>
        <w:t>Résolution des conflits et déduplication entre appareils.</w:t>
      </w:r>
    </w:p>
    <w:p>
      <w:pPr>
        <w:pStyle w:val="ListBullet"/>
      </w:pPr>
      <w:r>
        <w:t>Migration de schéma et restauration testée sur un appareil neuf.</w:t>
      </w:r>
    </w:p>
    <w:p>
      <w:pPr>
        <w:pStyle w:val="Heading2"/>
      </w:pPr>
      <w:r>
        <w:t>14.2 Autres évolutions possibles</w:t>
      </w:r>
    </w:p>
    <w:p>
      <w:pPr>
        <w:pStyle w:val="ListBullet"/>
      </w:pPr>
      <w:r>
        <w:t>Import de relevés PDF ou CSV.</w:t>
      </w:r>
    </w:p>
    <w:p>
      <w:pPr>
        <w:pStyle w:val="ListBullet"/>
      </w:pPr>
      <w:r>
        <w:t>Prise en charge de plusieurs langues et catégories personnalisées avancées.</w:t>
      </w:r>
    </w:p>
    <w:p>
      <w:pPr>
        <w:pStyle w:val="ListBullet"/>
      </w:pPr>
      <w:r>
        <w:t>Export chiffré et restauration locale guidée.</w:t>
      </w:r>
    </w:p>
    <w:p>
      <w:pPr>
        <w:pStyle w:val="ListBullet"/>
      </w:pPr>
      <w:r>
        <w:t>Amélioration des suggestions de catégories sur la base des corrections confirmées.</w:t>
      </w:r>
    </w:p>
    <w:p>
      <w:pPr>
        <w:pStyle w:val="Heading1"/>
      </w:pPr>
      <w:r>
        <w:t>15. Décisions restantes</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82033"/>
          </w:tcPr>
          <w:p>
            <w:r/>
            <w:r>
              <w:rPr>
                <w:b/>
                <w:color w:val="FFFFFF"/>
                <w:sz w:val="18"/>
              </w:rPr>
              <w:t>Décision</w:t>
            </w:r>
          </w:p>
        </w:tc>
        <w:tc>
          <w:tcPr>
            <w:tcW w:type="dxa" w:w="4968"/>
            <w:shd w:fill="182033"/>
          </w:tcPr>
          <w:p>
            <w:r/>
            <w:r>
              <w:rPr>
                <w:b/>
                <w:color w:val="FFFFFF"/>
                <w:sz w:val="18"/>
              </w:rPr>
              <w:t>État / recommandation</w:t>
            </w:r>
          </w:p>
        </w:tc>
      </w:tr>
      <w:tr>
        <w:tc>
          <w:tcPr>
            <w:tcW w:type="dxa" w:w="4968"/>
          </w:tcPr>
          <w:p>
            <w:r/>
            <w:r>
              <w:rPr>
                <w:b w:val="0"/>
                <w:sz w:val="18"/>
              </w:rPr>
              <w:t>Fournisseur IA</w:t>
            </w:r>
          </w:p>
        </w:tc>
        <w:tc>
          <w:tcPr>
            <w:tcW w:type="dxa" w:w="4968"/>
          </w:tcPr>
          <w:p>
            <w:r/>
            <w:r>
              <w:rPr>
                <w:b w:val="0"/>
                <w:sz w:val="18"/>
              </w:rPr>
              <w:t>OpenAI décidé ; modèle exact et limites de coût à sélectionner après essais.</w:t>
            </w:r>
          </w:p>
        </w:tc>
      </w:tr>
      <w:tr>
        <w:tc>
          <w:tcPr>
            <w:tcW w:type="dxa" w:w="4968"/>
          </w:tcPr>
          <w:p>
            <w:r/>
            <w:r>
              <w:rPr>
                <w:b w:val="0"/>
                <w:sz w:val="18"/>
              </w:rPr>
              <w:t>Accès sécurisé API</w:t>
            </w:r>
          </w:p>
        </w:tc>
        <w:tc>
          <w:tcPr>
            <w:tcW w:type="dxa" w:w="4968"/>
          </w:tcPr>
          <w:p>
            <w:r/>
            <w:r>
              <w:rPr>
                <w:b w:val="0"/>
                <w:sz w:val="18"/>
              </w:rPr>
              <w:t>Bloquant avant production : choisir une passerelle/fonction gérée ou une autre méthode sans clé embarquée.</w:t>
            </w:r>
          </w:p>
        </w:tc>
      </w:tr>
      <w:tr>
        <w:tc>
          <w:tcPr>
            <w:tcW w:type="dxa" w:w="4968"/>
          </w:tcPr>
          <w:p>
            <w:r/>
            <w:r>
              <w:rPr>
                <w:b w:val="0"/>
                <w:sz w:val="18"/>
              </w:rPr>
              <w:t>Budget IA</w:t>
            </w:r>
          </w:p>
        </w:tc>
        <w:tc>
          <w:tcPr>
            <w:tcW w:type="dxa" w:w="4968"/>
          </w:tcPr>
          <w:p>
            <w:r/>
            <w:r>
              <w:rPr>
                <w:b w:val="0"/>
                <w:sz w:val="18"/>
              </w:rPr>
              <w:t>Fixer une limite mensuelle et une taille maximale de fichier.</w:t>
            </w:r>
          </w:p>
        </w:tc>
      </w:tr>
      <w:tr>
        <w:tc>
          <w:tcPr>
            <w:tcW w:type="dxa" w:w="4968"/>
          </w:tcPr>
          <w:p>
            <w:r/>
            <w:r>
              <w:rPr>
                <w:b w:val="0"/>
                <w:sz w:val="18"/>
              </w:rPr>
              <w:t>Seuil achat important</w:t>
            </w:r>
          </w:p>
        </w:tc>
        <w:tc>
          <w:tcPr>
            <w:tcW w:type="dxa" w:w="4968"/>
          </w:tcPr>
          <w:p>
            <w:r/>
            <w:r>
              <w:rPr>
                <w:b w:val="0"/>
                <w:sz w:val="18"/>
              </w:rPr>
              <w:t>À configurer : montant fixe par devise ou seuils distincts XOF/GHS.</w:t>
            </w:r>
          </w:p>
        </w:tc>
      </w:tr>
      <w:tr>
        <w:tc>
          <w:tcPr>
            <w:tcW w:type="dxa" w:w="4968"/>
          </w:tcPr>
          <w:p>
            <w:r/>
            <w:r>
              <w:rPr>
                <w:b w:val="0"/>
                <w:sz w:val="18"/>
              </w:rPr>
              <w:t>Délai de réflexion</w:t>
            </w:r>
          </w:p>
        </w:tc>
        <w:tc>
          <w:tcPr>
            <w:tcW w:type="dxa" w:w="4968"/>
          </w:tcPr>
          <w:p>
            <w:r/>
            <w:r>
              <w:rPr>
                <w:b w:val="0"/>
                <w:sz w:val="18"/>
              </w:rPr>
              <w:t>À configurer (ex. choix de durée dans les paramètres).</w:t>
            </w:r>
          </w:p>
        </w:tc>
      </w:tr>
      <w:tr>
        <w:tc>
          <w:tcPr>
            <w:tcW w:type="dxa" w:w="4968"/>
          </w:tcPr>
          <w:p>
            <w:r/>
            <w:r>
              <w:rPr>
                <w:b w:val="0"/>
                <w:sz w:val="18"/>
              </w:rPr>
              <w:t>Catégories initiales</w:t>
            </w:r>
          </w:p>
        </w:tc>
        <w:tc>
          <w:tcPr>
            <w:tcW w:type="dxa" w:w="4968"/>
          </w:tcPr>
          <w:p>
            <w:r/>
            <w:r>
              <w:rPr>
                <w:b w:val="0"/>
                <w:sz w:val="18"/>
              </w:rPr>
              <w:t>Valider la liste et les catégories personnalisables.</w:t>
            </w:r>
          </w:p>
        </w:tc>
      </w:tr>
      <w:tr>
        <w:tc>
          <w:tcPr>
            <w:tcW w:type="dxa" w:w="4968"/>
          </w:tcPr>
          <w:p>
            <w:r/>
            <w:r>
              <w:rPr>
                <w:b w:val="0"/>
                <w:sz w:val="18"/>
              </w:rPr>
              <w:t>Export manuel V1</w:t>
            </w:r>
          </w:p>
        </w:tc>
        <w:tc>
          <w:tcPr>
            <w:tcW w:type="dxa" w:w="4968"/>
          </w:tcPr>
          <w:p>
            <w:r/>
            <w:r>
              <w:rPr>
                <w:b w:val="0"/>
                <w:sz w:val="18"/>
              </w:rPr>
              <w:t>Confirmer format, chiffrement et procédure de restauration.</w:t>
            </w:r>
          </w:p>
        </w:tc>
      </w:tr>
      <w:tr>
        <w:tc>
          <w:tcPr>
            <w:tcW w:type="dxa" w:w="4968"/>
          </w:tcPr>
          <w:p>
            <w:r/>
            <w:r>
              <w:rPr>
                <w:b w:val="0"/>
                <w:sz w:val="18"/>
              </w:rPr>
              <w:t>Suppression des opérations</w:t>
            </w:r>
          </w:p>
        </w:tc>
        <w:tc>
          <w:tcPr>
            <w:tcW w:type="dxa" w:w="4968"/>
          </w:tcPr>
          <w:p>
            <w:r/>
            <w:r>
              <w:rPr>
                <w:b w:val="0"/>
                <w:sz w:val="18"/>
              </w:rPr>
              <w:t>Définir confirmation, suppression de preuve et éventuelle corbeille.</w:t>
            </w:r>
          </w:p>
        </w:tc>
      </w:tr>
      <w:tr>
        <w:tc>
          <w:tcPr>
            <w:tcW w:type="dxa" w:w="4968"/>
          </w:tcPr>
          <w:p>
            <w:r/>
            <w:r>
              <w:rPr>
                <w:b w:val="0"/>
                <w:sz w:val="18"/>
              </w:rPr>
              <w:t>Formats et limites d’image</w:t>
            </w:r>
          </w:p>
        </w:tc>
        <w:tc>
          <w:tcPr>
            <w:tcW w:type="dxa" w:w="4968"/>
          </w:tcPr>
          <w:p>
            <w:r/>
            <w:r>
              <w:rPr>
                <w:b w:val="0"/>
                <w:sz w:val="18"/>
              </w:rPr>
              <w:t>Fixer formats, poids maximal et dimensions après tests sur appareils cibles.</w:t>
            </w:r>
          </w:p>
        </w:tc>
      </w:tr>
      <w:tr>
        <w:tc>
          <w:tcPr>
            <w:tcW w:type="dxa" w:w="4968"/>
          </w:tcPr>
          <w:p>
            <w:r/>
            <w:r>
              <w:rPr>
                <w:b w:val="0"/>
                <w:sz w:val="18"/>
              </w:rPr>
              <w:t>Arborescence finale des 3 menus</w:t>
            </w:r>
          </w:p>
        </w:tc>
        <w:tc>
          <w:tcPr>
            <w:tcW w:type="dxa" w:w="4968"/>
          </w:tcPr>
          <w:p>
            <w:r/>
            <w:r>
              <w:rPr>
                <w:b w:val="0"/>
                <w:sz w:val="18"/>
              </w:rPr>
              <w:t>Valider les deux destinations latérales et le contenu du tableau de bord.</w:t>
            </w:r>
          </w:p>
        </w:tc>
      </w:tr>
      <w:tr>
        <w:tc>
          <w:tcPr>
            <w:tcW w:type="dxa" w:w="4968"/>
          </w:tcPr>
          <w:p>
            <w:r/>
            <w:r>
              <w:rPr>
                <w:b w:val="0"/>
                <w:sz w:val="18"/>
              </w:rPr>
              <w:t>Plateformes cibles</w:t>
            </w:r>
          </w:p>
        </w:tc>
        <w:tc>
          <w:tcPr>
            <w:tcW w:type="dxa" w:w="4968"/>
          </w:tcPr>
          <w:p>
            <w:r/>
            <w:r>
              <w:rPr>
                <w:b w:val="0"/>
                <w:sz w:val="18"/>
              </w:rPr>
              <w:t>Confirmer Android seul au départ ou Android et iOS.</w:t>
            </w:r>
          </w:p>
        </w:tc>
      </w:tr>
      <w:tr>
        <w:tc>
          <w:tcPr>
            <w:tcW w:type="dxa" w:w="4968"/>
          </w:tcPr>
          <w:p>
            <w:r/>
            <w:r>
              <w:rPr>
                <w:b w:val="0"/>
                <w:sz w:val="18"/>
              </w:rPr>
              <w:t>Notifications</w:t>
            </w:r>
          </w:p>
        </w:tc>
        <w:tc>
          <w:tcPr>
            <w:tcW w:type="dxa" w:w="4968"/>
          </w:tcPr>
          <w:p>
            <w:r/>
            <w:r>
              <w:rPr>
                <w:b w:val="0"/>
                <w:sz w:val="18"/>
              </w:rPr>
              <w:t>Vérifier capacités et permissions selon plateforme.</w:t>
            </w:r>
          </w:p>
        </w:tc>
      </w:tr>
    </w:tbl>
    <w:p/>
    <w:p>
      <w:r>
        <w:t>Les éléments marqués comme restants ne bloquent pas la rédaction du cahier des charges, mais certains doivent être décidés avant l’intégration réelle du fournisseur IA et la mise en production.</w:t>
      </w:r>
    </w:p>
    <w:p>
      <w:pPr>
        <w:pStyle w:val="Heading1"/>
      </w:pPr>
      <w:r>
        <w:t>16. Plan de réalisation proposé</w:t>
      </w:r>
    </w:p>
    <w:tbl>
      <w:tblPr>
        <w:tblStyle w:val="LightShading-Accent1"/>
        <w:tblW w:type="auto" w:w="0"/>
        <w:tblLayout w:type="autofit"/>
        <w:tblLook w:firstColumn="1" w:firstRow="1" w:lastColumn="0" w:lastRow="0" w:noHBand="0" w:noVBand="1" w:val="04A0"/>
      </w:tblPr>
      <w:tblGrid>
        <w:gridCol w:w="3312"/>
        <w:gridCol w:w="3312"/>
        <w:gridCol w:w="3312"/>
      </w:tblGrid>
      <w:tr>
        <w:tc>
          <w:tcPr>
            <w:tcW w:type="dxa" w:w="3312"/>
            <w:shd w:fill="182033"/>
          </w:tcPr>
          <w:p>
            <w:r/>
            <w:r>
              <w:rPr>
                <w:b/>
                <w:color w:val="FFFFFF"/>
                <w:sz w:val="18"/>
              </w:rPr>
              <w:t>Lot</w:t>
            </w:r>
          </w:p>
        </w:tc>
        <w:tc>
          <w:tcPr>
            <w:tcW w:type="dxa" w:w="3312"/>
            <w:shd w:fill="182033"/>
          </w:tcPr>
          <w:p>
            <w:r/>
            <w:r>
              <w:rPr>
                <w:b/>
                <w:color w:val="FFFFFF"/>
                <w:sz w:val="18"/>
              </w:rPr>
              <w:t>Livrable</w:t>
            </w:r>
          </w:p>
        </w:tc>
        <w:tc>
          <w:tcPr>
            <w:tcW w:type="dxa" w:w="3312"/>
            <w:shd w:fill="182033"/>
          </w:tcPr>
          <w:p>
            <w:r/>
            <w:r>
              <w:rPr>
                <w:b/>
                <w:color w:val="FFFFFF"/>
                <w:sz w:val="18"/>
              </w:rPr>
              <w:t>Critère de sortie</w:t>
            </w:r>
          </w:p>
        </w:tc>
      </w:tr>
      <w:tr>
        <w:tc>
          <w:tcPr>
            <w:tcW w:type="dxa" w:w="3312"/>
          </w:tcPr>
          <w:p>
            <w:r/>
            <w:r>
              <w:rPr>
                <w:b w:val="0"/>
                <w:sz w:val="18"/>
              </w:rPr>
              <w:t>Lot 1 — Fondations</w:t>
            </w:r>
          </w:p>
        </w:tc>
        <w:tc>
          <w:tcPr>
            <w:tcW w:type="dxa" w:w="3312"/>
          </w:tcPr>
          <w:p>
            <w:r/>
            <w:r>
              <w:rPr>
                <w:b w:val="0"/>
                <w:sz w:val="18"/>
              </w:rPr>
              <w:t>Projet Ionic/Angular, navigation, onboarding, UUIDv7, IndexedDB et migrations.</w:t>
            </w:r>
          </w:p>
        </w:tc>
        <w:tc>
          <w:tcPr>
            <w:tcW w:type="dxa" w:w="3312"/>
          </w:tcPr>
          <w:p>
            <w:r/>
            <w:r>
              <w:rPr>
                <w:b w:val="0"/>
                <w:sz w:val="18"/>
              </w:rPr>
              <w:t>Données initialisées et persistantes après redémarrage.</w:t>
            </w:r>
          </w:p>
        </w:tc>
      </w:tr>
      <w:tr>
        <w:tc>
          <w:tcPr>
            <w:tcW w:type="dxa" w:w="3312"/>
          </w:tcPr>
          <w:p>
            <w:r/>
            <w:r>
              <w:rPr>
                <w:b w:val="0"/>
                <w:sz w:val="18"/>
              </w:rPr>
              <w:t>Lot 2 — Transactions</w:t>
            </w:r>
          </w:p>
        </w:tc>
        <w:tc>
          <w:tcPr>
            <w:tcW w:type="dxa" w:w="3312"/>
          </w:tcPr>
          <w:p>
            <w:r/>
            <w:r>
              <w:rPr>
                <w:b w:val="0"/>
                <w:sz w:val="18"/>
              </w:rPr>
              <w:t>Saisie manuelle, catégories, devises, budgets et historique.</w:t>
            </w:r>
          </w:p>
        </w:tc>
        <w:tc>
          <w:tcPr>
            <w:tcW w:type="dxa" w:w="3312"/>
          </w:tcPr>
          <w:p>
            <w:r/>
            <w:r>
              <w:rPr>
                <w:b w:val="0"/>
                <w:sz w:val="18"/>
              </w:rPr>
              <w:t>Opérations cohérentes et calculs testés.</w:t>
            </w:r>
          </w:p>
        </w:tc>
      </w:tr>
      <w:tr>
        <w:tc>
          <w:tcPr>
            <w:tcW w:type="dxa" w:w="3312"/>
          </w:tcPr>
          <w:p>
            <w:r/>
            <w:r>
              <w:rPr>
                <w:b w:val="0"/>
                <w:sz w:val="18"/>
              </w:rPr>
              <w:t>Lot 3 — Preuves locales</w:t>
            </w:r>
          </w:p>
        </w:tc>
        <w:tc>
          <w:tcPr>
            <w:tcW w:type="dxa" w:w="3312"/>
          </w:tcPr>
          <w:p>
            <w:r/>
            <w:r>
              <w:rPr>
                <w:b w:val="0"/>
                <w:sz w:val="18"/>
              </w:rPr>
              <w:t>Import, aperçu, recadrage et stockage local des images.</w:t>
            </w:r>
          </w:p>
        </w:tc>
        <w:tc>
          <w:tcPr>
            <w:tcW w:type="dxa" w:w="3312"/>
          </w:tcPr>
          <w:p>
            <w:r/>
            <w:r>
              <w:rPr>
                <w:b w:val="0"/>
                <w:sz w:val="18"/>
              </w:rPr>
              <w:t>Justificatif associé et lisible après redémarrage.</w:t>
            </w:r>
          </w:p>
        </w:tc>
      </w:tr>
      <w:tr>
        <w:tc>
          <w:tcPr>
            <w:tcW w:type="dxa" w:w="3312"/>
          </w:tcPr>
          <w:p>
            <w:r/>
            <w:r>
              <w:rPr>
                <w:b w:val="0"/>
                <w:sz w:val="18"/>
              </w:rPr>
              <w:t>Lot 4 — Extraction simulée</w:t>
            </w:r>
          </w:p>
        </w:tc>
        <w:tc>
          <w:tcPr>
            <w:tcW w:type="dxa" w:w="3312"/>
          </w:tcPr>
          <w:p>
            <w:r/>
            <w:r>
              <w:rPr>
                <w:b w:val="0"/>
                <w:sz w:val="18"/>
              </w:rPr>
              <w:t>DocumentExtractionService, prévisualisation et erreurs avec adaptateur mock.</w:t>
            </w:r>
          </w:p>
        </w:tc>
        <w:tc>
          <w:tcPr>
            <w:tcW w:type="dxa" w:w="3312"/>
          </w:tcPr>
          <w:p>
            <w:r/>
            <w:r>
              <w:rPr>
                <w:b w:val="0"/>
                <w:sz w:val="18"/>
              </w:rPr>
              <w:t>Parcours testable sans appels payants.</w:t>
            </w:r>
          </w:p>
        </w:tc>
      </w:tr>
      <w:tr>
        <w:tc>
          <w:tcPr>
            <w:tcW w:type="dxa" w:w="3312"/>
          </w:tcPr>
          <w:p>
            <w:r/>
            <w:r>
              <w:rPr>
                <w:b w:val="0"/>
                <w:sz w:val="18"/>
              </w:rPr>
              <w:t>Lot 5 — OpenAI</w:t>
            </w:r>
          </w:p>
        </w:tc>
        <w:tc>
          <w:tcPr>
            <w:tcW w:type="dxa" w:w="3312"/>
          </w:tcPr>
          <w:p>
            <w:r/>
            <w:r>
              <w:rPr>
                <w:b w:val="0"/>
                <w:sz w:val="18"/>
              </w:rPr>
              <w:t>Adaptateur réel et accès sécurisé au fournisseur.</w:t>
            </w:r>
          </w:p>
        </w:tc>
        <w:tc>
          <w:tcPr>
            <w:tcW w:type="dxa" w:w="3312"/>
          </w:tcPr>
          <w:p>
            <w:r/>
            <w:r>
              <w:rPr>
                <w:b w:val="0"/>
                <w:sz w:val="18"/>
              </w:rPr>
              <w:t>Tests de qualité et de sécurité passés.</w:t>
            </w:r>
          </w:p>
        </w:tc>
      </w:tr>
      <w:tr>
        <w:tc>
          <w:tcPr>
            <w:tcW w:type="dxa" w:w="3312"/>
          </w:tcPr>
          <w:p>
            <w:r/>
            <w:r>
              <w:rPr>
                <w:b w:val="0"/>
                <w:sz w:val="18"/>
              </w:rPr>
              <w:t>Lot 6 — Règles avancées</w:t>
            </w:r>
          </w:p>
        </w:tc>
        <w:tc>
          <w:tcPr>
            <w:tcW w:type="dxa" w:w="3312"/>
          </w:tcPr>
          <w:p>
            <w:r/>
            <w:r>
              <w:rPr>
                <w:b w:val="0"/>
                <w:sz w:val="18"/>
              </w:rPr>
              <w:t>Doublons, frais, statuts, Anti-Pulsion et apprentissage local.</w:t>
            </w:r>
          </w:p>
        </w:tc>
        <w:tc>
          <w:tcPr>
            <w:tcW w:type="dxa" w:w="3312"/>
          </w:tcPr>
          <w:p>
            <w:r/>
            <w:r>
              <w:rPr>
                <w:b w:val="0"/>
                <w:sz w:val="18"/>
              </w:rPr>
              <w:t>Critères métier validés.</w:t>
            </w:r>
          </w:p>
        </w:tc>
      </w:tr>
      <w:tr>
        <w:tc>
          <w:tcPr>
            <w:tcW w:type="dxa" w:w="3312"/>
          </w:tcPr>
          <w:p>
            <w:r/>
            <w:r>
              <w:rPr>
                <w:b w:val="0"/>
                <w:sz w:val="18"/>
              </w:rPr>
              <w:t>Lot 7 — Bilans et recette</w:t>
            </w:r>
          </w:p>
        </w:tc>
        <w:tc>
          <w:tcPr>
            <w:tcW w:type="dxa" w:w="3312"/>
          </w:tcPr>
          <w:p>
            <w:r/>
            <w:r>
              <w:rPr>
                <w:b w:val="0"/>
                <w:sz w:val="18"/>
              </w:rPr>
              <w:t>Bilans quotidiens/hebdomadaires, tests de bout en bout et documentation.</w:t>
            </w:r>
          </w:p>
        </w:tc>
        <w:tc>
          <w:tcPr>
            <w:tcW w:type="dxa" w:w="3312"/>
          </w:tcPr>
          <w:p>
            <w:r/>
            <w:r>
              <w:rPr>
                <w:b w:val="0"/>
                <w:sz w:val="18"/>
              </w:rPr>
              <w:t>Recette MVP acceptée.</w:t>
            </w:r>
          </w:p>
        </w:tc>
      </w:tr>
      <w:tr>
        <w:tc>
          <w:tcPr>
            <w:tcW w:type="dxa" w:w="3312"/>
          </w:tcPr>
          <w:p>
            <w:r/>
            <w:r>
              <w:rPr>
                <w:b w:val="0"/>
                <w:sz w:val="18"/>
              </w:rPr>
              <w:t>V2</w:t>
            </w:r>
          </w:p>
        </w:tc>
        <w:tc>
          <w:tcPr>
            <w:tcW w:type="dxa" w:w="3312"/>
          </w:tcPr>
          <w:p>
            <w:r/>
            <w:r>
              <w:rPr>
                <w:b w:val="0"/>
                <w:sz w:val="18"/>
              </w:rPr>
              <w:t>Google Drive, synchronisation, conflits et restauration.</w:t>
            </w:r>
          </w:p>
        </w:tc>
        <w:tc>
          <w:tcPr>
            <w:tcW w:type="dxa" w:w="3312"/>
          </w:tcPr>
          <w:p>
            <w:r/>
            <w:r>
              <w:rPr>
                <w:b w:val="0"/>
                <w:sz w:val="18"/>
              </w:rPr>
              <w:t>Spécification et tests de synchronisation séparés.</w:t>
            </w:r>
          </w:p>
        </w:tc>
      </w:tr>
    </w:tbl>
    <w:p/>
    <w:p>
      <w:pPr>
        <w:pStyle w:val="Heading1"/>
      </w:pPr>
      <w:r>
        <w:t>Conclusion</w:t>
      </w:r>
    </w:p>
    <w:p>
      <w:r>
        <w:t>SEP V1 est une application personnelle local-first de gestion budgétaire et de maîtrise des achats impulsifs. L’IA OpenAI aide à lire les justificatifs, mais ne décide jamais seule de la comptabilisation. La fiabilité du produit repose sur la prévisualisation obligatoire, les validations métier, le stockage local robuste et la séparation entre dépenses confirmées et soldes simplement observés.</w:t>
      </w:r>
    </w:p>
    <w:p>
      <w:r>
        <w:t>Le prochain livrable conseillé est le dossier de conception technique : structure des dossiers Angular, contrats TypeScript, schéma IndexedDB/Dexie, interfaces des services et premières maquettes des trois destinations de navigation.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SEP — Cahier des charges fonctionnel et technique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03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77C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