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4A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CE4EC"/>
                <w:sz w:val="20"/>
                <w:szCs w:val="20"/>
              </w:rPr>
              <w:t xml:space="preserve">A TEAM ADVISORY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Professional Services — App Placement Strategy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CE4EC"/>
                <w:sz w:val="20"/>
                <w:szCs w:val="20"/>
              </w:rPr>
              <w:t xml:space="preserve">May 2026  ·  All 10 Members  ·  Confidential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B1A4A"/>
          <w:sz w:val="32"/>
          <w:szCs w:val="32"/>
        </w:rPr>
        <w:t xml:space="preserve">The Question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A2E"/>
          <w:sz w:val="22"/>
          <w:szCs w:val="22"/>
        </w:rPr>
        <w:t xml:space="preserve">Should the Professional Services feature live in the user's Settings / Profile screen, or should it be placed elsewhere in the app navigation?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Current app tabs: Home · Memories · Vault · Family · Settings</w:t>
      </w:r>
    </w:p>
    <w:p>
      <w:pPr>
        <w:pBdr>
          <w:bottom w:val="single" w:color="EECDD8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B1A4A"/>
          <w:sz w:val="32"/>
          <w:szCs w:val="32"/>
        </w:rPr>
        <w:t xml:space="preserve">Consolidated Recommendations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A2E"/>
          <w:sz w:val="22"/>
          <w:szCs w:val="22"/>
        </w:rPr>
        <w:t xml:space="preserve">The team reached a clear consensus. Key findings: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4A"/>
                <w:sz w:val="20"/>
                <w:szCs w:val="20"/>
              </w:rPr>
              <w:t xml:space="preserve">Unanimous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2E"/>
                <w:sz w:val="20"/>
                <w:szCs w:val="20"/>
              </w:rPr>
              <w:t xml:space="preserve">Do NOT place Professional Services in Settings — all 10 members agreed this would kill discoverability and partner revenue.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4A"/>
                <w:sz w:val="20"/>
                <w:szCs w:val="20"/>
              </w:rPr>
              <w:t xml:space="preserve">Strong majority (8/10)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2E"/>
                <w:sz w:val="20"/>
                <w:szCs w:val="20"/>
              </w:rPr>
              <w:t xml:space="preserve">Home card is the correct v1 placement. Low dev cost, high visibility, easy to measure.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4A"/>
                <w:sz w:val="20"/>
                <w:szCs w:val="20"/>
              </w:rPr>
              <w:t xml:space="preserve">Notable split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2E"/>
                <w:sz w:val="20"/>
                <w:szCs w:val="20"/>
              </w:rPr>
              <w:t xml:space="preserve">Robert Chang recommends dual placement — Home card + contextual Vault prompt when user is in Legal or Financial category. Maya Torres and Dr. Kim support this as a Phase 2 enhancement.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4A"/>
                <w:sz w:val="20"/>
                <w:szCs w:val="20"/>
              </w:rPr>
              <w:t xml:space="preserve">Naming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2E"/>
                <w:sz w:val="20"/>
                <w:szCs w:val="20"/>
              </w:rPr>
              <w:t xml:space="preserve">James Okafor and Maya Torres both flagged the label: "Trusted Partners" or "Connect with a Professional" performs better than the utilitarian "Professional Services".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4A"/>
                <w:sz w:val="20"/>
                <w:szCs w:val="20"/>
              </w:rPr>
              <w:t xml:space="preserve">Legal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2E"/>
                <w:sz w:val="20"/>
                <w:szCs w:val="20"/>
              </w:rPr>
              <w:t xml:space="preserve">Emma Walsh requires: (1) disclaimer that Solace Life does not provide professional advice, (2) consent language on the inquiry form, (3) privacy policy link.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4A"/>
                <w:sz w:val="20"/>
                <w:szCs w:val="20"/>
              </w:rPr>
              <w:t xml:space="preserve">Metrics gate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2E"/>
                <w:sz w:val="20"/>
                <w:szCs w:val="20"/>
              </w:rPr>
              <w:t xml:space="preserve">Jordan Park's framework: if tap-through rate exceeds 10% in first 30 days, promote to a dedicated tab. Otherwise, keep as Home card and optimise the card copy.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4A"/>
                <w:sz w:val="20"/>
                <w:szCs w:val="20"/>
              </w:rPr>
              <w:t xml:space="preserve">Phase 2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2E"/>
                <w:sz w:val="20"/>
                <w:szCs w:val="20"/>
              </w:rPr>
              <w:t xml:space="preserve">Contextual Vault triggers (e.g., "Want help from an estate lawyer?" after adding a Legal item) — supported by Robert Chang, Maya Torres, and Dr. Webb.</w:t>
            </w:r>
          </w:p>
        </w:tc>
      </w:tr>
    </w:tbl>
    <w:p>
      <w:r>
        <w:t xml:space="preserve"/>
      </w:r>
    </w:p>
    <w:p>
      <w:pPr>
        <w:pBdr>
          <w:bottom w:val="single" w:color="EECDD8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B1A4A"/>
          <w:sz w:val="32"/>
          <w:szCs w:val="32"/>
        </w:rPr>
        <w:t xml:space="preserve">Individual Member Reviews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1A4A"/>
                <w:sz w:val="24"/>
                <w:szCs w:val="24"/>
              </w:rPr>
              <w:t xml:space="preserve">Diana Lowe</w:t>
            </w: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   · 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Co-Founder &amp; Chief Strategy Officer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8860A"/>
                <w:sz w:val="21"/>
                <w:szCs w:val="21"/>
              </w:rPr>
              <w:t xml:space="preserve">Verdict: </w:t>
            </w:r>
            <w:r>
              <w:rPr>
                <w:rFonts w:ascii="Arial" w:cs="Arial" w:eastAsia="Arial" w:hAnsi="Arial"/>
                <w:b/>
                <w:bCs/>
                <w:color w:val="C8860A"/>
                <w:sz w:val="21"/>
                <w:szCs w:val="21"/>
              </w:rPr>
              <w:t xml:space="preserve">Dedicated tab or Home card — NOT buried in Settings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2C1A2E"/>
                <w:sz w:val="20"/>
                <w:szCs w:val="20"/>
              </w:rPr>
              <w:t xml:space="preserve">Professional Services is a core revenue driver, not a setting. Hiding it in Profile treats it like account management. It needs visibility proportional to its business importance.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1A2E"/>
                <w:sz w:val="20"/>
                <w:szCs w:val="20"/>
              </w:rPr>
              <w:t xml:space="preserve">Add a "Services" tab in the main tab bar, or a prominent Home card that is always visible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1A2E"/>
                <w:sz w:val="20"/>
                <w:szCs w:val="20"/>
              </w:rPr>
              <w:t xml:space="preserve">Settings is where users go to manage their account — not to discover new services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1A2E"/>
                <w:sz w:val="20"/>
                <w:szCs w:val="20"/>
              </w:rPr>
              <w:t xml:space="preserve">The entry point should feel like a natural next step in their estate journey, not an afterthought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1A2E"/>
                <w:sz w:val="20"/>
                <w:szCs w:val="20"/>
              </w:rPr>
              <w:t xml:space="preserve">Consider placement after Vault in the tab order — logical progression from planning to acting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1A4A"/>
                <w:sz w:val="24"/>
                <w:szCs w:val="24"/>
              </w:rPr>
              <w:t xml:space="preserve">Alex Chen</w:t>
            </w: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   · 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Lead Engineer / CTO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8860A"/>
                <w:sz w:val="21"/>
                <w:szCs w:val="21"/>
              </w:rPr>
              <w:t xml:space="preserve">Verdict: </w:t>
            </w:r>
            <w:r>
              <w:rPr>
                <w:rFonts w:ascii="Arial" w:cs="Arial" w:eastAsia="Arial" w:hAnsi="Arial"/>
                <w:b/>
                <w:bCs/>
                <w:color w:val="C8860A"/>
                <w:sz w:val="21"/>
                <w:szCs w:val="21"/>
              </w:rPr>
              <w:t xml:space="preserve">Home card now — dedicated tab at scale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2C1A2E"/>
                <w:sz w:val="20"/>
                <w:szCs w:val="20"/>
              </w:rPr>
              <w:t xml:space="preserve">From an architecture standpoint, Settings is a graveyard for discoverability. A Home card costs minimal dev effort and keeps the feature accessible without a full navigation overhaul.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1A2E"/>
                <w:sz w:val="20"/>
                <w:szCs w:val="20"/>
              </w:rPr>
              <w:t xml:space="preserve">A modal triggered from Home is the fastest, lowest-risk path to production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1A2E"/>
                <w:sz w:val="20"/>
                <w:szCs w:val="20"/>
              </w:rPr>
              <w:t xml:space="preserve">If engagement data shows high usage, promote to a full tab in the next sprint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1A2E"/>
                <w:sz w:val="20"/>
                <w:szCs w:val="20"/>
              </w:rPr>
              <w:t xml:space="preserve">Avoid adding a 6th tab prematurely — tab bar cognitive load is real on mobile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1A2E"/>
                <w:sz w:val="20"/>
                <w:szCs w:val="20"/>
              </w:rPr>
              <w:t xml:space="preserve">The ProfessionalServicesModal.tsx already built is the right pattern — wire it to Home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1A4A"/>
                <w:sz w:val="24"/>
                <w:szCs w:val="24"/>
              </w:rPr>
              <w:t xml:space="preserve">Maya Torres</w:t>
            </w: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   · 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Head of Product &amp; UX Design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8860A"/>
                <w:sz w:val="21"/>
                <w:szCs w:val="21"/>
              </w:rPr>
              <w:t xml:space="preserve">Verdict: </w:t>
            </w:r>
            <w:r>
              <w:rPr>
                <w:rFonts w:ascii="Arial" w:cs="Arial" w:eastAsia="Arial" w:hAnsi="Arial"/>
                <w:b/>
                <w:bCs/>
                <w:color w:val="C8860A"/>
                <w:sz w:val="21"/>
                <w:szCs w:val="21"/>
              </w:rPr>
              <w:t xml:space="preserve">Home card with contextual triggers — never in Settings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2C1A2E"/>
                <w:sz w:val="20"/>
                <w:szCs w:val="20"/>
              </w:rPr>
              <w:t xml:space="preserve">UX research consistently shows that features buried in Settings get 60-80% less engagement. Professional Services needs to be surfaced contextually — when the user is thinking about their future.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1A2E"/>
                <w:sz w:val="20"/>
                <w:szCs w:val="20"/>
              </w:rPr>
              <w:t xml:space="preserve">Home card is correct for v1 — it sits alongside the emotional journey content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1A2E"/>
                <w:sz w:val="20"/>
                <w:szCs w:val="20"/>
              </w:rPr>
              <w:t xml:space="preserve">Add contextual triggers: after a user adds a will to their Vault, surface "Talk to an Estate Lawyer"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1A2E"/>
                <w:sz w:val="20"/>
                <w:szCs w:val="20"/>
              </w:rPr>
              <w:t xml:space="preserve">The card should feel like a trusted recommendation, not a menu item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1A2E"/>
                <w:sz w:val="20"/>
                <w:szCs w:val="20"/>
              </w:rPr>
              <w:t xml:space="preserve">Long-term: a "Next Steps" section on Home that dynamically surfaces relevant services based on vault completion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1A4A"/>
                <w:sz w:val="24"/>
                <w:szCs w:val="24"/>
              </w:rPr>
              <w:t xml:space="preserve">James Okafor</w:t>
            </w: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   · 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Growth &amp; Marketing Strategist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8860A"/>
                <w:sz w:val="21"/>
                <w:szCs w:val="21"/>
              </w:rPr>
              <w:t xml:space="preserve">Verdict: </w:t>
            </w:r>
            <w:r>
              <w:rPr>
                <w:rFonts w:ascii="Arial" w:cs="Arial" w:eastAsia="Arial" w:hAnsi="Arial"/>
                <w:b/>
                <w:bCs/>
                <w:color w:val="C8860A"/>
                <w:sz w:val="21"/>
                <w:szCs w:val="21"/>
              </w:rPr>
              <w:t xml:space="preserve">Home card — it is a growth channel, treat it like one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2C1A2E"/>
                <w:sz w:val="20"/>
                <w:szCs w:val="20"/>
              </w:rPr>
              <w:t xml:space="preserve">Every referral generated through Professional Services is revenue. You do not hide a revenue channel in Settings. This belongs front-and-centre in the user journey.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1A2E"/>
                <w:sz w:val="20"/>
                <w:szCs w:val="20"/>
              </w:rPr>
              <w:t xml:space="preserve">Position as "Trusted Partners" not just "Professional Services" — warmer, less transactional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1A2E"/>
                <w:sz w:val="20"/>
                <w:szCs w:val="20"/>
              </w:rPr>
              <w:t xml:space="preserve">Home card placement puts it in front of users at the moment of highest intent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1A2E"/>
                <w:sz w:val="20"/>
                <w:szCs w:val="20"/>
              </w:rPr>
              <w:t xml:space="preserve">Track tap-through rate on the card — this metric tells you when to promote it to a tab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1A2E"/>
                <w:sz w:val="20"/>
                <w:szCs w:val="20"/>
              </w:rPr>
              <w:t xml:space="preserve">Consider a badge or "New" indicator when a user first becomes eligible to see partner referrals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1A4A"/>
                <w:sz w:val="24"/>
                <w:szCs w:val="24"/>
              </w:rPr>
              <w:t xml:space="preserve">Dr. Sarah Kim</w:t>
            </w: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   · 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Market Research &amp; Consumer Psychology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8860A"/>
                <w:sz w:val="21"/>
                <w:szCs w:val="21"/>
              </w:rPr>
              <w:t xml:space="preserve">Verdict: </w:t>
            </w:r>
            <w:r>
              <w:rPr>
                <w:rFonts w:ascii="Arial" w:cs="Arial" w:eastAsia="Arial" w:hAnsi="Arial"/>
                <w:b/>
                <w:bCs/>
                <w:color w:val="C8860A"/>
                <w:sz w:val="21"/>
                <w:szCs w:val="21"/>
              </w:rPr>
              <w:t xml:space="preserve">Contextual Home placement — timing is everything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2C1A2E"/>
                <w:sz w:val="20"/>
                <w:szCs w:val="20"/>
              </w:rPr>
              <w:t xml:space="preserve">Users visiting a legacy and estate app are already in a planning mindset. Professional services feel most relevant when presented in that same emotional context, not sandwiched between password fields in Settings.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1A2E"/>
                <w:sz w:val="20"/>
                <w:szCs w:val="20"/>
              </w:rPr>
              <w:t xml:space="preserve">The psychological moment of maximum receptivity is right after a user adds vault content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1A2E"/>
                <w:sz w:val="20"/>
                <w:szCs w:val="20"/>
              </w:rPr>
              <w:t xml:space="preserve">Frame services as "people who can help you complete your plan" — not as ads or upsells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1A2E"/>
                <w:sz w:val="20"/>
                <w:szCs w:val="20"/>
              </w:rPr>
              <w:t xml:space="preserve">Home card language matters: "Connect with a trusted estate lawyer in your area" outperforms "Professional Services"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1A2E"/>
                <w:sz w:val="20"/>
                <w:szCs w:val="20"/>
              </w:rPr>
              <w:t xml:space="preserve">Avoid surfacing services too early in onboarding — wait until the user has demonstrated intent (added 1+ vault item)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1A4A"/>
                <w:sz w:val="24"/>
                <w:szCs w:val="24"/>
              </w:rPr>
              <w:t xml:space="preserve">Michael Reeves</w:t>
            </w: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   · 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Financial Analyst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8860A"/>
                <w:sz w:val="21"/>
                <w:szCs w:val="21"/>
              </w:rPr>
              <w:t xml:space="preserve">Verdict: </w:t>
            </w:r>
            <w:r>
              <w:rPr>
                <w:rFonts w:ascii="Arial" w:cs="Arial" w:eastAsia="Arial" w:hAnsi="Arial"/>
                <w:b/>
                <w:bCs/>
                <w:color w:val="C8860A"/>
                <w:sz w:val="21"/>
                <w:szCs w:val="21"/>
              </w:rPr>
              <w:t xml:space="preserve">Home card — revenue attribution depends on visibility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2C1A2E"/>
                <w:sz w:val="20"/>
                <w:szCs w:val="20"/>
              </w:rPr>
              <w:t xml:space="preserve">From a financial modelling perspective, partner referral revenue is tied directly to conversion rate, which is tied directly to feature discoverability. Settings placement would materially reduce projected partner revenue.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1A2E"/>
                <w:sz w:val="20"/>
                <w:szCs w:val="20"/>
              </w:rPr>
              <w:t xml:space="preserve">Our Y2 projections assume $1.17M in partner revenue — that number assumes reasonable conversion rates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1A2E"/>
                <w:sz w:val="20"/>
                <w:szCs w:val="20"/>
              </w:rPr>
              <w:t xml:space="preserve">Moving to Settings would likely reduce discovery by 50%+ and cut projected partner revenue accordingly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1A2E"/>
                <w:sz w:val="20"/>
                <w:szCs w:val="20"/>
              </w:rPr>
              <w:t xml:space="preserve">Home card maintains the funnel integrity the financial model is built 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1A2E"/>
                <w:sz w:val="20"/>
                <w:szCs w:val="20"/>
              </w:rPr>
              <w:t xml:space="preserve">Build a referral counter in the admin dashboard so partner revenue can be tracked from day one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1A4A"/>
                <w:sz w:val="24"/>
                <w:szCs w:val="24"/>
              </w:rPr>
              <w:t xml:space="preserve">Robert Chang</w:t>
            </w: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   · 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Chief Financial Advisor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8860A"/>
                <w:sz w:val="21"/>
                <w:szCs w:val="21"/>
              </w:rPr>
              <w:t xml:space="preserve">Verdict: </w:t>
            </w:r>
            <w:r>
              <w:rPr>
                <w:rFonts w:ascii="Arial" w:cs="Arial" w:eastAsia="Arial" w:hAnsi="Arial"/>
                <w:b/>
                <w:bCs/>
                <w:color w:val="C8860A"/>
                <w:sz w:val="21"/>
                <w:szCs w:val="21"/>
              </w:rPr>
              <w:t xml:space="preserve">Vault screen AND Home card — dual placement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2C1A2E"/>
                <w:sz w:val="20"/>
                <w:szCs w:val="20"/>
              </w:rPr>
              <w:t xml:space="preserve">The most natural moment to think about a financial advisor or estate lawyer is when you are actively working in the Vault. I would put a subtle entry point there as well as on Home.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1A2E"/>
                <w:sz w:val="20"/>
                <w:szCs w:val="20"/>
              </w:rPr>
              <w:t xml:space="preserve">Vault screen could show a "Need help with this?" prompt when a user is in the Legal or Financial category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1A2E"/>
                <w:sz w:val="20"/>
                <w:szCs w:val="20"/>
              </w:rPr>
              <w:t xml:space="preserve">Home card handles broader awareness; Vault entry handles conversion at the point of intent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1A2E"/>
                <w:sz w:val="20"/>
                <w:szCs w:val="20"/>
              </w:rPr>
              <w:t xml:space="preserve">Do not make it feel like a sales pitch — "Would you like help from a professional?" after category selection is warm and non-intrusive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1A2E"/>
                <w:sz w:val="20"/>
                <w:szCs w:val="20"/>
              </w:rPr>
              <w:t xml:space="preserve">This dual placement could double referral conversion compared to a single touchpoint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1A4A"/>
                <w:sz w:val="24"/>
                <w:szCs w:val="24"/>
              </w:rPr>
              <w:t xml:space="preserve">Emma Walsh</w:t>
            </w: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   · 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Legal &amp; Compliance Counsel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8860A"/>
                <w:sz w:val="21"/>
                <w:szCs w:val="21"/>
              </w:rPr>
              <w:t xml:space="preserve">Verdict: </w:t>
            </w:r>
            <w:r>
              <w:rPr>
                <w:rFonts w:ascii="Arial" w:cs="Arial" w:eastAsia="Arial" w:hAnsi="Arial"/>
                <w:b/>
                <w:bCs/>
                <w:color w:val="C8860A"/>
                <w:sz w:val="21"/>
                <w:szCs w:val="21"/>
              </w:rPr>
              <w:t xml:space="preserve">Home card — with clear disclaimers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2C1A2E"/>
                <w:sz w:val="20"/>
                <w:szCs w:val="20"/>
              </w:rPr>
              <w:t xml:space="preserve">Wherever this lives, the language must be careful. Solace Life is making an introduction, not providing legal, financial, or medical advice. The placement matters less than the framing.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1A2E"/>
                <w:sz w:val="20"/>
                <w:szCs w:val="20"/>
              </w:rPr>
              <w:t xml:space="preserve">Include a one-line disclaimer: "Solace Life introduces you to partners — we do not provide legal or financial advice"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1A2E"/>
                <w:sz w:val="20"/>
                <w:szCs w:val="20"/>
              </w:rPr>
              <w:t xml:space="preserve">Home card placement is fine legally — it is no different than a referral directory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1A2E"/>
                <w:sz w:val="20"/>
                <w:szCs w:val="20"/>
              </w:rPr>
              <w:t xml:space="preserve">Do not use language like "our lawyers" or "our advisors" — say "trusted partners in our network"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1A2E"/>
                <w:sz w:val="20"/>
                <w:szCs w:val="20"/>
              </w:rPr>
              <w:t xml:space="preserve">Ensure the inquiry form includes consent language: "By submitting, you agree to be contacted by a Solace Life partner"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1A2E"/>
                <w:sz w:val="20"/>
                <w:szCs w:val="20"/>
              </w:rPr>
              <w:t xml:space="preserve">PIPEDA applies to the contact info shared — include a link to your privacy policy on the form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1A4A"/>
                <w:sz w:val="24"/>
                <w:szCs w:val="24"/>
              </w:rPr>
              <w:t xml:space="preserve">Dr. Marcus Webb</w:t>
            </w: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   · 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Behavioral Economist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8860A"/>
                <w:sz w:val="21"/>
                <w:szCs w:val="21"/>
              </w:rPr>
              <w:t xml:space="preserve">Verdict: </w:t>
            </w:r>
            <w:r>
              <w:rPr>
                <w:rFonts w:ascii="Arial" w:cs="Arial" w:eastAsia="Arial" w:hAnsi="Arial"/>
                <w:b/>
                <w:bCs/>
                <w:color w:val="C8860A"/>
                <w:sz w:val="21"/>
                <w:szCs w:val="21"/>
              </w:rPr>
              <w:t xml:space="preserve">Home card — leverage the planning mindset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2C1A2E"/>
                <w:sz w:val="20"/>
                <w:szCs w:val="20"/>
              </w:rPr>
              <w:t xml:space="preserve">Behavioral economics tells us that people are most likely to take action on adjacent services when they are already in a decision-making frame. The Solace Life app puts users in that frame. Settings does not.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1A2E"/>
                <w:sz w:val="20"/>
                <w:szCs w:val="20"/>
              </w:rPr>
              <w:t xml:space="preserve">The "planning mindset" activated by vault and memory creation is the exact state you want when surfacing professional services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1A2E"/>
                <w:sz w:val="20"/>
                <w:szCs w:val="20"/>
              </w:rPr>
              <w:t xml:space="preserve">Present services as reducing friction in something the user is already trying to do, not as a new ask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1A2E"/>
                <w:sz w:val="20"/>
                <w:szCs w:val="20"/>
              </w:rPr>
              <w:t xml:space="preserve">Choice architecture: show 2-3 most relevant services prominently rather than a full grid — reduces decision fatigue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1A2E"/>
                <w:sz w:val="20"/>
                <w:szCs w:val="20"/>
              </w:rPr>
              <w:t xml:space="preserve">Consider showing "most requested in your area" as a social proof nudge on the Home card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1A4A"/>
                <w:sz w:val="24"/>
                <w:szCs w:val="24"/>
              </w:rPr>
              <w:t xml:space="preserve">Jordan Park</w:t>
            </w: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   · 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Growth &amp; Deployment Strategist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8860A"/>
                <w:sz w:val="21"/>
                <w:szCs w:val="21"/>
              </w:rPr>
              <w:t xml:space="preserve">Verdict: </w:t>
            </w:r>
            <w:r>
              <w:rPr>
                <w:rFonts w:ascii="Arial" w:cs="Arial" w:eastAsia="Arial" w:hAnsi="Arial"/>
                <w:b/>
                <w:bCs/>
                <w:color w:val="C8860A"/>
                <w:sz w:val="21"/>
                <w:szCs w:val="21"/>
              </w:rPr>
              <w:t xml:space="preserve">Home card for MVP — promote to tab at 10K users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2C1A2E"/>
                <w:sz w:val="20"/>
                <w:szCs w:val="20"/>
              </w:rPr>
              <w:t xml:space="preserve">Classic launch sequencing: validate the referral model with a card first. If tap-through rate exceeds 8%, you have earned the right to a dedicated tab. Ship fast, measure, then invest.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1A2E"/>
                <w:sz w:val="20"/>
                <w:szCs w:val="20"/>
              </w:rPr>
              <w:t xml:space="preserve">Home card is the right MVP — minimum surface area, maximum learning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1A2E"/>
                <w:sz w:val="20"/>
                <w:szCs w:val="20"/>
              </w:rPr>
              <w:t xml:space="preserve">Instrument it immediately: track impressions, taps, form completions, and partner contacts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1A2E"/>
                <w:sz w:val="20"/>
                <w:szCs w:val="20"/>
              </w:rPr>
              <w:t xml:space="preserve">Set a promotion threshold: if 10%+ of active users tap the card in 30 days, add the dedicated tab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1A2E"/>
                <w:sz w:val="20"/>
                <w:szCs w:val="20"/>
              </w:rPr>
              <w:t xml:space="preserve">For App Store and ASO: "Connect with estate lawyers, financial advisors &amp; more" is a strong keyword cluster to build toward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1A2E"/>
                <w:sz w:val="20"/>
                <w:szCs w:val="20"/>
              </w:rPr>
              <w:t xml:space="preserve">At launch, manually route all inquiries through your own email — automate partner matching only after you have 5+ partners per category</w:t>
            </w:r>
          </w:p>
        </w:tc>
      </w:tr>
    </w:tbl>
    <w:p>
      <w:r>
        <w:t xml:space="preserve"/>
      </w:r>
    </w:p>
    <w:p>
      <w:pPr>
        <w:pBdr>
          <w:bottom w:val="single" w:color="EECDD8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B1A4A"/>
          <w:sz w:val="32"/>
          <w:szCs w:val="32"/>
        </w:rPr>
        <w:t xml:space="preserve">Recommended Action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A2E"/>
          <w:sz w:val="22"/>
          <w:szCs w:val="22"/>
        </w:rPr>
        <w:t xml:space="preserve">Based on unanimous team input, the recommended path forward: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A2E"/>
          <w:sz w:val="21"/>
          <w:szCs w:val="21"/>
        </w:rPr>
        <w:t xml:space="preserve">Rename the feature: "Trusted Partners" or "Connect with a Professional" — not "Professional Services"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A2E"/>
          <w:sz w:val="21"/>
          <w:szCs w:val="21"/>
        </w:rPr>
        <w:t xml:space="preserve">Place as a prominent card on the Home screen — the ProfessionalServicesModal.tsx already built is the correct 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A2E"/>
          <w:sz w:val="21"/>
          <w:szCs w:val="21"/>
        </w:rPr>
        <w:t xml:space="preserve">Add Emma Walsh's required disclaimer and consent language to the inquiry form before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A2E"/>
          <w:sz w:val="21"/>
          <w:szCs w:val="21"/>
        </w:rPr>
        <w:t xml:space="preserve">Phase 2: add a contextual Vault prompt ("Want help from a professional?") when a user adds a Legal or Financial vault 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A2E"/>
          <w:sz w:val="21"/>
          <w:szCs w:val="21"/>
        </w:rPr>
        <w:t xml:space="preserve">Metrics gate: if tap-through rate &gt; 10% at 30 days, promote to a dedicated tab in the next sprint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8B1A4A"/>
          <w:sz w:val="22"/>
          <w:szCs w:val="22"/>
        </w:rPr>
        <w:t xml:space="preserve">Settings is not the answer. It is where features go to be forgotten.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CDD8" w:sz="4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CDD8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8B1A4A"/>
        <w:sz w:val="20"/>
        <w:szCs w:val="20"/>
      </w:rPr>
      <w:t xml:space="preserve">Solace Life — A Team Advisory</w:t>
    </w: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8B1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C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2026-05-20T02:06:33.906Z</dcterms:created>
  <dcterms:modified xsi:type="dcterms:W3CDTF">2026-05-20T02:06:33.945Z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