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jc w:val="center"/>
      </w:pPr>
      <w:r>
        <w:rPr>
          <w:sz w:val="72"/>
          <w:szCs w:val="72"/>
        </w:rPr>
        <w:t xml:space="preserve">🤝</w:t>
      </w:r>
    </w:p>
    <w:p>
      <w:pPr>
        <w:spacing w:after="0" w:before="80"/>
      </w:pPr>
      <w:r>
        <w:t xml:space="preserve"/>
      </w:r>
    </w:p>
    <w:p>
      <w:pPr>
        <w:jc w:val="center"/>
      </w:pPr>
      <w:r>
        <w:rPr>
          <w:rFonts w:ascii="Arial" w:cs="Arial" w:eastAsia="Arial" w:hAnsi="Arial"/>
          <w:b/>
          <w:bCs/>
          <w:caps/>
          <w:color w:val="7A3448"/>
          <w:sz w:val="28"/>
          <w:szCs w:val="28"/>
        </w:rPr>
        <w:t xml:space="preserve">SOLACE LIFE A TEAM ADVISORY</w:t>
      </w:r>
    </w:p>
    <w:p>
      <w:pPr>
        <w:spacing w:after="80" w:before="80"/>
        <w:jc w:val="center"/>
      </w:pPr>
      <w:r>
        <w:rPr>
          <w:rFonts w:ascii="Arial" w:cs="Arial" w:eastAsia="Arial" w:hAnsi="Arial"/>
          <w:b/>
          <w:bCs/>
          <w:color w:val="3D1020"/>
          <w:sz w:val="36"/>
          <w:szCs w:val="36"/>
        </w:rPr>
        <w:t xml:space="preserve">Trusted Partners Feature — Legal, Privacy &amp; Duty-of-Care Framework</w:t>
      </w:r>
    </w:p>
    <w:p>
      <w:pPr>
        <w:spacing w:after="40" w:before="80"/>
        <w:jc w:val="center"/>
      </w:pPr>
      <w:r>
        <w:rPr>
          <w:rFonts w:ascii="Arial" w:cs="Arial" w:eastAsia="Arial" w:hAnsi="Arial"/>
          <w:i/>
          <w:iCs/>
          <w:color w:val="7A3448"/>
          <w:sz w:val="22"/>
          <w:szCs w:val="22"/>
        </w:rPr>
        <w:t xml:space="preserve">Prepared by the Solace Life A Team  ·  May 19, 2026</w:t>
      </w:r>
    </w:p>
    <w:p>
      <w:pPr>
        <w:spacing w:after="240" w:before="40"/>
        <w:jc w:val="center"/>
      </w:pPr>
      <w:r>
        <w:rPr>
          <w:rFonts w:ascii="Arial" w:cs="Arial" w:eastAsia="Arial" w:hAnsi="Arial"/>
          <w:b/>
          <w:bCs/>
          <w:color w:val="C0392B"/>
          <w:sz w:val="20"/>
          <w:szCs w:val="20"/>
        </w:rPr>
        <w:t xml:space="preserve">CONFIDENTIAL  —  Attorney-Client Privilege May Apply</w:t>
      </w:r>
    </w:p>
    <w:p>
      <w:pPr>
        <w:pBdr>
          <w:bottom w:val="single" w:color="F06292" w:sz="4" w:space="1"/>
        </w:pBdr>
        <w:spacing w:after="160" w:before="160"/>
      </w:pPr>
      <w:r>
        <w:t xml:space="preserve"/>
      </w:r>
    </w:p>
    <w:p>
      <w:pPr>
        <w:pStyle w:val="Heading1"/>
        <w:spacing w:after="160" w:before="320"/>
      </w:pPr>
      <w:r>
        <w:rPr>
          <w:rFonts w:ascii="Arial" w:cs="Arial" w:eastAsia="Arial" w:hAnsi="Arial"/>
          <w:b/>
          <w:bCs/>
          <w:color w:val="3D1020"/>
          <w:sz w:val="30"/>
          <w:szCs w:val="30"/>
        </w:rPr>
        <w:t xml:space="preserve">Executive Summary</w:t>
      </w:r>
    </w:p>
    <w:p>
      <w:pPr>
        <w:spacing w:after="100" w:before="60"/>
      </w:pPr>
      <w:r>
        <w:rPr>
          <w:rFonts w:ascii="Arial" w:cs="Arial" w:eastAsia="Arial" w:hAnsi="Arial"/>
          <w:sz w:val="22"/>
          <w:szCs w:val="22"/>
        </w:rPr>
        <w:t xml:space="preserve">The Trusted Partners inquiry window is one of the most legally sensitive features in the Solace Life product. While the feature itself — connecting users with estate lawyers, financial advisors, real estate agents and other professionals — is commercially valuable and strategically sound, it creates a nexus of overlapping legal duties that must be deliberately designed around.</w:t>
      </w:r>
    </w:p>
    <w:p>
      <w:pPr>
        <w:spacing w:after="0" w:before="60"/>
      </w:pPr>
      <w:r>
        <w:t xml:space="preserve"/>
      </w:r>
    </w:p>
    <w:p>
      <w:pPr>
        <w:spacing w:after="100" w:before="60"/>
      </w:pPr>
      <w:r>
        <w:rPr>
          <w:rFonts w:ascii="Arial" w:cs="Arial" w:eastAsia="Arial" w:hAnsi="Arial"/>
          <w:b/>
          <w:bCs/>
          <w:sz w:val="22"/>
          <w:szCs w:val="22"/>
        </w:rPr>
        <w:t xml:space="preserve">This advisory addresses three core questions:</w:t>
      </w:r>
    </w:p>
    <w:p>
      <w:pPr>
        <w:spacing w:after="0" w:before="4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When a user submits an inquiry to a lawyer through Solace Life, does solicitor-client privilege attach? If so, what are the implications for Solace Life as the platform?</w:t>
      </w:r>
    </w:p>
    <w:p>
      <w:pPr>
        <w:pStyle w:val="ListParagraph"/>
        <w:numPr>
          <w:ilvl w:val="0"/>
          <w:numId w:val="2"/>
        </w:numPr>
        <w:spacing w:after="40" w:before="40"/>
      </w:pPr>
      <w:r>
        <w:rPr>
          <w:rFonts w:ascii="Arial" w:cs="Arial" w:eastAsia="Arial" w:hAnsi="Arial"/>
          <w:b w:val="false"/>
          <w:bCs w:val="false"/>
          <w:sz w:val="22"/>
          <w:szCs w:val="22"/>
        </w:rPr>
        <w:t xml:space="preserve">For non-lawyer partners (financial advisors, real estate agents, CPAs, grief counsellors, funeral services), what professional duties apply to information received through the inquiry window?</w:t>
      </w:r>
    </w:p>
    <w:p>
      <w:pPr>
        <w:pStyle w:val="ListParagraph"/>
        <w:numPr>
          <w:ilvl w:val="0"/>
          <w:numId w:val="2"/>
        </w:numPr>
        <w:spacing w:after="40" w:before="40"/>
      </w:pPr>
      <w:r>
        <w:rPr>
          <w:rFonts w:ascii="Arial" w:cs="Arial" w:eastAsia="Arial" w:hAnsi="Arial"/>
          <w:b w:val="false"/>
          <w:bCs w:val="false"/>
          <w:sz w:val="22"/>
          <w:szCs w:val="22"/>
        </w:rPr>
        <w:t xml:space="preserve">What does PIPEDA require Solace Life to do when collecting, storing, and transmitting user contact information and inquiry content to third-party partners?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0392B"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VERDICT</w:t>
            </w:r>
          </w:p>
        </w:tc>
        <w:tc>
          <w:tcPr>
            <w:tcW w:type="dxa" w:w="8960"/>
            <w:tcBorders>
              <w:top w:val="single" w:color="CCCCCC" w:sz="1"/>
              <w:left w:val="single" w:color="CCCCCC" w:sz="1"/>
              <w:bottom w:val="single" w:color="CCCCCC" w:sz="1"/>
              <w:right w:val="single" w:color="CCCCCC" w:sz="1"/>
            </w:tcBorders>
            <w:shd w:fill="FFF3F7" w:val="clear"/>
            <w:tcMar>
              <w:top w:type="dxa" w:w="120"/>
              <w:left w:type="dxa" w:w="180"/>
              <w:bottom w:type="dxa" w:w="120"/>
              <w:right w:type="dxa" w:w="120"/>
            </w:tcMar>
          </w:tcPr>
          <w:p>
            <w:r>
              <w:rPr>
                <w:rFonts w:ascii="Arial" w:cs="Arial" w:eastAsia="Arial" w:hAnsi="Arial"/>
                <w:sz w:val="22"/>
                <w:szCs w:val="22"/>
              </w:rPr>
              <w:t xml:space="preserve">Solace Life must act now — before any partner goes live — to implement consent language, a partner data agreement, and inquiry form guardrails. The current form design exposes Solace Life to liability as a de facto agent or conduit for regulated professionals. This is fixable with the right architecture.</w:t>
            </w:r>
          </w:p>
        </w:tc>
      </w:tr>
    </w:tbl>
    <w:p>
      <w:pPr>
        <w:spacing w:after="0" w:before="120"/>
      </w:pPr>
      <w:r>
        <w:t xml:space="preserve"/>
      </w:r>
    </w:p>
    <w:p>
      <w:pPr>
        <w:pBdr>
          <w:bottom w:val="single" w:color="F06292" w:sz="4" w:space="1"/>
        </w:pBdr>
        <w:spacing w:after="160" w:before="160"/>
      </w:pPr>
      <w:r>
        <w:t xml:space="preserve"/>
      </w:r>
    </w:p>
    <w:p>
      <w:pPr>
        <w:pStyle w:val="Heading1"/>
        <w:spacing w:after="160" w:before="320"/>
      </w:pPr>
      <w:r>
        <w:rPr>
          <w:rFonts w:ascii="Arial" w:cs="Arial" w:eastAsia="Arial" w:hAnsi="Arial"/>
          <w:b/>
          <w:bCs/>
          <w:color w:val="3D1020"/>
          <w:sz w:val="30"/>
          <w:szCs w:val="30"/>
        </w:rPr>
        <w:t xml:space="preserve">1. The Lawyer Problem: Solicitor-Client Privilege</w:t>
      </w:r>
    </w:p>
    <w:p>
      <w:pPr>
        <w:pStyle w:val="Heading2"/>
        <w:spacing w:after="120" w:before="240"/>
      </w:pPr>
      <w:r>
        <w:rPr>
          <w:rFonts w:ascii="Arial" w:cs="Arial" w:eastAsia="Arial" w:hAnsi="Arial"/>
          <w:b/>
          <w:bCs/>
          <w:color w:val="7A3448"/>
          <w:sz w:val="26"/>
          <w:szCs w:val="26"/>
        </w:rPr>
        <w:t xml:space="preserve">1.1  What Happens the Moment a Lawyer Reads an Inquiry</w:t>
      </w:r>
    </w:p>
    <w:p>
      <w:pPr>
        <w:spacing w:after="100" w:before="60"/>
      </w:pPr>
      <w:r>
        <w:rPr>
          <w:rFonts w:ascii="Arial" w:cs="Arial" w:eastAsia="Arial" w:hAnsi="Arial"/>
          <w:sz w:val="22"/>
          <w:szCs w:val="22"/>
        </w:rPr>
        <w:t xml:space="preserve">Under Canadian law (and equivalent common law principles), solicitor-client privilege is not limited to formal retainer relationships. The Supreme Court of Canada in Descoteaux v. Mierzwinski [1982] and reaffirmed in Celanese Canada Inc. v. Murray Demolition Corp. [2006] established that privilege attaches to confidential communications made for the purpose of obtaining legal advice — even during pre-retainer consultations.</w:t>
      </w:r>
    </w:p>
    <w:p>
      <w:pPr>
        <w:spacing w:after="0" w:before="60"/>
      </w:pPr>
      <w:r>
        <w:t xml:space="preserve"/>
      </w:r>
    </w:p>
    <w:p>
      <w:pPr>
        <w:spacing w:after="100" w:before="60"/>
      </w:pPr>
      <w:r>
        <w:rPr>
          <w:rFonts w:ascii="Arial" w:cs="Arial" w:eastAsia="Arial" w:hAnsi="Arial"/>
          <w:sz w:val="22"/>
          <w:szCs w:val="22"/>
        </w:rPr>
        <w:t xml:space="preserve">In plain terms: the moment a user types "my mother passed away and I need help with her estate" into the Trusted Partners inquiry window and routes it to an estate lawyer, a prospective solicitor-client relationship may have formed. The information is confidential. The lawyer cannot freely use it, share it, or decline the retainer and then act against the user in a related matter.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0392B"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RISK</w:t>
            </w:r>
          </w:p>
        </w:tc>
        <w:tc>
          <w:tcPr>
            <w:tcW w:type="dxa" w:w="89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20"/>
            </w:tcMar>
          </w:tcPr>
          <w:p>
            <w:r>
              <w:rPr>
                <w:rFonts w:ascii="Arial" w:cs="Arial" w:eastAsia="Arial" w:hAnsi="Arial"/>
                <w:sz w:val="22"/>
                <w:szCs w:val="22"/>
              </w:rPr>
              <w:t xml:space="preserve">Solace Life sits in the middle of this communication. If Solace Life stores, reads, or processes the inquiry content before it reaches the lawyer, Solace Life potentially becomes a party to a privileged communication. This could create obligations (or liability) that Solace Life is not equipped to carry.</w:t>
            </w:r>
          </w:p>
        </w:tc>
      </w:tr>
    </w:tbl>
    <w:p>
      <w:pPr>
        <w:spacing w:after="0" w:before="100"/>
      </w:pPr>
      <w:r>
        <w:t xml:space="preserve"/>
      </w:r>
    </w:p>
    <w:p>
      <w:pPr>
        <w:pStyle w:val="Heading2"/>
        <w:spacing w:after="120" w:before="240"/>
      </w:pPr>
      <w:r>
        <w:rPr>
          <w:rFonts w:ascii="Arial" w:cs="Arial" w:eastAsia="Arial" w:hAnsi="Arial"/>
          <w:b/>
          <w:bCs/>
          <w:color w:val="7A3448"/>
          <w:sz w:val="26"/>
          <w:szCs w:val="26"/>
        </w:rPr>
        <w:t xml:space="preserve">1.2  What This Means for the Inquiry Form Design</w:t>
      </w:r>
    </w:p>
    <w:p>
      <w:pPr>
        <w:spacing w:after="100" w:before="60"/>
      </w:pPr>
      <w:r>
        <w:rPr>
          <w:rFonts w:ascii="Arial" w:cs="Arial" w:eastAsia="Arial" w:hAnsi="Arial"/>
          <w:b w:val="false"/>
          <w:bCs w:val="false"/>
          <w:sz w:val="22"/>
          <w:szCs w:val="22"/>
        </w:rPr>
        <w:t xml:space="preserve">The current form design asks users to describe their situation in a free-text field. For lawyer inquiries specifically, this is where the risk concentrates. The form should be redesigned to limit the nature of information shared at the inquiry stage: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FF3F7" w:val="clear"/>
            <w:tcMar>
              <w:top w:type="dxa" w:w="120"/>
              <w:left w:type="dxa" w:w="160"/>
              <w:bottom w:type="dxa" w:w="120"/>
              <w:right w:type="dxa" w:w="160"/>
            </w:tcMar>
          </w:tcPr>
          <w:p>
            <w:pPr>
              <w:spacing w:after="100" w:before="0"/>
            </w:pPr>
            <w:r>
              <w:rPr>
                <w:rFonts w:ascii="Arial" w:cs="Arial" w:eastAsia="Arial" w:hAnsi="Arial"/>
                <w:b/>
                <w:bCs/>
                <w:color w:val="C0392B"/>
                <w:sz w:val="22"/>
                <w:szCs w:val="22"/>
              </w:rPr>
              <w:t xml:space="preserve">❌  WHAT TO AVOID</w:t>
            </w:r>
          </w:p>
          <w:p>
            <w:pPr>
              <w:spacing w:after="40" w:before="40"/>
            </w:pPr>
            <w:r>
              <w:rPr>
                <w:rFonts w:ascii="Arial" w:cs="Arial" w:eastAsia="Arial" w:hAnsi="Arial"/>
                <w:sz w:val="22"/>
                <w:szCs w:val="22"/>
              </w:rPr>
              <w:t xml:space="preserve">Free-text fields inviting full legal situation disclosure</w:t>
            </w:r>
          </w:p>
          <w:p>
            <w:pPr>
              <w:spacing w:after="40" w:before="40"/>
            </w:pPr>
            <w:r>
              <w:rPr>
                <w:rFonts w:ascii="Arial" w:cs="Arial" w:eastAsia="Arial" w:hAnsi="Arial"/>
                <w:sz w:val="22"/>
                <w:szCs w:val="22"/>
              </w:rPr>
              <w:t xml:space="preserve">Storing full inquiry content in Solace Life’s database indefinitely</w:t>
            </w:r>
          </w:p>
          <w:p>
            <w:pPr>
              <w:spacing w:after="40" w:before="40"/>
            </w:pPr>
            <w:r>
              <w:rPr>
                <w:rFonts w:ascii="Arial" w:cs="Arial" w:eastAsia="Arial" w:hAnsi="Arial"/>
                <w:sz w:val="22"/>
                <w:szCs w:val="22"/>
              </w:rPr>
              <w:t xml:space="preserve">Language that implies Solace Life reviewed or approved the inquiry</w:t>
            </w:r>
          </w:p>
          <w:p>
            <w:pPr>
              <w:spacing w:after="40" w:before="40"/>
            </w:pPr>
            <w:r>
              <w:rPr>
                <w:rFonts w:ascii="Arial" w:cs="Arial" w:eastAsia="Arial" w:hAnsi="Arial"/>
                <w:sz w:val="22"/>
                <w:szCs w:val="22"/>
              </w:rPr>
              <w:t xml:space="preserve">Routing legal inquiries through any Solace Life employee or AI system</w:t>
            </w:r>
          </w:p>
        </w:tc>
        <w:tc>
          <w:tcPr>
            <w:tcW w:type="dxa" w:w="4800"/>
            <w:tcBorders>
              <w:top w:val="single" w:color="CCCCCC" w:sz="1"/>
              <w:left w:val="single" w:color="CCCCCC" w:sz="1"/>
              <w:bottom w:val="single" w:color="CCCCCC" w:sz="1"/>
              <w:right w:val="single" w:color="CCCCCC" w:sz="1"/>
            </w:tcBorders>
            <w:shd w:fill="F0F7FF" w:val="clear"/>
            <w:tcMar>
              <w:top w:type="dxa" w:w="120"/>
              <w:left w:type="dxa" w:w="160"/>
              <w:bottom w:type="dxa" w:w="120"/>
              <w:right w:type="dxa" w:w="160"/>
            </w:tcMar>
          </w:tcPr>
          <w:p>
            <w:pPr>
              <w:spacing w:after="100" w:before="0"/>
            </w:pPr>
            <w:r>
              <w:rPr>
                <w:rFonts w:ascii="Arial" w:cs="Arial" w:eastAsia="Arial" w:hAnsi="Arial"/>
                <w:b/>
                <w:bCs/>
                <w:color w:val="2D6A4F"/>
                <w:sz w:val="22"/>
                <w:szCs w:val="22"/>
              </w:rPr>
              <w:t xml:space="preserve">✅  WHAT TO DO INSTEAD</w:t>
            </w:r>
          </w:p>
          <w:p>
            <w:pPr>
              <w:spacing w:after="40" w:before="40"/>
            </w:pPr>
            <w:r>
              <w:rPr>
                <w:rFonts w:ascii="Arial" w:cs="Arial" w:eastAsia="Arial" w:hAnsi="Arial"/>
                <w:sz w:val="22"/>
                <w:szCs w:val="22"/>
              </w:rPr>
              <w:t xml:space="preserve">Limit the inquiry field to topic/service area only (no facts)</w:t>
            </w:r>
          </w:p>
          <w:p>
            <w:pPr>
              <w:spacing w:after="40" w:before="40"/>
            </w:pPr>
            <w:r>
              <w:rPr>
                <w:rFonts w:ascii="Arial" w:cs="Arial" w:eastAsia="Arial" w:hAnsi="Arial"/>
                <w:sz w:val="22"/>
                <w:szCs w:val="22"/>
              </w:rPr>
              <w:t xml:space="preserve">Auto-delete inquiry content from Solace Life servers after delivery confirmation</w:t>
            </w:r>
          </w:p>
          <w:p>
            <w:pPr>
              <w:spacing w:after="40" w:before="40"/>
            </w:pPr>
            <w:r>
              <w:rPr>
                <w:rFonts w:ascii="Arial" w:cs="Arial" w:eastAsia="Arial" w:hAnsi="Arial"/>
                <w:sz w:val="22"/>
                <w:szCs w:val="22"/>
              </w:rPr>
              <w:t xml:space="preserve">Explicit language: “Solace Life does not read, review, or retain your message”</w:t>
            </w:r>
          </w:p>
          <w:p>
            <w:pPr>
              <w:spacing w:after="40" w:before="40"/>
            </w:pPr>
            <w:r>
              <w:rPr>
                <w:rFonts w:ascii="Arial" w:cs="Arial" w:eastAsia="Arial" w:hAnsi="Arial"/>
                <w:sz w:val="22"/>
                <w:szCs w:val="22"/>
              </w:rPr>
              <w:t xml:space="preserve">Direct encrypted transmission to partner only — Solace Life as pass-through only</w:t>
            </w:r>
          </w:p>
        </w:tc>
      </w:tr>
    </w:tbl>
    <w:p>
      <w:pPr>
        <w:spacing w:after="0" w:before="120"/>
      </w:pPr>
      <w:r>
        <w:t xml:space="preserve"/>
      </w:r>
    </w:p>
    <w:p>
      <w:pPr>
        <w:pStyle w:val="Heading2"/>
        <w:spacing w:after="120" w:before="240"/>
      </w:pPr>
      <w:r>
        <w:rPr>
          <w:rFonts w:ascii="Arial" w:cs="Arial" w:eastAsia="Arial" w:hAnsi="Arial"/>
          <w:b/>
          <w:bCs/>
          <w:color w:val="7A3448"/>
          <w:sz w:val="26"/>
          <w:szCs w:val="26"/>
        </w:rPr>
        <w:t xml:space="preserve">1.3  The Law Society Rules: What Lawyers Cannot Do</w:t>
      </w:r>
    </w:p>
    <w:p>
      <w:pPr>
        <w:spacing w:after="100" w:before="60"/>
      </w:pPr>
      <w:r>
        <w:rPr>
          <w:rFonts w:ascii="Arial" w:cs="Arial" w:eastAsia="Arial" w:hAnsi="Arial"/>
          <w:sz w:val="22"/>
          <w:szCs w:val="22"/>
        </w:rPr>
        <w:t xml:space="preserve">Law societies across Canada (Law Society of Ontario, LSBC, etc.) have specific rules around prospective clients under their Rules of Professional Conduct:</w:t>
      </w:r>
    </w:p>
    <w:p>
      <w:pPr>
        <w:spacing w:after="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Rule 3.4-10 (LSO): A lawyer who receives confidential information from a prospective client must not act against that person in a related matter, even if no retainer is formed.</w:t>
      </w:r>
    </w:p>
    <w:p>
      <w:pPr>
        <w:pStyle w:val="ListParagraph"/>
        <w:numPr>
          <w:ilvl w:val="0"/>
          <w:numId w:val="2"/>
        </w:numPr>
        <w:spacing w:after="40" w:before="40"/>
      </w:pPr>
      <w:r>
        <w:rPr>
          <w:rFonts w:ascii="Arial" w:cs="Arial" w:eastAsia="Arial" w:hAnsi="Arial"/>
          <w:b w:val="false"/>
          <w:bCs w:val="false"/>
          <w:sz w:val="22"/>
          <w:szCs w:val="22"/>
        </w:rPr>
        <w:t xml:space="preserve">A lawyer receiving an inquiry through Solace Life cannot later advise the opposing party in the same estate dispute.</w:t>
      </w:r>
    </w:p>
    <w:p>
      <w:pPr>
        <w:pStyle w:val="ListParagraph"/>
        <w:numPr>
          <w:ilvl w:val="0"/>
          <w:numId w:val="2"/>
        </w:numPr>
        <w:spacing w:after="40" w:before="40"/>
      </w:pPr>
      <w:r>
        <w:rPr>
          <w:rFonts w:ascii="Arial" w:cs="Arial" w:eastAsia="Arial" w:hAnsi="Arial"/>
          <w:b w:val="false"/>
          <w:bCs w:val="false"/>
          <w:sz w:val="22"/>
          <w:szCs w:val="22"/>
        </w:rPr>
        <w:t xml:space="preserve">The lawyer must keep the prospective client’s information confidential regardless of whether they accept the file.</w:t>
      </w:r>
    </w:p>
    <w:p>
      <w:pPr>
        <w:spacing w:after="0" w:before="60"/>
      </w:pPr>
      <w:r>
        <w:t xml:space="preserve"/>
      </w:r>
    </w:p>
    <w:p>
      <w:pPr>
        <w:spacing w:after="100" w:before="60"/>
      </w:pPr>
      <w:r>
        <w:rPr>
          <w:rFonts w:ascii="Arial" w:cs="Arial" w:eastAsia="Arial" w:hAnsi="Arial"/>
          <w:b w:val="false"/>
          <w:bCs w:val="false"/>
          <w:sz w:val="22"/>
          <w:szCs w:val="22"/>
        </w:rPr>
        <w:t xml:space="preserve">Solace Life’s partner agreement with lawyers must require them to acknowledge these obligations explicitly and confirm they have appropriate intake procedures.</w:t>
      </w:r>
    </w:p>
    <w:p>
      <w:pPr>
        <w:spacing w:after="0" w:before="120"/>
      </w:pPr>
      <w:r>
        <w:t xml:space="preserve"/>
      </w:r>
    </w:p>
    <w:p>
      <w:pPr>
        <w:pBdr>
          <w:bottom w:val="single" w:color="F06292" w:sz="4" w:space="1"/>
        </w:pBdr>
        <w:spacing w:after="160" w:before="160"/>
      </w:pPr>
      <w:r>
        <w:t xml:space="preserve"/>
      </w:r>
    </w:p>
    <w:p>
      <w:pPr>
        <w:pStyle w:val="Heading1"/>
        <w:spacing w:after="160" w:before="320"/>
      </w:pPr>
      <w:r>
        <w:rPr>
          <w:rFonts w:ascii="Arial" w:cs="Arial" w:eastAsia="Arial" w:hAnsi="Arial"/>
          <w:b/>
          <w:bCs/>
          <w:color w:val="3D1020"/>
          <w:sz w:val="30"/>
          <w:szCs w:val="30"/>
        </w:rPr>
        <w:t xml:space="preserve">2. Other Partners: Professional Duties Beyond Fiduciary</w:t>
      </w:r>
    </w:p>
    <w:p>
      <w:pPr>
        <w:spacing w:after="100" w:before="60"/>
      </w:pPr>
      <w:r>
        <w:rPr>
          <w:rFonts w:ascii="Arial" w:cs="Arial" w:eastAsia="Arial" w:hAnsi="Arial"/>
          <w:sz w:val="22"/>
          <w:szCs w:val="22"/>
        </w:rPr>
        <w:t xml:space="preserve">Not all Trusted Partners carry the same level of duty. However, “no fiduciary duty” does not mean “no duty.” Each regulated profession carries its own obligations the moment a professional relationship — even informal — commences.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1760"/>
        <w:gridCol w:w="1600"/>
      </w:tblGrid>
      <w:tr>
        <w:trPr>
          <w:tblHeader/>
        </w:trPr>
        <w:tc>
          <w:tcPr>
            <w:tcW w:type="dxa" w:w="16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20"/>
                <w:szCs w:val="20"/>
              </w:rPr>
              <w:t xml:space="preserve">Partner Type</w:t>
            </w:r>
          </w:p>
        </w:tc>
        <w:tc>
          <w:tcPr>
            <w:tcW w:type="dxa" w:w="16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20"/>
                <w:szCs w:val="20"/>
              </w:rPr>
              <w:t xml:space="preserve">Duty Type</w:t>
            </w:r>
          </w:p>
        </w:tc>
        <w:tc>
          <w:tcPr>
            <w:tcW w:type="dxa" w:w="28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20"/>
                <w:szCs w:val="20"/>
              </w:rPr>
              <w:t xml:space="preserve">Duty Description</w:t>
            </w:r>
          </w:p>
        </w:tc>
        <w:tc>
          <w:tcPr>
            <w:tcW w:type="dxa" w:w="176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20"/>
                <w:szCs w:val="20"/>
              </w:rPr>
              <w:t xml:space="preserve">PIPEDA Flag</w:t>
            </w:r>
          </w:p>
        </w:tc>
        <w:tc>
          <w:tcPr>
            <w:tcW w:type="dxa" w:w="16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20"/>
                <w:szCs w:val="20"/>
              </w:rPr>
              <w:t xml:space="preserve">Risk Level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1020"/>
                <w:sz w:val="20"/>
                <w:szCs w:val="20"/>
              </w:rPr>
              <w:t xml:space="preserve">Estate Lawyer</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Fiduciary + Privilege</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Solicitor-client privilege may attach on first contact. Conflict check required before responding.</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Sensitive personal + legal info</w:t>
            </w:r>
          </w:p>
        </w:tc>
        <w:tc>
          <w:tcPr>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tcPr>
          <w:p>
            <w:r>
              <w:rPr>
                <w:rFonts w:ascii="Arial" w:cs="Arial" w:eastAsia="Arial" w:hAnsi="Arial"/>
                <w:color w:val="FFFFFF"/>
                <w:sz w:val="20"/>
                <w:szCs w:val="20"/>
              </w:rPr>
              <w:t xml:space="preserve">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1020"/>
                <w:sz w:val="20"/>
                <w:szCs w:val="20"/>
              </w:rPr>
              <w:t xml:space="preserve">Financial Advisor</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Suitability + KYC</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CIRO (formerly IIROC/MFDA) requires Know Your Client before any advice. Duty of care on product suitability.</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Financial data is sensitive personal info</w:t>
            </w:r>
          </w:p>
        </w:tc>
        <w:tc>
          <w:tcPr>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r>
              <w:rPr>
                <w:rFonts w:ascii="Arial" w:cs="Arial" w:eastAsia="Arial" w:hAnsi="Arial"/>
                <w:color w:val="FFFFFF"/>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1020"/>
                <w:sz w:val="20"/>
                <w:szCs w:val="20"/>
              </w:rPr>
              <w:t xml:space="preserve">Tax / CPA</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Confidentiality</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CPA Canada Code of Ethics: client confidentiality is a fundamental principle even before engagement.</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Financial info requires consent</w:t>
            </w:r>
          </w:p>
        </w:tc>
        <w:tc>
          <w:tcPr>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r>
              <w:rPr>
                <w:rFonts w:ascii="Arial" w:cs="Arial" w:eastAsia="Arial" w:hAnsi="Arial"/>
                <w:color w:val="FFFFFF"/>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1020"/>
                <w:sz w:val="20"/>
                <w:szCs w:val="20"/>
              </w:rPr>
              <w:t xml:space="preserve">Real Estate Agent</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Agency Duty</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RECO/RECBC: agent owes duty of confidentiality to client once agency relationship begins.</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Contact + property info</w:t>
            </w:r>
          </w:p>
        </w:tc>
        <w:tc>
          <w:tcPr>
            <w:tcBorders>
              <w:top w:val="single" w:color="CCCCCC" w:sz="1"/>
              <w:left w:val="single" w:color="CCCCCC" w:sz="1"/>
              <w:bottom w:val="single" w:color="CCCCCC" w:sz="1"/>
              <w:right w:val="single" w:color="CCCCCC" w:sz="1"/>
            </w:tcBorders>
            <w:shd w:fill="F39C12" w:val="clear"/>
            <w:tcMar>
              <w:top w:type="dxa" w:w="80"/>
              <w:left w:type="dxa" w:w="100"/>
              <w:bottom w:type="dxa" w:w="80"/>
              <w:right w:type="dxa" w:w="100"/>
            </w:tcMar>
          </w:tcPr>
          <w:p>
            <w:r>
              <w:rPr>
                <w:rFonts w:ascii="Arial" w:cs="Arial" w:eastAsia="Arial" w:hAnsi="Arial"/>
                <w:color w:val="FFFFFF"/>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1020"/>
                <w:sz w:val="20"/>
                <w:szCs w:val="20"/>
              </w:rPr>
              <w:t xml:space="preserve">Grief Counsellor</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Regulated Health</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If registered psychotherapist/social worker: RHPA applies. Duty of confidentiality, mandatory reporting exceptions.</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Mental health = sensitive PIPEDA category</w:t>
            </w:r>
          </w:p>
        </w:tc>
        <w:tc>
          <w:tcPr>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r>
              <w:rPr>
                <w:rFonts w:ascii="Arial" w:cs="Arial" w:eastAsia="Arial" w:hAnsi="Arial"/>
                <w:color w:val="FFFFFF"/>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1020"/>
                <w:sz w:val="20"/>
                <w:szCs w:val="20"/>
              </w:rPr>
              <w:t xml:space="preserve">Senior Living</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Consumer Protection</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Informed consent required for placement services. Fee disclosure obligations.</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Health + living situation info</w:t>
            </w:r>
          </w:p>
        </w:tc>
        <w:tc>
          <w:tcPr>
            <w:tcBorders>
              <w:top w:val="single" w:color="CCCCCC" w:sz="1"/>
              <w:left w:val="single" w:color="CCCCCC" w:sz="1"/>
              <w:bottom w:val="single" w:color="CCCCCC" w:sz="1"/>
              <w:right w:val="single" w:color="CCCCCC" w:sz="1"/>
            </w:tcBorders>
            <w:shd w:fill="F39C12" w:val="clear"/>
            <w:tcMar>
              <w:top w:type="dxa" w:w="80"/>
              <w:left w:type="dxa" w:w="100"/>
              <w:bottom w:type="dxa" w:w="80"/>
              <w:right w:type="dxa" w:w="100"/>
            </w:tcMar>
          </w:tcPr>
          <w:p>
            <w:r>
              <w:rPr>
                <w:rFonts w:ascii="Arial" w:cs="Arial" w:eastAsia="Arial" w:hAnsi="Arial"/>
                <w:color w:val="FFFFFF"/>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1020"/>
                <w:sz w:val="20"/>
                <w:szCs w:val="20"/>
              </w:rPr>
              <w:t xml:space="preserve">Funeral Services</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Regulated Service</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Provincial funeral home regulations (e.g., Funeral, Burial and Cremation Services Act, ON). Pre-arrangement disclosure rules.</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Limited sensitive data</w:t>
            </w:r>
          </w:p>
        </w:tc>
        <w:tc>
          <w:tcPr>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r>
              <w:rPr>
                <w:rFonts w:ascii="Arial" w:cs="Arial" w:eastAsia="Arial" w:hAnsi="Arial"/>
                <w:color w:val="FFFFFF"/>
                <w:sz w:val="20"/>
                <w:szCs w:val="20"/>
              </w:rPr>
              <w:t xml:space="preserve">LOW</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D1020"/>
                <w:sz w:val="20"/>
                <w:szCs w:val="20"/>
              </w:rPr>
              <w:t xml:space="preserve">Probate Services</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Fiduciary Adjacent</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Estate trustees/administrators may have fiduciary-like obligations depending on role taken.</w:t>
            </w:r>
          </w:p>
        </w:tc>
        <w:tc>
          <w:tcPr>
            <w:tcBorders>
              <w:top w:val="single" w:color="CCCCCC" w:sz="1"/>
              <w:left w:val="single" w:color="CCCCCC" w:sz="1"/>
              <w:bottom w:val="single" w:color="CCCCCC" w:sz="1"/>
              <w:right w:val="single" w:color="CCCCCC" w:sz="1"/>
            </w:tcBorders>
            <w:shd w:fill="FFFBFD" w:val="clear"/>
            <w:tcMar>
              <w:top w:type="dxa" w:w="80"/>
              <w:left w:type="dxa" w:w="100"/>
              <w:bottom w:type="dxa" w:w="80"/>
              <w:right w:type="dxa" w:w="100"/>
            </w:tcMar>
          </w:tcPr>
          <w:p>
            <w:r>
              <w:rPr>
                <w:rFonts w:ascii="Arial" w:cs="Arial" w:eastAsia="Arial" w:hAnsi="Arial"/>
                <w:color w:val="3D1020"/>
                <w:sz w:val="20"/>
                <w:szCs w:val="20"/>
              </w:rPr>
              <w:t xml:space="preserve">Legal + financial info</w:t>
            </w:r>
          </w:p>
        </w:tc>
        <w:tc>
          <w:tcPr>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r>
              <w:rPr>
                <w:rFonts w:ascii="Arial" w:cs="Arial" w:eastAsia="Arial" w:hAnsi="Arial"/>
                <w:color w:val="FFFFFF"/>
                <w:sz w:val="20"/>
                <w:szCs w:val="20"/>
              </w:rPr>
              <w:t xml:space="preserve">HIGH</w:t>
            </w:r>
          </w:p>
        </w:tc>
      </w:tr>
    </w:tbl>
    <w:p>
      <w:pPr>
        <w:spacing w:after="0" w:before="120"/>
      </w:pPr>
      <w:r>
        <w:t xml:space="preserve"/>
      </w:r>
    </w:p>
    <w:p>
      <w:pPr>
        <w:pStyle w:val="Heading2"/>
        <w:spacing w:after="120" w:before="240"/>
      </w:pPr>
      <w:r>
        <w:rPr>
          <w:rFonts w:ascii="Arial" w:cs="Arial" w:eastAsia="Arial" w:hAnsi="Arial"/>
          <w:b/>
          <w:bCs/>
          <w:color w:val="7A3448"/>
          <w:sz w:val="26"/>
          <w:szCs w:val="26"/>
        </w:rPr>
        <w:t xml:space="preserve">2.1  Financial Advisors: The CIRO (KYC) Problem</w:t>
      </w:r>
    </w:p>
    <w:p>
      <w:pPr>
        <w:spacing w:after="100" w:before="60"/>
      </w:pPr>
      <w:r>
        <w:rPr>
          <w:rFonts w:ascii="Arial" w:cs="Arial" w:eastAsia="Arial" w:hAnsi="Arial"/>
          <w:sz w:val="22"/>
          <w:szCs w:val="22"/>
        </w:rPr>
        <w:t xml:space="preserve">Since the merger of IIROC and MFDA into CIRO (Canadian Investment Regulatory Organization) in 2023, all registered investment dealers and mutual fund dealers are subject to unified Know Your Client (KYC) and suitability obligations. These are not soft guidelines — they are regulatory requirements enforced through fines and license suspension.</w:t>
      </w:r>
    </w:p>
    <w:p>
      <w:pPr>
        <w:spacing w:after="0" w:before="60"/>
      </w:pPr>
      <w:r>
        <w:t xml:space="preserve"/>
      </w:r>
    </w:p>
    <w:p>
      <w:pPr>
        <w:spacing w:after="100" w:before="60"/>
      </w:pPr>
      <w:r>
        <w:rPr>
          <w:rFonts w:ascii="Arial" w:cs="Arial" w:eastAsia="Arial" w:hAnsi="Arial"/>
          <w:sz w:val="22"/>
          <w:szCs w:val="22"/>
        </w:rPr>
        <w:t xml:space="preserve">The Trusted Partners inquiry window could inadvertently trigger a KYC obligation if:</w:t>
      </w:r>
    </w:p>
    <w:p>
      <w:pPr>
        <w:pStyle w:val="ListParagraph"/>
        <w:numPr>
          <w:ilvl w:val="0"/>
          <w:numId w:val="2"/>
        </w:numPr>
        <w:spacing w:after="40" w:before="40"/>
      </w:pPr>
      <w:r>
        <w:rPr>
          <w:rFonts w:ascii="Arial" w:cs="Arial" w:eastAsia="Arial" w:hAnsi="Arial"/>
          <w:b w:val="false"/>
          <w:bCs w:val="false"/>
          <w:sz w:val="22"/>
          <w:szCs w:val="22"/>
        </w:rPr>
        <w:t xml:space="preserve">The inquiry includes information about the user’s financial situation, assets, or investment goals.</w:t>
      </w:r>
    </w:p>
    <w:p>
      <w:pPr>
        <w:pStyle w:val="ListParagraph"/>
        <w:numPr>
          <w:ilvl w:val="0"/>
          <w:numId w:val="2"/>
        </w:numPr>
        <w:spacing w:after="40" w:before="40"/>
      </w:pPr>
      <w:r>
        <w:rPr>
          <w:rFonts w:ascii="Arial" w:cs="Arial" w:eastAsia="Arial" w:hAnsi="Arial"/>
          <w:b w:val="false"/>
          <w:bCs w:val="false"/>
          <w:sz w:val="22"/>
          <w:szCs w:val="22"/>
        </w:rPr>
        <w:t xml:space="preserve">The financial advisor responds with any commentary that could be construed as advice.</w:t>
      </w:r>
    </w:p>
    <w:p>
      <w:pPr>
        <w:pStyle w:val="ListParagraph"/>
        <w:numPr>
          <w:ilvl w:val="0"/>
          <w:numId w:val="2"/>
        </w:numPr>
        <w:spacing w:after="40" w:before="40"/>
      </w:pPr>
      <w:r>
        <w:rPr>
          <w:rFonts w:ascii="Arial" w:cs="Arial" w:eastAsia="Arial" w:hAnsi="Arial"/>
          <w:b w:val="false"/>
          <w:bCs w:val="false"/>
          <w:sz w:val="22"/>
          <w:szCs w:val="22"/>
        </w:rPr>
        <w:t xml:space="preserve">Solace Life’s matching algorithm or form pre-fills suggest the user has specific financial characteristics.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2980B9"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RECOMMENDATION</w:t>
            </w:r>
          </w:p>
        </w:tc>
        <w:tc>
          <w:tcPr>
            <w:tcW w:type="dxa" w:w="8960"/>
            <w:tcBorders>
              <w:top w:val="single" w:color="CCCCCC" w:sz="1"/>
              <w:left w:val="single" w:color="CCCCCC" w:sz="1"/>
              <w:bottom w:val="single" w:color="CCCCCC" w:sz="1"/>
              <w:right w:val="single" w:color="CCCCCC" w:sz="1"/>
            </w:tcBorders>
            <w:shd w:fill="F0F7FF" w:val="clear"/>
            <w:tcMar>
              <w:top w:type="dxa" w:w="120"/>
              <w:left w:type="dxa" w:w="180"/>
              <w:bottom w:type="dxa" w:w="120"/>
              <w:right w:type="dxa" w:w="120"/>
            </w:tcMar>
          </w:tcPr>
          <w:p>
            <w:r>
              <w:rPr>
                <w:rFonts w:ascii="Arial" w:cs="Arial" w:eastAsia="Arial" w:hAnsi="Arial"/>
                <w:sz w:val="22"/>
                <w:szCs w:val="22"/>
              </w:rPr>
              <w:t xml:space="preserve">The financial advisor inquiry form should explicitly state: “This is a request for an introductory consultation only. Please do not include specific investment, asset, or portfolio information in this message.” The form should also include a checkbox: “I understand this is not financial advice.”</w:t>
            </w:r>
          </w:p>
        </w:tc>
      </w:tr>
    </w:tbl>
    <w:p>
      <w:pPr>
        <w:spacing w:after="0" w:before="100"/>
      </w:pPr>
      <w:r>
        <w:t xml:space="preserve"/>
      </w:r>
    </w:p>
    <w:p>
      <w:pPr>
        <w:pStyle w:val="Heading2"/>
        <w:spacing w:after="120" w:before="240"/>
      </w:pPr>
      <w:r>
        <w:rPr>
          <w:rFonts w:ascii="Arial" w:cs="Arial" w:eastAsia="Arial" w:hAnsi="Arial"/>
          <w:b/>
          <w:bCs/>
          <w:color w:val="7A3448"/>
          <w:sz w:val="26"/>
          <w:szCs w:val="26"/>
        </w:rPr>
        <w:t xml:space="preserve">2.2  Grief Counsellors: Mental Health Data is the Highest-Risk Category</w:t>
      </w:r>
    </w:p>
    <w:p>
      <w:pPr>
        <w:spacing w:after="100" w:before="60"/>
      </w:pPr>
      <w:r>
        <w:rPr>
          <w:rFonts w:ascii="Arial" w:cs="Arial" w:eastAsia="Arial" w:hAnsi="Arial"/>
          <w:sz w:val="22"/>
          <w:szCs w:val="22"/>
        </w:rPr>
        <w:t xml:space="preserve">Under PIPEDA Schedule 1, “health information” is one of the most sensitive personal information categories, requiring the highest standard of protection. Mental health information carries additional sensitivity given historical discrimination in insurance, employment, and custody contexts.</w:t>
      </w:r>
    </w:p>
    <w:p>
      <w:pPr>
        <w:spacing w:after="0" w:before="60"/>
      </w:pPr>
      <w:r>
        <w:t xml:space="preserve"/>
      </w:r>
    </w:p>
    <w:p>
      <w:pPr>
        <w:spacing w:after="100" w:before="60"/>
      </w:pPr>
      <w:r>
        <w:rPr>
          <w:rFonts w:ascii="Arial" w:cs="Arial" w:eastAsia="Arial" w:hAnsi="Arial"/>
          <w:sz w:val="22"/>
          <w:szCs w:val="22"/>
        </w:rPr>
        <w:t xml:space="preserve">If a user discloses depression, suicidal ideation, substance use, or trauma in an inquiry to a grief counsellor, Solace Life becomes a custodian of that information at the moment of transmission. Depending on the grief counsellor’s registration (social worker, psychotherapist, registered counselling therapist), mandatory reporting obligations may also exist that vary by province.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C0392B"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RISK</w:t>
            </w:r>
          </w:p>
        </w:tc>
        <w:tc>
          <w:tcPr>
            <w:tcW w:type="dxa" w:w="89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20"/>
            </w:tcMar>
          </w:tcPr>
          <w:p>
            <w:r>
              <w:rPr>
                <w:rFonts w:ascii="Arial" w:cs="Arial" w:eastAsia="Arial" w:hAnsi="Arial"/>
                <w:sz w:val="22"/>
                <w:szCs w:val="22"/>
              </w:rPr>
              <w:t xml:space="preserve">Solace Life should NOT store grief counsellor inquiry content in its database. This is the one category where even transit storage creates regulatory exposure. The inquiry should be transmitted directly and deleted immediately.</w:t>
            </w:r>
          </w:p>
        </w:tc>
      </w:tr>
    </w:tbl>
    <w:p>
      <w:pPr>
        <w:spacing w:after="0" w:before="120"/>
      </w:pPr>
      <w:r>
        <w:t xml:space="preserve"/>
      </w:r>
    </w:p>
    <w:p>
      <w:pPr>
        <w:pBdr>
          <w:bottom w:val="single" w:color="F06292" w:sz="4" w:space="1"/>
        </w:pBdr>
        <w:spacing w:after="160" w:before="160"/>
      </w:pPr>
      <w:r>
        <w:t xml:space="preserve"/>
      </w:r>
    </w:p>
    <w:p>
      <w:pPr>
        <w:pStyle w:val="Heading1"/>
        <w:spacing w:after="160" w:before="320"/>
      </w:pPr>
      <w:r>
        <w:rPr>
          <w:rFonts w:ascii="Arial" w:cs="Arial" w:eastAsia="Arial" w:hAnsi="Arial"/>
          <w:b/>
          <w:bCs/>
          <w:color w:val="3D1020"/>
          <w:sz w:val="30"/>
          <w:szCs w:val="30"/>
        </w:rPr>
        <w:t xml:space="preserve">3. PIPEDA Compliance Framework</w:t>
      </w:r>
    </w:p>
    <w:p>
      <w:pPr>
        <w:pStyle w:val="Heading2"/>
        <w:spacing w:after="120" w:before="240"/>
      </w:pPr>
      <w:r>
        <w:rPr>
          <w:rFonts w:ascii="Arial" w:cs="Arial" w:eastAsia="Arial" w:hAnsi="Arial"/>
          <w:b/>
          <w:bCs/>
          <w:color w:val="7A3448"/>
          <w:sz w:val="26"/>
          <w:szCs w:val="26"/>
        </w:rPr>
        <w:t xml:space="preserve">3.1  What PIPEDA Requires</w:t>
      </w:r>
    </w:p>
    <w:p>
      <w:pPr>
        <w:spacing w:after="100" w:before="60"/>
      </w:pPr>
      <w:r>
        <w:rPr>
          <w:rFonts w:ascii="Arial" w:cs="Arial" w:eastAsia="Arial" w:hAnsi="Arial"/>
          <w:sz w:val="22"/>
          <w:szCs w:val="22"/>
        </w:rPr>
        <w:t xml:space="preserve">The Personal Information Protection and Electronic Documents Act (PIPEDA) governs how private-sector organizations in Canada collect, use, and disclose personal information in the course of commercial activities. The Trusted Partners feature involves all three activities.</w:t>
      </w:r>
    </w:p>
    <w:p>
      <w:pPr>
        <w:spacing w:after="0" w:before="60"/>
      </w:pPr>
      <w:r>
        <w:t xml:space="preserve"/>
      </w:r>
    </w:p>
    <w:p>
      <w:pPr>
        <w:spacing w:after="100" w:before="60"/>
      </w:pPr>
      <w:r>
        <w:rPr>
          <w:rFonts w:ascii="Arial" w:cs="Arial" w:eastAsia="Arial" w:hAnsi="Arial"/>
          <w:sz w:val="22"/>
          <w:szCs w:val="22"/>
        </w:rPr>
        <w:t xml:space="preserve">PIPEDA’s 10 Fair Information Principles as they apply to Trusted Partners: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3D1020" w:val="clear"/>
            <w:tcMar>
              <w:top w:type="dxa" w:w="80"/>
              <w:left w:type="dxa" w:w="120"/>
              <w:bottom w:type="dxa" w:w="80"/>
              <w:right w:type="dxa" w:w="120"/>
            </w:tcMar>
          </w:tcPr>
          <w:p>
            <w:r>
              <w:rPr>
                <w:rFonts w:ascii="Arial" w:cs="Arial" w:eastAsia="Arial" w:hAnsi="Arial"/>
                <w:b/>
                <w:bCs/>
                <w:color w:val="FFFFFF"/>
                <w:sz w:val="20"/>
                <w:szCs w:val="20"/>
              </w:rPr>
              <w:t xml:space="preserve">PIPEDA Principle</w:t>
            </w:r>
          </w:p>
        </w:tc>
        <w:tc>
          <w:tcPr>
            <w:tcW w:type="dxa" w:w="6960"/>
            <w:tcBorders>
              <w:top w:val="single" w:color="CCCCCC" w:sz="1"/>
              <w:left w:val="single" w:color="CCCCCC" w:sz="1"/>
              <w:bottom w:val="single" w:color="CCCCCC" w:sz="1"/>
              <w:right w:val="single" w:color="CCCCCC" w:sz="1"/>
            </w:tcBorders>
            <w:shd w:fill="3D1020" w:val="clear"/>
            <w:tcMar>
              <w:top w:type="dxa" w:w="80"/>
              <w:left w:type="dxa" w:w="120"/>
              <w:bottom w:type="dxa" w:w="80"/>
              <w:right w:type="dxa" w:w="120"/>
            </w:tcMar>
          </w:tcPr>
          <w:p>
            <w:r>
              <w:rPr>
                <w:rFonts w:ascii="Arial" w:cs="Arial" w:eastAsia="Arial" w:hAnsi="Arial"/>
                <w:b/>
                <w:bCs/>
                <w:color w:val="FFFFFF"/>
                <w:sz w:val="20"/>
                <w:szCs w:val="20"/>
              </w:rPr>
              <w:t xml:space="preserve">Trusted Partners Implication</w:t>
            </w:r>
          </w:p>
        </w:tc>
      </w:tr>
      <w:tr>
        <w:tc>
          <w:tcPr>
            <w:tcW w:type="dxa" w:w="2400"/>
            <w:tcBorders>
              <w:top w:val="single" w:color="CCCCCC" w:sz="1"/>
              <w:left w:val="single" w:color="CCCCCC" w:sz="1"/>
              <w:bottom w:val="single" w:color="CCCCCC" w:sz="1"/>
              <w:right w:val="single" w:color="CCCCCC" w:sz="1"/>
            </w:tcBorders>
            <w:shd w:fill="FFFBFD" w:val="clear"/>
            <w:tcMar>
              <w:top w:type="dxa" w:w="80"/>
              <w:left w:type="dxa" w:w="120"/>
              <w:bottom w:type="dxa" w:w="80"/>
              <w:right w:type="dxa" w:w="120"/>
            </w:tcMar>
          </w:tcPr>
          <w:p>
            <w:r>
              <w:rPr>
                <w:rFonts w:ascii="Arial" w:cs="Arial" w:eastAsia="Arial" w:hAnsi="Arial"/>
                <w:b/>
                <w:bCs/>
                <w:color w:val="3D1020"/>
                <w:sz w:val="20"/>
                <w:szCs w:val="20"/>
              </w:rPr>
              <w:t xml:space="preserve">1. Accountability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1020"/>
                <w:sz w:val="20"/>
                <w:szCs w:val="20"/>
              </w:rPr>
              <w:t xml:space="preserve">Solace Life is the accountable organization for personal information under its control — including inquiry content in transit. Designate a Privacy Officer before launch.</w:t>
            </w:r>
          </w:p>
        </w:tc>
      </w:tr>
      <w:tr>
        <w:tc>
          <w:tcPr>
            <w:tcW w:type="dxa" w:w="2400"/>
            <w:tcBorders>
              <w:top w:val="single" w:color="CCCCCC" w:sz="1"/>
              <w:left w:val="single" w:color="CCCCCC" w:sz="1"/>
              <w:bottom w:val="single" w:color="CCCCCC" w:sz="1"/>
              <w:right w:val="single" w:color="CCCCCC" w:sz="1"/>
            </w:tcBorders>
            <w:shd w:fill="FFFBFD" w:val="clear"/>
            <w:tcMar>
              <w:top w:type="dxa" w:w="80"/>
              <w:left w:type="dxa" w:w="120"/>
              <w:bottom w:type="dxa" w:w="80"/>
              <w:right w:type="dxa" w:w="120"/>
            </w:tcMar>
          </w:tcPr>
          <w:p>
            <w:r>
              <w:rPr>
                <w:rFonts w:ascii="Arial" w:cs="Arial" w:eastAsia="Arial" w:hAnsi="Arial"/>
                <w:b/>
                <w:bCs/>
                <w:color w:val="3D1020"/>
                <w:sz w:val="20"/>
                <w:szCs w:val="20"/>
              </w:rPr>
              <w:t xml:space="preserve">2. Identifying Purposes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1020"/>
                <w:sz w:val="20"/>
                <w:szCs w:val="20"/>
              </w:rPr>
              <w:t xml:space="preserve">Before collecting inquiry content and contact info, Solace Life must identify and document the purpose: “to facilitate introduction to a vetted professional partner.”</w:t>
            </w:r>
          </w:p>
        </w:tc>
      </w:tr>
      <w:tr>
        <w:tc>
          <w:tcPr>
            <w:tcW w:type="dxa" w:w="2400"/>
            <w:tcBorders>
              <w:top w:val="single" w:color="CCCCCC" w:sz="1"/>
              <w:left w:val="single" w:color="CCCCCC" w:sz="1"/>
              <w:bottom w:val="single" w:color="CCCCCC" w:sz="1"/>
              <w:right w:val="single" w:color="CCCCCC" w:sz="1"/>
            </w:tcBorders>
            <w:shd w:fill="FFFBFD" w:val="clear"/>
            <w:tcMar>
              <w:top w:type="dxa" w:w="80"/>
              <w:left w:type="dxa" w:w="120"/>
              <w:bottom w:type="dxa" w:w="80"/>
              <w:right w:type="dxa" w:w="120"/>
            </w:tcMar>
          </w:tcPr>
          <w:p>
            <w:r>
              <w:rPr>
                <w:rFonts w:ascii="Arial" w:cs="Arial" w:eastAsia="Arial" w:hAnsi="Arial"/>
                <w:b/>
                <w:bCs/>
                <w:color w:val="3D1020"/>
                <w:sz w:val="20"/>
                <w:szCs w:val="20"/>
              </w:rPr>
              <w:t xml:space="preserve">3. Consent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1020"/>
                <w:sz w:val="20"/>
                <w:szCs w:val="20"/>
              </w:rPr>
              <w:t xml:space="preserve">Meaningful consent is required — not buried in a privacy policy. The inquiry form must include an explicit, plain-language consent statement at the point of submission.</w:t>
            </w:r>
          </w:p>
        </w:tc>
      </w:tr>
      <w:tr>
        <w:tc>
          <w:tcPr>
            <w:tcW w:type="dxa" w:w="2400"/>
            <w:tcBorders>
              <w:top w:val="single" w:color="CCCCCC" w:sz="1"/>
              <w:left w:val="single" w:color="CCCCCC" w:sz="1"/>
              <w:bottom w:val="single" w:color="CCCCCC" w:sz="1"/>
              <w:right w:val="single" w:color="CCCCCC" w:sz="1"/>
            </w:tcBorders>
            <w:shd w:fill="FFFBFD" w:val="clear"/>
            <w:tcMar>
              <w:top w:type="dxa" w:w="80"/>
              <w:left w:type="dxa" w:w="120"/>
              <w:bottom w:type="dxa" w:w="80"/>
              <w:right w:type="dxa" w:w="120"/>
            </w:tcMar>
          </w:tcPr>
          <w:p>
            <w:r>
              <w:rPr>
                <w:rFonts w:ascii="Arial" w:cs="Arial" w:eastAsia="Arial" w:hAnsi="Arial"/>
                <w:b/>
                <w:bCs/>
                <w:color w:val="3D1020"/>
                <w:sz w:val="20"/>
                <w:szCs w:val="20"/>
              </w:rPr>
              <w:t xml:space="preserve">4. Limiting Collection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1020"/>
                <w:sz w:val="20"/>
                <w:szCs w:val="20"/>
              </w:rPr>
              <w:t xml:space="preserve">Collect only what is necessary. Contact info (name, email, phone) + service type = sufficient. The free-text message field may exceed what’s strictly necessary.</w:t>
            </w:r>
          </w:p>
        </w:tc>
      </w:tr>
      <w:tr>
        <w:tc>
          <w:tcPr>
            <w:tcW w:type="dxa" w:w="2400"/>
            <w:tcBorders>
              <w:top w:val="single" w:color="CCCCCC" w:sz="1"/>
              <w:left w:val="single" w:color="CCCCCC" w:sz="1"/>
              <w:bottom w:val="single" w:color="CCCCCC" w:sz="1"/>
              <w:right w:val="single" w:color="CCCCCC" w:sz="1"/>
            </w:tcBorders>
            <w:shd w:fill="FFFBFD" w:val="clear"/>
            <w:tcMar>
              <w:top w:type="dxa" w:w="80"/>
              <w:left w:type="dxa" w:w="120"/>
              <w:bottom w:type="dxa" w:w="80"/>
              <w:right w:type="dxa" w:w="120"/>
            </w:tcMar>
          </w:tcPr>
          <w:p>
            <w:r>
              <w:rPr>
                <w:rFonts w:ascii="Arial" w:cs="Arial" w:eastAsia="Arial" w:hAnsi="Arial"/>
                <w:b/>
                <w:bCs/>
                <w:color w:val="3D1020"/>
                <w:sz w:val="20"/>
                <w:szCs w:val="20"/>
              </w:rPr>
              <w:t xml:space="preserve">5. Limiting Use, Disclosure, Retention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1020"/>
                <w:sz w:val="20"/>
                <w:szCs w:val="20"/>
              </w:rPr>
              <w:t xml:space="preserve">Inquiry content must not be used for any purpose other than the introduction. Must not be used for marketing, AI training, or analytics. Retention must be time-limited.</w:t>
            </w:r>
          </w:p>
        </w:tc>
      </w:tr>
      <w:tr>
        <w:tc>
          <w:tcPr>
            <w:tcW w:type="dxa" w:w="2400"/>
            <w:tcBorders>
              <w:top w:val="single" w:color="CCCCCC" w:sz="1"/>
              <w:left w:val="single" w:color="CCCCCC" w:sz="1"/>
              <w:bottom w:val="single" w:color="CCCCCC" w:sz="1"/>
              <w:right w:val="single" w:color="CCCCCC" w:sz="1"/>
            </w:tcBorders>
            <w:shd w:fill="FFFBFD" w:val="clear"/>
            <w:tcMar>
              <w:top w:type="dxa" w:w="80"/>
              <w:left w:type="dxa" w:w="120"/>
              <w:bottom w:type="dxa" w:w="80"/>
              <w:right w:type="dxa" w:w="120"/>
            </w:tcMar>
          </w:tcPr>
          <w:p>
            <w:r>
              <w:rPr>
                <w:rFonts w:ascii="Arial" w:cs="Arial" w:eastAsia="Arial" w:hAnsi="Arial"/>
                <w:b/>
                <w:bCs/>
                <w:color w:val="3D1020"/>
                <w:sz w:val="20"/>
                <w:szCs w:val="20"/>
              </w:rPr>
              <w:t xml:space="preserve">6. Accuracy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1020"/>
                <w:sz w:val="20"/>
                <w:szCs w:val="20"/>
              </w:rPr>
              <w:t xml:space="preserve">Contact info pre-filled from profile must be verifiable and correctable by the user before submission.</w:t>
            </w:r>
          </w:p>
        </w:tc>
      </w:tr>
      <w:tr>
        <w:tc>
          <w:tcPr>
            <w:tcW w:type="dxa" w:w="2400"/>
            <w:tcBorders>
              <w:top w:val="single" w:color="CCCCCC" w:sz="1"/>
              <w:left w:val="single" w:color="CCCCCC" w:sz="1"/>
              <w:bottom w:val="single" w:color="CCCCCC" w:sz="1"/>
              <w:right w:val="single" w:color="CCCCCC" w:sz="1"/>
            </w:tcBorders>
            <w:shd w:fill="FFFBFD" w:val="clear"/>
            <w:tcMar>
              <w:top w:type="dxa" w:w="80"/>
              <w:left w:type="dxa" w:w="120"/>
              <w:bottom w:type="dxa" w:w="80"/>
              <w:right w:type="dxa" w:w="120"/>
            </w:tcMar>
          </w:tcPr>
          <w:p>
            <w:r>
              <w:rPr>
                <w:rFonts w:ascii="Arial" w:cs="Arial" w:eastAsia="Arial" w:hAnsi="Arial"/>
                <w:b/>
                <w:bCs/>
                <w:color w:val="3D1020"/>
                <w:sz w:val="20"/>
                <w:szCs w:val="20"/>
              </w:rPr>
              <w:t xml:space="preserve">7. Safeguards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1020"/>
                <w:sz w:val="20"/>
                <w:szCs w:val="20"/>
              </w:rPr>
              <w:t xml:space="preserve">Inquiry content must be encrypted in transit and at rest. If stored, access must be restricted and logged.</w:t>
            </w:r>
          </w:p>
        </w:tc>
      </w:tr>
      <w:tr>
        <w:tc>
          <w:tcPr>
            <w:tcW w:type="dxa" w:w="2400"/>
            <w:tcBorders>
              <w:top w:val="single" w:color="CCCCCC" w:sz="1"/>
              <w:left w:val="single" w:color="CCCCCC" w:sz="1"/>
              <w:bottom w:val="single" w:color="CCCCCC" w:sz="1"/>
              <w:right w:val="single" w:color="CCCCCC" w:sz="1"/>
            </w:tcBorders>
            <w:shd w:fill="FFFBFD" w:val="clear"/>
            <w:tcMar>
              <w:top w:type="dxa" w:w="80"/>
              <w:left w:type="dxa" w:w="120"/>
              <w:bottom w:type="dxa" w:w="80"/>
              <w:right w:type="dxa" w:w="120"/>
            </w:tcMar>
          </w:tcPr>
          <w:p>
            <w:r>
              <w:rPr>
                <w:rFonts w:ascii="Arial" w:cs="Arial" w:eastAsia="Arial" w:hAnsi="Arial"/>
                <w:b/>
                <w:bCs/>
                <w:color w:val="3D1020"/>
                <w:sz w:val="20"/>
                <w:szCs w:val="20"/>
              </w:rPr>
              <w:t xml:space="preserve">8. Openness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1020"/>
                <w:sz w:val="20"/>
                <w:szCs w:val="20"/>
              </w:rPr>
              <w:t xml:space="preserve">Privacy Policy must clearly describe the Trusted Partners data flow before the feature launches.</w:t>
            </w:r>
          </w:p>
        </w:tc>
      </w:tr>
      <w:tr>
        <w:tc>
          <w:tcPr>
            <w:tcW w:type="dxa" w:w="2400"/>
            <w:tcBorders>
              <w:top w:val="single" w:color="CCCCCC" w:sz="1"/>
              <w:left w:val="single" w:color="CCCCCC" w:sz="1"/>
              <w:bottom w:val="single" w:color="CCCCCC" w:sz="1"/>
              <w:right w:val="single" w:color="CCCCCC" w:sz="1"/>
            </w:tcBorders>
            <w:shd w:fill="FFFBFD" w:val="clear"/>
            <w:tcMar>
              <w:top w:type="dxa" w:w="80"/>
              <w:left w:type="dxa" w:w="120"/>
              <w:bottom w:type="dxa" w:w="80"/>
              <w:right w:type="dxa" w:w="120"/>
            </w:tcMar>
          </w:tcPr>
          <w:p>
            <w:r>
              <w:rPr>
                <w:rFonts w:ascii="Arial" w:cs="Arial" w:eastAsia="Arial" w:hAnsi="Arial"/>
                <w:b/>
                <w:bCs/>
                <w:color w:val="3D1020"/>
                <w:sz w:val="20"/>
                <w:szCs w:val="20"/>
              </w:rPr>
              <w:t xml:space="preserve">9. Individual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1020"/>
                <w:sz w:val="20"/>
                <w:szCs w:val="20"/>
              </w:rPr>
              <w:t xml:space="preserve">Users must be able to request a copy of their inquiry data and have it deleted.</w:t>
            </w:r>
          </w:p>
        </w:tc>
      </w:tr>
      <w:tr>
        <w:tc>
          <w:tcPr>
            <w:tcW w:type="dxa" w:w="2400"/>
            <w:tcBorders>
              <w:top w:val="single" w:color="CCCCCC" w:sz="1"/>
              <w:left w:val="single" w:color="CCCCCC" w:sz="1"/>
              <w:bottom w:val="single" w:color="CCCCCC" w:sz="1"/>
              <w:right w:val="single" w:color="CCCCCC" w:sz="1"/>
            </w:tcBorders>
            <w:shd w:fill="FFFBFD" w:val="clear"/>
            <w:tcMar>
              <w:top w:type="dxa" w:w="80"/>
              <w:left w:type="dxa" w:w="120"/>
              <w:bottom w:type="dxa" w:w="80"/>
              <w:right w:type="dxa" w:w="120"/>
            </w:tcMar>
          </w:tcPr>
          <w:p>
            <w:r>
              <w:rPr>
                <w:rFonts w:ascii="Arial" w:cs="Arial" w:eastAsia="Arial" w:hAnsi="Arial"/>
                <w:b/>
                <w:bCs/>
                <w:color w:val="3D1020"/>
                <w:sz w:val="20"/>
                <w:szCs w:val="20"/>
              </w:rPr>
              <w:t xml:space="preserve">10. Challenging Compliance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1020"/>
                <w:sz w:val="20"/>
                <w:szCs w:val="20"/>
              </w:rPr>
              <w:t xml:space="preserve">A process for users to raise privacy concerns about their partner inquiry must exist.</w:t>
            </w:r>
          </w:p>
        </w:tc>
      </w:tr>
    </w:tbl>
    <w:p>
      <w:pPr>
        <w:spacing w:after="0" w:before="120"/>
      </w:pPr>
      <w:r>
        <w:t xml:space="preserve"/>
      </w:r>
    </w:p>
    <w:p>
      <w:pPr>
        <w:pStyle w:val="Heading2"/>
        <w:spacing w:after="120" w:before="240"/>
      </w:pPr>
      <w:r>
        <w:rPr>
          <w:rFonts w:ascii="Arial" w:cs="Arial" w:eastAsia="Arial" w:hAnsi="Arial"/>
          <w:b/>
          <w:bCs/>
          <w:color w:val="7A3448"/>
          <w:sz w:val="26"/>
          <w:szCs w:val="26"/>
        </w:rPr>
        <w:t xml:space="preserve">3.2  The Consent Language</w:t>
      </w:r>
    </w:p>
    <w:p>
      <w:pPr>
        <w:spacing w:after="100" w:before="60"/>
      </w:pPr>
      <w:r>
        <w:rPr>
          <w:rFonts w:ascii="Arial" w:cs="Arial" w:eastAsia="Arial" w:hAnsi="Arial"/>
          <w:b/>
          <w:bCs/>
          <w:sz w:val="22"/>
          <w:szCs w:val="22"/>
        </w:rPr>
        <w:t xml:space="preserve">The current disclaimer in the inquiry form reads: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999999"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CURRENT TEXT</w:t>
            </w:r>
          </w:p>
        </w:tc>
        <w:tc>
          <w:tcPr>
            <w:tcW w:type="dxa" w:w="89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20"/>
            </w:tcMar>
          </w:tcPr>
          <w:p>
            <w:r>
              <w:rPr>
                <w:rFonts w:ascii="Arial" w:cs="Arial" w:eastAsia="Arial" w:hAnsi="Arial"/>
                <w:sz w:val="22"/>
                <w:szCs w:val="22"/>
              </w:rPr>
              <w:t xml:space="preserve">"Solace Life makes the introduction — we do not provide legal, financial, or medical advice. By submitting, you agree to be contacted by a Solace Life partner regarding your inquiry."</w:t>
            </w:r>
          </w:p>
        </w:tc>
      </w:tr>
    </w:tbl>
    <w:p>
      <w:pPr>
        <w:spacing w:after="0" w:before="80"/>
      </w:pPr>
      <w:r>
        <w:t xml:space="preserve"/>
      </w:r>
    </w:p>
    <w:p>
      <w:pPr>
        <w:spacing w:after="100" w:before="60"/>
      </w:pPr>
      <w:r>
        <w:rPr>
          <w:rFonts w:ascii="Arial" w:cs="Arial" w:eastAsia="Arial" w:hAnsi="Arial"/>
          <w:sz w:val="22"/>
          <w:szCs w:val="22"/>
        </w:rPr>
        <w:t xml:space="preserve">This is a start, but it is insufficient for PIPEDA purposes. It does not:</w:t>
      </w:r>
    </w:p>
    <w:p>
      <w:pPr>
        <w:pStyle w:val="ListParagraph"/>
        <w:numPr>
          <w:ilvl w:val="0"/>
          <w:numId w:val="2"/>
        </w:numPr>
        <w:spacing w:after="40" w:before="40"/>
      </w:pPr>
      <w:r>
        <w:rPr>
          <w:rFonts w:ascii="Arial" w:cs="Arial" w:eastAsia="Arial" w:hAnsi="Arial"/>
          <w:b w:val="false"/>
          <w:bCs w:val="false"/>
          <w:sz w:val="22"/>
          <w:szCs w:val="22"/>
        </w:rPr>
        <w:t xml:space="preserve">Identify what personal information is being shared.</w:t>
      </w:r>
    </w:p>
    <w:p>
      <w:pPr>
        <w:pStyle w:val="ListParagraph"/>
        <w:numPr>
          <w:ilvl w:val="0"/>
          <w:numId w:val="2"/>
        </w:numPr>
        <w:spacing w:after="40" w:before="40"/>
      </w:pPr>
      <w:r>
        <w:rPr>
          <w:rFonts w:ascii="Arial" w:cs="Arial" w:eastAsia="Arial" w:hAnsi="Arial"/>
          <w:b w:val="false"/>
          <w:bCs w:val="false"/>
          <w:sz w:val="22"/>
          <w:szCs w:val="22"/>
        </w:rPr>
        <w:t xml:space="preserve">Name who specifically receives it.</w:t>
      </w:r>
    </w:p>
    <w:p>
      <w:pPr>
        <w:pStyle w:val="ListParagraph"/>
        <w:numPr>
          <w:ilvl w:val="0"/>
          <w:numId w:val="2"/>
        </w:numPr>
        <w:spacing w:after="40" w:before="40"/>
      </w:pPr>
      <w:r>
        <w:rPr>
          <w:rFonts w:ascii="Arial" w:cs="Arial" w:eastAsia="Arial" w:hAnsi="Arial"/>
          <w:b w:val="false"/>
          <w:bCs w:val="false"/>
          <w:sz w:val="22"/>
          <w:szCs w:val="22"/>
        </w:rPr>
        <w:t xml:space="preserve">State how long it will be retained.</w:t>
      </w:r>
    </w:p>
    <w:p>
      <w:pPr>
        <w:pStyle w:val="ListParagraph"/>
        <w:numPr>
          <w:ilvl w:val="0"/>
          <w:numId w:val="2"/>
        </w:numPr>
        <w:spacing w:after="40" w:before="40"/>
      </w:pPr>
      <w:r>
        <w:rPr>
          <w:rFonts w:ascii="Arial" w:cs="Arial" w:eastAsia="Arial" w:hAnsi="Arial"/>
          <w:b w:val="false"/>
          <w:bCs w:val="false"/>
          <w:sz w:val="22"/>
          <w:szCs w:val="22"/>
        </w:rPr>
        <w:t xml:space="preserve">Provide a right to withdraw.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2980B9"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REVISED CONSENT TEXT (RECOMMENDED)</w:t>
            </w:r>
          </w:p>
        </w:tc>
        <w:tc>
          <w:tcPr>
            <w:tcW w:type="dxa" w:w="8960"/>
            <w:tcBorders>
              <w:top w:val="single" w:color="CCCCCC" w:sz="1"/>
              <w:left w:val="single" w:color="CCCCCC" w:sz="1"/>
              <w:bottom w:val="single" w:color="CCCCCC" w:sz="1"/>
              <w:right w:val="single" w:color="CCCCCC" w:sz="1"/>
            </w:tcBorders>
            <w:shd w:fill="F0F7FF" w:val="clear"/>
            <w:tcMar>
              <w:top w:type="dxa" w:w="120"/>
              <w:left w:type="dxa" w:w="180"/>
              <w:bottom w:type="dxa" w:w="120"/>
              <w:right w:type="dxa" w:w="120"/>
            </w:tcMar>
          </w:tcPr>
          <w:p>
            <w:r>
              <w:rPr>
                <w:rFonts w:ascii="Arial" w:cs="Arial" w:eastAsia="Arial" w:hAnsi="Arial"/>
                <w:sz w:val="22"/>
                <w:szCs w:val="22"/>
              </w:rPr>
              <w:t xml:space="preserve">"By submitting this request, you consent to Solace Life sharing your name, email address, phone number (if provided), and inquiry message with one vetted partner in the selected service category. Your information will be used solely to arrange an introductory consultation. Solace Life will not retain your inquiry message after delivery. You may withdraw this consent at any time by contacting privacy@solacelife.ca. View our Privacy Policy."</w:t>
            </w:r>
          </w:p>
        </w:tc>
      </w:tr>
    </w:tbl>
    <w:p>
      <w:pPr>
        <w:spacing w:after="0" w:before="120"/>
      </w:pPr>
      <w:r>
        <w:t xml:space="preserve"/>
      </w:r>
    </w:p>
    <w:p>
      <w:pPr>
        <w:pBdr>
          <w:bottom w:val="single" w:color="F06292" w:sz="4" w:space="1"/>
        </w:pBdr>
        <w:spacing w:after="160" w:before="160"/>
      </w:pPr>
      <w:r>
        <w:t xml:space="preserve"/>
      </w:r>
    </w:p>
    <w:p>
      <w:pPr>
        <w:pStyle w:val="Heading1"/>
        <w:spacing w:after="160" w:before="320"/>
      </w:pPr>
      <w:r>
        <w:rPr>
          <w:rFonts w:ascii="Arial" w:cs="Arial" w:eastAsia="Arial" w:hAnsi="Arial"/>
          <w:b/>
          <w:bCs/>
          <w:color w:val="3D1020"/>
          <w:sz w:val="30"/>
          <w:szCs w:val="30"/>
        </w:rPr>
        <w:t xml:space="preserve">4. A Team Perspectives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A" w:val="clear"/>
            <w:tcMar>
              <w:top w:type="dxa" w:w="160"/>
              <w:left w:type="dxa" w:w="200"/>
              <w:bottom w:type="dxa" w:w="80"/>
              <w:right w:type="dxa" w:w="200"/>
            </w:tcMar>
          </w:tcPr>
          <w:p>
            <w:pPr>
              <w:spacing w:after="60" w:before="0"/>
            </w:pPr>
            <w:r>
              <w:rPr>
                <w:rFonts w:ascii="Arial" w:cs="Arial" w:eastAsia="Arial" w:hAnsi="Arial"/>
                <w:b/>
                <w:bCs/>
                <w:color w:val="3D1020"/>
                <w:sz w:val="24"/>
                <w:szCs w:val="24"/>
              </w:rPr>
              <w:t xml:space="preserve">⚖️  Emma Walsh</w:t>
            </w:r>
            <w:r>
              <w:rPr>
                <w:rFonts w:ascii="Arial" w:cs="Arial" w:eastAsia="Arial" w:hAnsi="Arial"/>
                <w:i/>
                <w:iCs/>
                <w:color w:val="7A3448"/>
                <w:sz w:val="20"/>
                <w:szCs w:val="20"/>
              </w:rPr>
              <w:t xml:space="preserve">   ·   Legal &amp; Compliance Counsel — JD, Osgoode Hall</w:t>
            </w:r>
          </w:p>
          <w:p>
            <w:pPr>
              <w:spacing w:after="60" w:before="40"/>
            </w:pPr>
            <w:r>
              <w:rPr>
                <w:rFonts w:ascii="Arial" w:cs="Arial" w:eastAsia="Arial" w:hAnsi="Arial"/>
                <w:color w:val="3D1020"/>
                <w:sz w:val="22"/>
                <w:szCs w:val="22"/>
              </w:rPr>
              <w:t xml:space="preserve">This is the right moment to address this — before we have a single live partner. Once partners are active and inquiries are flowing, retrofitting consent language and data architecture becomes much harder and creates potential retroactive liability.</w:t>
            </w:r>
          </w:p>
          <w:p>
            <w:pPr>
              <w:spacing w:after="60" w:before="40"/>
            </w:pPr>
            <w:r>
              <w:rPr>
                <w:rFonts w:ascii="Arial" w:cs="Arial" w:eastAsia="Arial" w:hAnsi="Arial"/>
                <w:color w:val="3D1020"/>
                <w:sz w:val="22"/>
                <w:szCs w:val="22"/>
              </w:rPr>
              <w:t xml:space="preserve">My primary concern is the lawyer category. Solicitor-client privilege is quasi-constitutional in Canada. Solace Life cannot be a conduit for privileged communications without understanding that role fully. I strongly recommend we treat lawyer inquiries as a separate data-handling tier — encrypted pass-through only, zero retention, with a clear technical implementation that we can demonstrate to regulators if needed.</w:t>
            </w:r>
          </w:p>
          <w:p>
            <w:pPr>
              <w:spacing w:after="60" w:before="40"/>
            </w:pPr>
            <w:r>
              <w:rPr>
                <w:rFonts w:ascii="Arial" w:cs="Arial" w:eastAsia="Arial" w:hAnsi="Arial"/>
                <w:color w:val="3D1020"/>
                <w:sz w:val="22"/>
                <w:szCs w:val="22"/>
              </w:rPr>
              <w:t xml:space="preserve">For all other partners, we need a Trusted Partner Data Processing Agreement executed before any partner goes live. This should cover confidentiality obligations, prohibited uses of inquiry data, breach notification requirements, and the partner’s agreement to comply with their own regulatory obligations when handling Solace Life referrals.</w:t>
            </w:r>
          </w:p>
          <w:p>
            <w:pPr>
              <w:spacing w:after="60" w:before="40"/>
            </w:pPr>
            <w:r>
              <w:rPr>
                <w:rFonts w:ascii="Arial" w:cs="Arial" w:eastAsia="Arial" w:hAnsi="Arial"/>
                <w:color w:val="3D1020"/>
                <w:sz w:val="22"/>
                <w:szCs w:val="22"/>
              </w:rPr>
              <w:t xml:space="preserve">The PIPEDA consent language needs a full rewrite. What is currently in the form is a disclaimer, not consent. PIPEDA requires meaningful, informed, specific consent — the user must know what is being shared, with whom, and for how long. We should also register a Privacy Policy update before any partner launches.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A" w:val="clear"/>
            <w:tcMar>
              <w:top w:type="dxa" w:w="160"/>
              <w:left w:type="dxa" w:w="200"/>
              <w:bottom w:type="dxa" w:w="80"/>
              <w:right w:type="dxa" w:w="200"/>
            </w:tcMar>
          </w:tcPr>
          <w:p>
            <w:pPr>
              <w:spacing w:after="60" w:before="0"/>
            </w:pPr>
            <w:r>
              <w:rPr>
                <w:rFonts w:ascii="Arial" w:cs="Arial" w:eastAsia="Arial" w:hAnsi="Arial"/>
                <w:b/>
                <w:bCs/>
                <w:color w:val="3D1020"/>
                <w:sz w:val="24"/>
                <w:szCs w:val="24"/>
              </w:rPr>
              <w:t xml:space="preserve">💼  Diana Lowe</w:t>
            </w:r>
            <w:r>
              <w:rPr>
                <w:rFonts w:ascii="Arial" w:cs="Arial" w:eastAsia="Arial" w:hAnsi="Arial"/>
                <w:i/>
                <w:iCs/>
                <w:color w:val="7A3448"/>
                <w:sz w:val="20"/>
                <w:szCs w:val="20"/>
              </w:rPr>
              <w:t xml:space="preserve">   ·   Co-Founder &amp; Chief Strategy Officer — MBA, Harvard</w:t>
            </w:r>
          </w:p>
          <w:p>
            <w:pPr>
              <w:spacing w:after="60" w:before="40"/>
            </w:pPr>
            <w:r>
              <w:rPr>
                <w:rFonts w:ascii="Arial" w:cs="Arial" w:eastAsia="Arial" w:hAnsi="Arial"/>
                <w:color w:val="3D1020"/>
                <w:sz w:val="22"/>
                <w:szCs w:val="22"/>
              </w:rPr>
              <w:t xml:space="preserve">From my time at the digital estate startup acquired by LegalZoom, I can tell you this is exactly the kind of feature that looks simple from the outside and is an iceberg on the inside. LegalZoom spent years and significant legal budget navigating the ‘unauthorized practice of law’ line. We do not want to be in that fight.</w:t>
            </w:r>
          </w:p>
          <w:p>
            <w:pPr>
              <w:spacing w:after="60" w:before="40"/>
            </w:pPr>
            <w:r>
              <w:rPr>
                <w:rFonts w:ascii="Arial" w:cs="Arial" w:eastAsia="Arial" w:hAnsi="Arial"/>
                <w:color w:val="3D1020"/>
                <w:sz w:val="22"/>
                <w:szCs w:val="22"/>
              </w:rPr>
              <w:t xml:space="preserve">The single most important thing we can do strategically is keep Solace Life’s role crystal clear: we are a directory and introduction service, not a legal or financial intermediary. Every word of the UI, the disclaimer, the confirmation email, and the partner agreement must reinforce this consistently. The moment a court or regulator perceives us as more than an introducer, our liability exposure expands dramatically.</w:t>
            </w:r>
          </w:p>
          <w:p>
            <w:pPr>
              <w:spacing w:after="60" w:before="40"/>
            </w:pPr>
            <w:r>
              <w:rPr>
                <w:rFonts w:ascii="Arial" w:cs="Arial" w:eastAsia="Arial" w:hAnsi="Arial"/>
                <w:color w:val="3D1020"/>
                <w:sz w:val="22"/>
                <w:szCs w:val="22"/>
              </w:rPr>
              <w:t xml:space="preserve">I also want to flag the business model angle: if we are routing high-value legal and financial clients to partners, those partners will pay for that. But our value is the quality and trustworthiness of the introduction — which means our legal hygiene is directly tied to our revenue model. Bad legal architecture undermines partner trust and partner fees.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A" w:val="clear"/>
            <w:tcMar>
              <w:top w:type="dxa" w:w="160"/>
              <w:left w:type="dxa" w:w="200"/>
              <w:bottom w:type="dxa" w:w="80"/>
              <w:right w:type="dxa" w:w="200"/>
            </w:tcMar>
          </w:tcPr>
          <w:p>
            <w:pPr>
              <w:spacing w:after="60" w:before="0"/>
            </w:pPr>
            <w:r>
              <w:rPr>
                <w:rFonts w:ascii="Arial" w:cs="Arial" w:eastAsia="Arial" w:hAnsi="Arial"/>
                <w:b/>
                <w:bCs/>
                <w:color w:val="3D1020"/>
                <w:sz w:val="24"/>
                <w:szCs w:val="24"/>
              </w:rPr>
              <w:t xml:space="preserve">💻  Alex Chen</w:t>
            </w:r>
            <w:r>
              <w:rPr>
                <w:rFonts w:ascii="Arial" w:cs="Arial" w:eastAsia="Arial" w:hAnsi="Arial"/>
                <w:i/>
                <w:iCs/>
                <w:color w:val="7A3448"/>
                <w:sz w:val="20"/>
                <w:szCs w:val="20"/>
              </w:rPr>
              <w:t xml:space="preserve">   ·   Lead Engineer / CTO — M.Sc. CS, MIT</w:t>
            </w:r>
          </w:p>
          <w:p>
            <w:pPr>
              <w:spacing w:after="60" w:before="40"/>
            </w:pPr>
            <w:r>
              <w:rPr>
                <w:rFonts w:ascii="Arial" w:cs="Arial" w:eastAsia="Arial" w:hAnsi="Arial"/>
                <w:color w:val="3D1020"/>
                <w:sz w:val="22"/>
                <w:szCs w:val="22"/>
              </w:rPr>
              <w:t xml:space="preserve">From a systems architecture standpoint, the current implementation stores inquiry content in the service_inquiries Supabase table indefinitely. We need to change this. The retention policy should be: store the service type, contact info, and status for operational purposes — but the free-text message field should be purged after confirmed delivery to the partner.</w:t>
            </w:r>
          </w:p>
          <w:p>
            <w:pPr>
              <w:spacing w:after="60" w:before="40"/>
            </w:pPr>
            <w:r>
              <w:rPr>
                <w:rFonts w:ascii="Arial" w:cs="Arial" w:eastAsia="Arial" w:hAnsi="Arial"/>
                <w:color w:val="3D1020"/>
                <w:sz w:val="22"/>
                <w:szCs w:val="22"/>
              </w:rPr>
              <w:t xml:space="preserve">I would recommend implementing a separate encrypted message delivery service rather than using the general-purpose database table for inquiry content. The message content travels from the user’s device, through our API, to the partner’s designated contact channel — and is deleted from our side on delivery confirmation. The status row in service_inquiries keeps only metadata: who requested what service, when, and whether it was delivered.</w:t>
            </w:r>
          </w:p>
          <w:p>
            <w:pPr>
              <w:spacing w:after="60" w:before="40"/>
            </w:pPr>
            <w:r>
              <w:rPr>
                <w:rFonts w:ascii="Arial" w:cs="Arial" w:eastAsia="Arial" w:hAnsi="Arial"/>
                <w:color w:val="3D1020"/>
                <w:sz w:val="22"/>
                <w:szCs w:val="22"/>
              </w:rPr>
              <w:t xml:space="preserve">For the lawyer tier specifically, we should consider end-to-end encryption where Solace Life literally cannot read the message content even if compelled — the message is encrypted with the lawyer-partner’s public key before leaving the device. This is technically achievable and is the cleanest way to distance Solace Life from the privileged communication.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A" w:val="clear"/>
            <w:tcMar>
              <w:top w:type="dxa" w:w="160"/>
              <w:left w:type="dxa" w:w="200"/>
              <w:bottom w:type="dxa" w:w="80"/>
              <w:right w:type="dxa" w:w="200"/>
            </w:tcMar>
          </w:tcPr>
          <w:p>
            <w:pPr>
              <w:spacing w:after="60" w:before="0"/>
            </w:pPr>
            <w:r>
              <w:rPr>
                <w:rFonts w:ascii="Arial" w:cs="Arial" w:eastAsia="Arial" w:hAnsi="Arial"/>
                <w:b/>
                <w:bCs/>
                <w:color w:val="3D1020"/>
                <w:sz w:val="24"/>
                <w:szCs w:val="24"/>
              </w:rPr>
              <w:t xml:space="preserve">🎨  Maya Torres</w:t>
            </w:r>
            <w:r>
              <w:rPr>
                <w:rFonts w:ascii="Arial" w:cs="Arial" w:eastAsia="Arial" w:hAnsi="Arial"/>
                <w:i/>
                <w:iCs/>
                <w:color w:val="7A3448"/>
                <w:sz w:val="20"/>
                <w:szCs w:val="20"/>
              </w:rPr>
              <w:t xml:space="preserve">   ·   Head of Product &amp; UX Design — MFA Interaction Design, Royal College of Art</w:t>
            </w:r>
          </w:p>
          <w:p>
            <w:pPr>
              <w:spacing w:after="60" w:before="40"/>
            </w:pPr>
            <w:r>
              <w:rPr>
                <w:rFonts w:ascii="Arial" w:cs="Arial" w:eastAsia="Arial" w:hAnsi="Arial"/>
                <w:color w:val="3D1020"/>
                <w:sz w:val="22"/>
                <w:szCs w:val="22"/>
              </w:rPr>
              <w:t xml:space="preserve">The legal requirements and the UX requirements are actually aligned here, which is rare and worth noting. The best user experience for the inquiry window is also the legally correct one: a focused, limited form that asks for the minimum necessary information, gives the user clear expectations about what happens next, and doesn’t invite them to pour their life story into a text box.</w:t>
            </w:r>
          </w:p>
          <w:p>
            <w:pPr>
              <w:spacing w:after="60" w:before="40"/>
            </w:pPr>
            <w:r>
              <w:rPr>
                <w:rFonts w:ascii="Arial" w:cs="Arial" w:eastAsia="Arial" w:hAnsi="Arial"/>
                <w:color w:val="3D1020"/>
                <w:sz w:val="22"/>
                <w:szCs w:val="22"/>
              </w:rPr>
              <w:t xml:space="preserve">I would redesign the message field to be category-specific. For a lawyer inquiry, the placeholder text should read: “Briefly describe the type of estate matter you need help with — e.g., ‘updating a will’ or ‘help with probate.’ You can share the full details directly with the lawyer.” This naturally limits what users type without preventing them from making contact.</w:t>
            </w:r>
          </w:p>
          <w:p>
            <w:pPr>
              <w:spacing w:after="60" w:before="40"/>
            </w:pPr>
            <w:r>
              <w:rPr>
                <w:rFonts w:ascii="Arial" w:cs="Arial" w:eastAsia="Arial" w:hAnsi="Arial"/>
                <w:color w:val="3D1020"/>
                <w:sz w:val="22"/>
                <w:szCs w:val="22"/>
              </w:rPr>
              <w:t xml:space="preserve">The consent checkbox should not be in small print below the button. It should be a visible, un-pre-checked checkbox that the user actively clicks. Pre-checked consent is a dark pattern and likely insufficient under PIPEDA anyway. Make the consent visible, brief, and honest.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A" w:val="clear"/>
            <w:tcMar>
              <w:top w:type="dxa" w:w="160"/>
              <w:left w:type="dxa" w:w="200"/>
              <w:bottom w:type="dxa" w:w="80"/>
              <w:right w:type="dxa" w:w="200"/>
            </w:tcMar>
          </w:tcPr>
          <w:p>
            <w:pPr>
              <w:spacing w:after="60" w:before="0"/>
            </w:pPr>
            <w:r>
              <w:rPr>
                <w:rFonts w:ascii="Arial" w:cs="Arial" w:eastAsia="Arial" w:hAnsi="Arial"/>
                <w:b/>
                <w:bCs/>
                <w:color w:val="3D1020"/>
                <w:sz w:val="24"/>
                <w:szCs w:val="24"/>
              </w:rPr>
              <w:t xml:space="preserve">📊  Robert Chang</w:t>
            </w:r>
            <w:r>
              <w:rPr>
                <w:rFonts w:ascii="Arial" w:cs="Arial" w:eastAsia="Arial" w:hAnsi="Arial"/>
                <w:i/>
                <w:iCs/>
                <w:color w:val="7A3448"/>
                <w:sz w:val="20"/>
                <w:szCs w:val="20"/>
              </w:rPr>
              <w:t xml:space="preserve">   ·   Chief Financial Advisor — CPA, Ex-Partner KPMG</w:t>
            </w:r>
          </w:p>
          <w:p>
            <w:pPr>
              <w:spacing w:after="60" w:before="40"/>
            </w:pPr>
            <w:r>
              <w:rPr>
                <w:rFonts w:ascii="Arial" w:cs="Arial" w:eastAsia="Arial" w:hAnsi="Arial"/>
                <w:color w:val="3D1020"/>
                <w:sz w:val="22"/>
                <w:szCs w:val="22"/>
              </w:rPr>
              <w:t xml:space="preserve">The CPA confidentiality issue is real but manageable. Under CPA Canada’s Code of Professional Conduct, Principle 208 (Confidentiality) obligates members to maintain confidentiality of client information acquired in the course of professional services. The key phrase is ‘in the course of’ — an inquiry received through a third-party platform before any engagement begins is a grey area.</w:t>
            </w:r>
          </w:p>
          <w:p>
            <w:pPr>
              <w:spacing w:after="60" w:before="40"/>
            </w:pPr>
            <w:r>
              <w:rPr>
                <w:rFonts w:ascii="Arial" w:cs="Arial" w:eastAsia="Arial" w:hAnsi="Arial"/>
                <w:color w:val="3D1020"/>
                <w:sz w:val="22"/>
                <w:szCs w:val="22"/>
              </w:rPr>
              <w:t xml:space="preserve">My recommendation is that the partner agreement for CPA/tax professionals should include an explicit clause: the partner acknowledges that inquiry content received through Solace Life is to be treated as confidential client information from the moment of receipt, and they will not use it for any purpose other than the requested introduction. This is consistent with the spirit of their professional obligations and gives Solace Life a contractual backstop.</w:t>
            </w:r>
          </w:p>
          <w:p>
            <w:pPr>
              <w:spacing w:after="60" w:before="40"/>
            </w:pPr>
            <w:r>
              <w:rPr>
                <w:rFonts w:ascii="Arial" w:cs="Arial" w:eastAsia="Arial" w:hAnsi="Arial"/>
                <w:color w:val="3D1020"/>
                <w:sz w:val="22"/>
                <w:szCs w:val="22"/>
              </w:rPr>
              <w:t xml:space="preserve">On the financial advisor side: the inquiry form for this category should explicitly say the introductory consultation will include a KYC process. Users should understand that the first meeting with a financial advisor will involve them sharing financial information directly with the advisor — not through Solace Life.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A" w:val="clear"/>
            <w:tcMar>
              <w:top w:type="dxa" w:w="160"/>
              <w:left w:type="dxa" w:w="200"/>
              <w:bottom w:type="dxa" w:w="80"/>
              <w:right w:type="dxa" w:w="200"/>
            </w:tcMar>
          </w:tcPr>
          <w:p>
            <w:pPr>
              <w:spacing w:after="60" w:before="0"/>
            </w:pPr>
            <w:r>
              <w:rPr>
                <w:rFonts w:ascii="Arial" w:cs="Arial" w:eastAsia="Arial" w:hAnsi="Arial"/>
                <w:b/>
                <w:bCs/>
                <w:color w:val="3D1020"/>
                <w:sz w:val="24"/>
                <w:szCs w:val="24"/>
              </w:rPr>
              <w:t xml:space="preserve">🚀  James Okafor</w:t>
            </w:r>
            <w:r>
              <w:rPr>
                <w:rFonts w:ascii="Arial" w:cs="Arial" w:eastAsia="Arial" w:hAnsi="Arial"/>
                <w:i/>
                <w:iCs/>
                <w:color w:val="7A3448"/>
                <w:sz w:val="20"/>
                <w:szCs w:val="20"/>
              </w:rPr>
              <w:t xml:space="preserve">   ·   Growth &amp; Marketing Strategist — MBA, Wharton</w:t>
            </w:r>
          </w:p>
          <w:p>
            <w:pPr>
              <w:spacing w:after="60" w:before="40"/>
            </w:pPr>
            <w:r>
              <w:rPr>
                <w:rFonts w:ascii="Arial" w:cs="Arial" w:eastAsia="Arial" w:hAnsi="Arial"/>
                <w:color w:val="3D1020"/>
                <w:sz w:val="22"/>
                <w:szCs w:val="22"/>
              </w:rPr>
              <w:t xml:space="preserve">From a growth perspective, getting the legal architecture right here is table stakes for partner acquisition. High-quality estate lawyers and CFPs are not going to join a network that looks legally sloppy. They will ask about our privacy practices, our data handling, and our compliance posture before they sign a partner agreement. Having clean answers to these questions is a competitive advantage.</w:t>
            </w:r>
          </w:p>
          <w:p>
            <w:pPr>
              <w:spacing w:after="60" w:before="40"/>
            </w:pPr>
            <w:r>
              <w:rPr>
                <w:rFonts w:ascii="Arial" w:cs="Arial" w:eastAsia="Arial" w:hAnsi="Arial"/>
                <w:color w:val="3D1020"/>
                <w:sz w:val="22"/>
                <w:szCs w:val="22"/>
              </w:rPr>
              <w:t xml:space="preserve">The ‘Solace Life makes the introduction’ positioning is also a marketing asset, not just a legal hedge. It positions us as a trusted, curated matchmaker — not a DIY legal form service. That distinction is valuable. We should double down on it in our partner-facing marketing: ‘We bring you qualified, informed prospects who are ready to engage.’</w:t>
            </w:r>
          </w:p>
          <w:p>
            <w:pPr>
              <w:spacing w:after="60" w:before="40"/>
            </w:pPr>
            <w:r>
              <w:rPr>
                <w:rFonts w:ascii="Arial" w:cs="Arial" w:eastAsia="Arial" w:hAnsi="Arial"/>
                <w:color w:val="3D1020"/>
                <w:sz w:val="22"/>
                <w:szCs w:val="22"/>
              </w:rPr>
              <w:t xml:space="preserve">One growth concern: do not let the legal friction of the inquiry form kill conversion. The consent language should be clear but not alarming. The goal is a user who understands what they’re consenting to and feels good about submitting. If the form feels like a legal minefield, we will lose users at that step.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A" w:val="clear"/>
            <w:tcMar>
              <w:top w:type="dxa" w:w="160"/>
              <w:left w:type="dxa" w:w="200"/>
              <w:bottom w:type="dxa" w:w="80"/>
              <w:right w:type="dxa" w:w="200"/>
            </w:tcMar>
          </w:tcPr>
          <w:p>
            <w:pPr>
              <w:spacing w:after="60" w:before="0"/>
            </w:pPr>
            <w:r>
              <w:rPr>
                <w:rFonts w:ascii="Arial" w:cs="Arial" w:eastAsia="Arial" w:hAnsi="Arial"/>
                <w:b/>
                <w:bCs/>
                <w:color w:val="3D1020"/>
                <w:sz w:val="24"/>
                <w:szCs w:val="24"/>
              </w:rPr>
              <w:t xml:space="preserve">🧪  Dr. Sarah Kim</w:t>
            </w:r>
            <w:r>
              <w:rPr>
                <w:rFonts w:ascii="Arial" w:cs="Arial" w:eastAsia="Arial" w:hAnsi="Arial"/>
                <w:i/>
                <w:iCs/>
                <w:color w:val="7A3448"/>
                <w:sz w:val="20"/>
                <w:szCs w:val="20"/>
              </w:rPr>
              <w:t xml:space="preserve">   ·   Market Research &amp; Consumer Psychology — PhD, Stanford</w:t>
            </w:r>
          </w:p>
          <w:p>
            <w:pPr>
              <w:spacing w:after="60" w:before="40"/>
            </w:pPr>
            <w:r>
              <w:rPr>
                <w:rFonts w:ascii="Arial" w:cs="Arial" w:eastAsia="Arial" w:hAnsi="Arial"/>
                <w:color w:val="3D1020"/>
                <w:sz w:val="22"/>
                <w:szCs w:val="22"/>
              </w:rPr>
              <w:t xml:space="preserve">The psychological dimension here is important and underappreciated. Users who come to the Trusted Partners feature are almost always in a high-stress, emotionally vulnerable state — they may have just lost a loved one, be facing their own mortality, or be dealing with family conflict over an estate. This population is more likely to over-disclose, less likely to read disclaimers carefully, and more sensitive to feeling that their information was mishandled.</w:t>
            </w:r>
          </w:p>
          <w:p>
            <w:pPr>
              <w:spacing w:after="60" w:before="40"/>
            </w:pPr>
            <w:r>
              <w:rPr>
                <w:rFonts w:ascii="Arial" w:cs="Arial" w:eastAsia="Arial" w:hAnsi="Arial"/>
                <w:color w:val="3D1020"/>
                <w:sz w:val="22"/>
                <w:szCs w:val="22"/>
              </w:rPr>
              <w:t xml:space="preserve">This means we have both a legal and an ethical obligation to design the inquiry form conservatively. Prompts that invite emotional narrative (‘Describe your situation’) will reliably produce overshares that are legally risky for us and potentially harmful to the user if that information is mishandled by a partner.</w:t>
            </w:r>
          </w:p>
          <w:p>
            <w:pPr>
              <w:spacing w:after="60" w:before="40"/>
            </w:pPr>
            <w:r>
              <w:rPr>
                <w:rFonts w:ascii="Arial" w:cs="Arial" w:eastAsia="Arial" w:hAnsi="Arial"/>
                <w:color w:val="3D1020"/>
                <w:sz w:val="22"/>
                <w:szCs w:val="22"/>
              </w:rPr>
              <w:t xml:space="preserve">The form should use structured prompts where possible — dropdowns, short fields, checkboxes — rather than open text. Reserve open text for a brief ‘anything else we should know’ field with a tight character limit. This protects users from themselves in a moment of vulnerability, and it protects Solace Life from data it does not want to hold.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A" w:val="clear"/>
            <w:tcMar>
              <w:top w:type="dxa" w:w="160"/>
              <w:left w:type="dxa" w:w="200"/>
              <w:bottom w:type="dxa" w:w="80"/>
              <w:right w:type="dxa" w:w="200"/>
            </w:tcMar>
          </w:tcPr>
          <w:p>
            <w:pPr>
              <w:spacing w:after="60" w:before="0"/>
            </w:pPr>
            <w:r>
              <w:rPr>
                <w:rFonts w:ascii="Arial" w:cs="Arial" w:eastAsia="Arial" w:hAnsi="Arial"/>
                <w:b/>
                <w:bCs/>
                <w:color w:val="3D1020"/>
                <w:sz w:val="24"/>
                <w:szCs w:val="24"/>
              </w:rPr>
              <w:t xml:space="preserve">💰  Michael Reeves</w:t>
            </w:r>
            <w:r>
              <w:rPr>
                <w:rFonts w:ascii="Arial" w:cs="Arial" w:eastAsia="Arial" w:hAnsi="Arial"/>
                <w:i/>
                <w:iCs/>
                <w:color w:val="7A3448"/>
                <w:sz w:val="20"/>
                <w:szCs w:val="20"/>
              </w:rPr>
              <w:t xml:space="preserve">   ·   Financial Analyst — CFA, Ex-Director FP&amp;A</w:t>
            </w:r>
          </w:p>
          <w:p>
            <w:pPr>
              <w:spacing w:after="60" w:before="40"/>
            </w:pPr>
            <w:r>
              <w:rPr>
                <w:rFonts w:ascii="Arial" w:cs="Arial" w:eastAsia="Arial" w:hAnsi="Arial"/>
                <w:color w:val="3D1020"/>
                <w:sz w:val="22"/>
                <w:szCs w:val="22"/>
              </w:rPr>
              <w:t xml:space="preserve">The liability question has a financial dimension worth quantifying. A single PIPEDA complaint that results in an OPC investigation costs time and money to respond to, even if no fine is issued. A class action relating to mishandled mental health or financial data in a grief context would be existential for an early-stage company.</w:t>
            </w:r>
          </w:p>
          <w:p>
            <w:pPr>
              <w:spacing w:after="60" w:before="40"/>
            </w:pPr>
            <w:r>
              <w:rPr>
                <w:rFonts w:ascii="Arial" w:cs="Arial" w:eastAsia="Arial" w:hAnsi="Arial"/>
                <w:color w:val="3D1020"/>
                <w:sz w:val="22"/>
                <w:szCs w:val="22"/>
              </w:rPr>
              <w:t xml:space="preserve">The cost of getting this right now is minimal: revised consent language, a data processing agreement template, a data deletion policy, and a Privacy Policy update. I would estimate this at under $5,000 in legal fees if we bring in outside counsel for a half-day review. The cost of getting it wrong later is orders of magnitude higher.</w:t>
            </w:r>
          </w:p>
          <w:p>
            <w:pPr>
              <w:spacing w:after="60" w:before="40"/>
            </w:pPr>
            <w:r>
              <w:rPr>
                <w:rFonts w:ascii="Arial" w:cs="Arial" w:eastAsia="Arial" w:hAnsi="Arial"/>
                <w:color w:val="3D1020"/>
                <w:sz w:val="22"/>
                <w:szCs w:val="22"/>
              </w:rPr>
              <w:t xml:space="preserve">I also want to flag that some provinces (Quebec in particular, under Law 25 / Bill 64) have stricter privacy requirements than federal PIPEDA. Quebec requires explicit opt-in consent, a privacy impact assessment for new features, and a designated Privacy Officer. If we have any Quebec users — and we likely will — we need to build to the Quebec standard.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A" w:val="clear"/>
            <w:tcMar>
              <w:top w:type="dxa" w:w="160"/>
              <w:left w:type="dxa" w:w="200"/>
              <w:bottom w:type="dxa" w:w="80"/>
              <w:right w:type="dxa" w:w="200"/>
            </w:tcMar>
          </w:tcPr>
          <w:p>
            <w:pPr>
              <w:spacing w:after="60" w:before="0"/>
            </w:pPr>
            <w:r>
              <w:rPr>
                <w:rFonts w:ascii="Arial" w:cs="Arial" w:eastAsia="Arial" w:hAnsi="Arial"/>
                <w:b/>
                <w:bCs/>
                <w:color w:val="3D1020"/>
                <w:sz w:val="24"/>
                <w:szCs w:val="24"/>
              </w:rPr>
              <w:t xml:space="preserve">🧠  Dr. Marcus Webb</w:t>
            </w:r>
            <w:r>
              <w:rPr>
                <w:rFonts w:ascii="Arial" w:cs="Arial" w:eastAsia="Arial" w:hAnsi="Arial"/>
                <w:i/>
                <w:iCs/>
                <w:color w:val="7A3448"/>
                <w:sz w:val="20"/>
                <w:szCs w:val="20"/>
              </w:rPr>
              <w:t xml:space="preserve">   ·   Behavioral Economist — PhD Behavioral Economics, LSE</w:t>
            </w:r>
          </w:p>
          <w:p>
            <w:pPr>
              <w:spacing w:after="60" w:before="40"/>
            </w:pPr>
            <w:r>
              <w:rPr>
                <w:rFonts w:ascii="Arial" w:cs="Arial" w:eastAsia="Arial" w:hAnsi="Arial"/>
                <w:color w:val="3D1020"/>
                <w:sz w:val="22"/>
                <w:szCs w:val="22"/>
              </w:rPr>
              <w:t xml:space="preserve">There is a classic principal-agent problem embedded in the Trusted Partners feature. Solace Life is acting as agent for both the user (who wants a trustworthy professional) and the partner (who wants qualified referrals). When those interests diverge, Solace Life faces a conflict. The legal framework should make explicit that Solace Life’s primary obligation is to the user.</w:t>
            </w:r>
          </w:p>
          <w:p>
            <w:pPr>
              <w:spacing w:after="60" w:before="40"/>
            </w:pPr>
            <w:r>
              <w:rPr>
                <w:rFonts w:ascii="Arial" w:cs="Arial" w:eastAsia="Arial" w:hAnsi="Arial"/>
                <w:color w:val="3D1020"/>
                <w:sz w:val="22"/>
                <w:szCs w:val="22"/>
              </w:rPr>
              <w:t xml:space="preserve">On consent design: behavioral economics research consistently shows that consent forms are read by fewer than 5% of users. This does not mean we should hide important information in consent forms — it means we should use progressive disclosure and in-context micro-explanations to surface the most important points at the moment of decision. A brief, visible sentence (‘Your message goes directly to the partner — Solace Life does not keep a copy’) before the submit button will be read by far more users than a full consent paragraph.</w:t>
            </w:r>
          </w:p>
          <w:p>
            <w:pPr>
              <w:spacing w:after="60" w:before="40"/>
            </w:pPr>
            <w:r>
              <w:rPr>
                <w:rFonts w:ascii="Arial" w:cs="Arial" w:eastAsia="Arial" w:hAnsi="Arial"/>
                <w:color w:val="3D1020"/>
                <w:sz w:val="22"/>
                <w:szCs w:val="22"/>
              </w:rPr>
              <w:t xml:space="preserve">The partner rating and trust signal system also has behavioral implications. Users will take cues from how we describe partners as signals of institutional endorsement. We should be precise: ‘vetted’ means we checked their credentials and license — it does not mean we endorse their advice or guarantee their service quality. Language matters.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A" w:val="clear"/>
            <w:tcMar>
              <w:top w:type="dxa" w:w="160"/>
              <w:left w:type="dxa" w:w="200"/>
              <w:bottom w:type="dxa" w:w="80"/>
              <w:right w:type="dxa" w:w="200"/>
            </w:tcMar>
          </w:tcPr>
          <w:p>
            <w:pPr>
              <w:spacing w:after="60" w:before="0"/>
            </w:pPr>
            <w:r>
              <w:rPr>
                <w:rFonts w:ascii="Arial" w:cs="Arial" w:eastAsia="Arial" w:hAnsi="Arial"/>
                <w:b/>
                <w:bCs/>
                <w:color w:val="3D1020"/>
                <w:sz w:val="24"/>
                <w:szCs w:val="24"/>
              </w:rPr>
              <w:t xml:space="preserve">🌱  Jordan Park</w:t>
            </w:r>
            <w:r>
              <w:rPr>
                <w:rFonts w:ascii="Arial" w:cs="Arial" w:eastAsia="Arial" w:hAnsi="Arial"/>
                <w:i/>
                <w:iCs/>
                <w:color w:val="7A3448"/>
                <w:sz w:val="20"/>
                <w:szCs w:val="20"/>
              </w:rPr>
              <w:t xml:space="preserve">   ·   Growth &amp; Deployment Strategist — Serial Consumer App Founder</w:t>
            </w:r>
          </w:p>
          <w:p>
            <w:pPr>
              <w:spacing w:after="60" w:before="40"/>
            </w:pPr>
            <w:r>
              <w:rPr>
                <w:rFonts w:ascii="Arial" w:cs="Arial" w:eastAsia="Arial" w:hAnsi="Arial"/>
                <w:color w:val="3D1020"/>
                <w:sz w:val="22"/>
                <w:szCs w:val="22"/>
              </w:rPr>
              <w:t xml:space="preserve">Execution sequencing is my concern here. We should not go live with a single partner until four things are done: the revised consent language is in the form, the data deletion policy is implemented in the backend, the partner data processing agreement template is ready to sign, and the Privacy Policy is updated. None of these are expensive or slow — they are two weeks of focused work at most.</w:t>
            </w:r>
          </w:p>
          <w:p>
            <w:pPr>
              <w:spacing w:after="60" w:before="40"/>
            </w:pPr>
            <w:r>
              <w:rPr>
                <w:rFonts w:ascii="Arial" w:cs="Arial" w:eastAsia="Arial" w:hAnsi="Arial"/>
                <w:color w:val="3D1020"/>
                <w:sz w:val="22"/>
                <w:szCs w:val="22"/>
              </w:rPr>
              <w:t xml:space="preserve">For MVP of the partner network, I would recommend a soft launch with one or two deeply vetted partners in a single category — likely estate lawyers, since that’s the highest-intent use case for our user base. This lets us stress-test the inquiry flow, the partner experience, and the compliance framework before scaling to all eight categories.</w:t>
            </w:r>
          </w:p>
          <w:p>
            <w:pPr>
              <w:spacing w:after="60" w:before="40"/>
            </w:pPr>
            <w:r>
              <w:rPr>
                <w:rFonts w:ascii="Arial" w:cs="Arial" w:eastAsia="Arial" w:hAnsi="Arial"/>
                <w:color w:val="3D1020"/>
                <w:sz w:val="22"/>
                <w:szCs w:val="22"/>
              </w:rPr>
              <w:t xml:space="preserve">The partner onboarding funnel should include a compliance checkpoint — the partner must sign the data processing agreement and confirm their professional regulatory standing before they are activated in the app. This is both legally necessary and a quality signal to users: ‘Every Solace Life partner has agreed to our privacy and professional standards.’</w:t>
            </w:r>
          </w:p>
        </w:tc>
      </w:tr>
    </w:tbl>
    <w:p>
      <w:pPr>
        <w:spacing w:after="0" w:before="120"/>
      </w:pPr>
      <w:r>
        <w:t xml:space="preserve"/>
      </w:r>
    </w:p>
    <w:p>
      <w:pPr>
        <w:pBdr>
          <w:bottom w:val="single" w:color="F06292" w:sz="4" w:space="1"/>
        </w:pBdr>
        <w:spacing w:after="160" w:before="160"/>
      </w:pPr>
      <w:r>
        <w:t xml:space="preserve"/>
      </w:r>
    </w:p>
    <w:p>
      <w:pPr>
        <w:pStyle w:val="Heading1"/>
        <w:spacing w:after="160" w:before="320"/>
      </w:pPr>
      <w:r>
        <w:rPr>
          <w:rFonts w:ascii="Arial" w:cs="Arial" w:eastAsia="Arial" w:hAnsi="Arial"/>
          <w:b/>
          <w:bCs/>
          <w:color w:val="3D1020"/>
          <w:sz w:val="30"/>
          <w:szCs w:val="30"/>
        </w:rPr>
        <w:t xml:space="preserve">5. Recommended Actions — Priority Ordered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5600"/>
        <w:gridCol w:w="1840"/>
      </w:tblGrid>
      <w:tr>
        <w:trPr>
          <w:tblHeader/>
        </w:trPr>
        <w:tc>
          <w:tcPr>
            <w:tcW w:type="dxa" w:w="480"/>
            <w:tcBorders>
              <w:top w:val="single" w:color="CCCCCC" w:sz="1"/>
              <w:left w:val="single" w:color="CCCCCC" w:sz="1"/>
              <w:bottom w:val="single" w:color="CCCCCC" w:sz="1"/>
              <w:right w:val="single" w:color="CCCCCC" w:sz="1"/>
            </w:tcBorders>
            <w:shd w:fill="3D1020"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1440"/>
            <w:tcBorders>
              <w:top w:val="single" w:color="CCCCCC" w:sz="1"/>
              <w:left w:val="single" w:color="CCCCCC" w:sz="1"/>
              <w:bottom w:val="single" w:color="CCCCCC" w:sz="1"/>
              <w:right w:val="single" w:color="CCCCCC" w:sz="1"/>
            </w:tcBorders>
            <w:shd w:fill="3D10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00"/>
            <w:tcBorders>
              <w:top w:val="single" w:color="CCCCCC" w:sz="1"/>
              <w:left w:val="single" w:color="CCCCCC" w:sz="1"/>
              <w:bottom w:val="single" w:color="CCCCCC" w:sz="1"/>
              <w:right w:val="single" w:color="CCCCCC" w:sz="1"/>
            </w:tcBorders>
            <w:shd w:fill="3D102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40"/>
            <w:tcBorders>
              <w:top w:val="single" w:color="CCCCCC" w:sz="1"/>
              <w:left w:val="single" w:color="CCCCCC" w:sz="1"/>
              <w:bottom w:val="single" w:color="CCCCCC" w:sz="1"/>
              <w:right w:val="single" w:color="CCCCCC" w:sz="1"/>
            </w:tcBorders>
            <w:shd w:fill="3D1020"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CRITICAL — Before Any Partner Goes Live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Revise inquiry form consent language to PIPEDA-compliant standard (see Section 3.2 revised text)</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Emma Walsh</w:t>
            </w:r>
          </w:p>
        </w:tc>
      </w:tr>
      <w:tr>
        <w:tc>
          <w:tcPr>
            <w:tcW w:type="dxa" w:w="480"/>
            <w:tcBorders>
              <w:top w:val="single" w:color="CCCCCC" w:sz="1"/>
              <w:left w:val="single" w:color="CCCCCC" w:sz="1"/>
              <w:bottom w:val="single" w:color="CCCCCC" w:sz="1"/>
              <w:right w:val="single" w:color="CCCCCC" w:sz="1"/>
            </w:tcBorders>
            <w:shd w:fill="FFF8FA" w:val="clear"/>
            <w:tcMar>
              <w:top w:type="dxa" w:w="80"/>
              <w:left w:type="dxa" w:w="80"/>
              <w:bottom w:type="dxa" w:w="80"/>
              <w:right w:type="dxa" w:w="80"/>
            </w:tcMar>
          </w:tcPr>
          <w:p>
            <w:r>
              <w:rPr>
                <w:rFonts w:ascii="Arial" w:cs="Arial" w:eastAsia="Arial" w:hAnsi="Arial"/>
                <w:b/>
                <w:bCs/>
                <w:sz w:val="20"/>
                <w:szCs w:val="20"/>
              </w:rPr>
              <w:t xml:space="preserve">2</w:t>
            </w:r>
          </w:p>
        </w:tc>
        <w:tc>
          <w:tcPr>
            <w:tcW w:type="dxa" w:w="144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b/>
                <w:bCs/>
                <w:color w:val="C0392B"/>
                <w:sz w:val="18"/>
                <w:szCs w:val="18"/>
              </w:rPr>
              <w:t xml:space="preserve">CRITICAL — Before Any Partner Goes Live</w:t>
            </w:r>
          </w:p>
        </w:tc>
        <w:tc>
          <w:tcPr>
            <w:tcW w:type="dxa" w:w="560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sz w:val="20"/>
                <w:szCs w:val="20"/>
              </w:rPr>
              <w:t xml:space="preserve">Implement message content deletion from service_inquiries after delivery confirmation</w:t>
            </w:r>
          </w:p>
        </w:tc>
        <w:tc>
          <w:tcPr>
            <w:tcW w:type="dxa" w:w="184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i/>
                <w:iCs/>
                <w:sz w:val="20"/>
                <w:szCs w:val="20"/>
              </w:rPr>
              <w:t xml:space="preserve">Alex Chen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CRITICAL — Before Any Partner Goes Live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and execute Trusted Partner Data Processing Agreement template for all partner categories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Emma Walsh + Diana Lowe</w:t>
            </w:r>
          </w:p>
        </w:tc>
      </w:tr>
      <w:tr>
        <w:tc>
          <w:tcPr>
            <w:tcW w:type="dxa" w:w="480"/>
            <w:tcBorders>
              <w:top w:val="single" w:color="CCCCCC" w:sz="1"/>
              <w:left w:val="single" w:color="CCCCCC" w:sz="1"/>
              <w:bottom w:val="single" w:color="CCCCCC" w:sz="1"/>
              <w:right w:val="single" w:color="CCCCCC" w:sz="1"/>
            </w:tcBorders>
            <w:shd w:fill="FFF8FA" w:val="clear"/>
            <w:tcMar>
              <w:top w:type="dxa" w:w="80"/>
              <w:left w:type="dxa" w:w="80"/>
              <w:bottom w:type="dxa" w:w="80"/>
              <w:right w:type="dxa" w:w="80"/>
            </w:tcMar>
          </w:tcPr>
          <w:p>
            <w:r>
              <w:rPr>
                <w:rFonts w:ascii="Arial" w:cs="Arial" w:eastAsia="Arial" w:hAnsi="Arial"/>
                <w:b/>
                <w:bCs/>
                <w:sz w:val="20"/>
                <w:szCs w:val="20"/>
              </w:rPr>
              <w:t xml:space="preserve">4</w:t>
            </w:r>
          </w:p>
        </w:tc>
        <w:tc>
          <w:tcPr>
            <w:tcW w:type="dxa" w:w="144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b/>
                <w:bCs/>
                <w:color w:val="C0392B"/>
                <w:sz w:val="18"/>
                <w:szCs w:val="18"/>
              </w:rPr>
              <w:t xml:space="preserve">CRITICAL — Before Any Partner Goes Live</w:t>
            </w:r>
          </w:p>
        </w:tc>
        <w:tc>
          <w:tcPr>
            <w:tcW w:type="dxa" w:w="560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sz w:val="20"/>
                <w:szCs w:val="20"/>
              </w:rPr>
              <w:t xml:space="preserve">Update Privacy Policy to describe Trusted Partners data flow and retention policy</w:t>
            </w:r>
          </w:p>
        </w:tc>
        <w:tc>
          <w:tcPr>
            <w:tcW w:type="dxa" w:w="184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i/>
                <w:iCs/>
                <w:sz w:val="20"/>
                <w:szCs w:val="20"/>
              </w:rPr>
              <w:t xml:space="preserve">Emma Walsh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HIGH — Before Lawyer Category Launch</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lawyer-tier encrypted pass-through architecture (zero retention of inquiry content)</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Alex Chen</w:t>
            </w:r>
          </w:p>
        </w:tc>
      </w:tr>
      <w:tr>
        <w:tc>
          <w:tcPr>
            <w:tcW w:type="dxa" w:w="480"/>
            <w:tcBorders>
              <w:top w:val="single" w:color="CCCCCC" w:sz="1"/>
              <w:left w:val="single" w:color="CCCCCC" w:sz="1"/>
              <w:bottom w:val="single" w:color="CCCCCC" w:sz="1"/>
              <w:right w:val="single" w:color="CCCCCC" w:sz="1"/>
            </w:tcBorders>
            <w:shd w:fill="FFF8FA" w:val="clear"/>
            <w:tcMar>
              <w:top w:type="dxa" w:w="80"/>
              <w:left w:type="dxa" w:w="80"/>
              <w:bottom w:type="dxa" w:w="80"/>
              <w:right w:type="dxa" w:w="80"/>
            </w:tcMar>
          </w:tcPr>
          <w:p>
            <w:r>
              <w:rPr>
                <w:rFonts w:ascii="Arial" w:cs="Arial" w:eastAsia="Arial" w:hAnsi="Arial"/>
                <w:b/>
                <w:bCs/>
                <w:sz w:val="20"/>
                <w:szCs w:val="20"/>
              </w:rPr>
              <w:t xml:space="preserve">6</w:t>
            </w:r>
          </w:p>
        </w:tc>
        <w:tc>
          <w:tcPr>
            <w:tcW w:type="dxa" w:w="144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b/>
                <w:bCs/>
                <w:color w:val="E67E22"/>
                <w:sz w:val="18"/>
                <w:szCs w:val="18"/>
              </w:rPr>
              <w:t xml:space="preserve">HIGH — Before Lawyer Category Launch</w:t>
            </w:r>
          </w:p>
        </w:tc>
        <w:tc>
          <w:tcPr>
            <w:tcW w:type="dxa" w:w="560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sz w:val="20"/>
                <w:szCs w:val="20"/>
              </w:rPr>
              <w:t xml:space="preserve">Add Law Society conflict-check acknowledgment to lawyer partner onboarding</w:t>
            </w:r>
          </w:p>
        </w:tc>
        <w:tc>
          <w:tcPr>
            <w:tcW w:type="dxa" w:w="184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i/>
                <w:iCs/>
                <w:sz w:val="20"/>
                <w:szCs w:val="20"/>
              </w:rPr>
              <w:t xml:space="preserve">Emma Walsh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20"/>
                <w:szCs w:val="20"/>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HIGH — Before Financial/CPA Launch</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‘no financial details in inquiry’ guidance to financial advisor and CPA inquiry forms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Maya Torres</w:t>
            </w:r>
          </w:p>
        </w:tc>
      </w:tr>
      <w:tr>
        <w:tc>
          <w:tcPr>
            <w:tcW w:type="dxa" w:w="480"/>
            <w:tcBorders>
              <w:top w:val="single" w:color="CCCCCC" w:sz="1"/>
              <w:left w:val="single" w:color="CCCCCC" w:sz="1"/>
              <w:bottom w:val="single" w:color="CCCCCC" w:sz="1"/>
              <w:right w:val="single" w:color="CCCCCC" w:sz="1"/>
            </w:tcBorders>
            <w:shd w:fill="FFF8FA" w:val="clear"/>
            <w:tcMar>
              <w:top w:type="dxa" w:w="80"/>
              <w:left w:type="dxa" w:w="80"/>
              <w:bottom w:type="dxa" w:w="80"/>
              <w:right w:type="dxa" w:w="80"/>
            </w:tcMar>
          </w:tcPr>
          <w:p>
            <w:r>
              <w:rPr>
                <w:rFonts w:ascii="Arial" w:cs="Arial" w:eastAsia="Arial" w:hAnsi="Arial"/>
                <w:b/>
                <w:bCs/>
                <w:sz w:val="20"/>
                <w:szCs w:val="20"/>
              </w:rPr>
              <w:t xml:space="preserve">8</w:t>
            </w:r>
          </w:p>
        </w:tc>
        <w:tc>
          <w:tcPr>
            <w:tcW w:type="dxa" w:w="144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b/>
                <w:bCs/>
                <w:color w:val="E67E22"/>
                <w:sz w:val="18"/>
                <w:szCs w:val="18"/>
              </w:rPr>
              <w:t xml:space="preserve">HIGH — Before Grief Category Launch</w:t>
            </w:r>
          </w:p>
        </w:tc>
        <w:tc>
          <w:tcPr>
            <w:tcW w:type="dxa" w:w="560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sz w:val="20"/>
                <w:szCs w:val="20"/>
              </w:rPr>
              <w:t xml:space="preserve">Implement zero-retention policy for grief counsellor inquiry content specifically</w:t>
            </w:r>
          </w:p>
        </w:tc>
        <w:tc>
          <w:tcPr>
            <w:tcW w:type="dxa" w:w="184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i/>
                <w:iCs/>
                <w:sz w:val="20"/>
                <w:szCs w:val="20"/>
              </w:rPr>
              <w:t xml:space="preserve">Alex Chen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20"/>
                <w:szCs w:val="20"/>
              </w:rPr>
              <w:t xml:space="preserve">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8"/>
                <w:szCs w:val="18"/>
              </w:rPr>
              <w:t xml:space="preserve">MEDIUM — Within 60 Days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Conduct Quebec Law 25 compliance review — designate Privacy Officer</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Diana Lowe</w:t>
            </w:r>
          </w:p>
        </w:tc>
      </w:tr>
      <w:tr>
        <w:tc>
          <w:tcPr>
            <w:tcW w:type="dxa" w:w="480"/>
            <w:tcBorders>
              <w:top w:val="single" w:color="CCCCCC" w:sz="1"/>
              <w:left w:val="single" w:color="CCCCCC" w:sz="1"/>
              <w:bottom w:val="single" w:color="CCCCCC" w:sz="1"/>
              <w:right w:val="single" w:color="CCCCCC" w:sz="1"/>
            </w:tcBorders>
            <w:shd w:fill="FFF8FA" w:val="clear"/>
            <w:tcMar>
              <w:top w:type="dxa" w:w="80"/>
              <w:left w:type="dxa" w:w="80"/>
              <w:bottom w:type="dxa" w:w="80"/>
              <w:right w:type="dxa" w:w="80"/>
            </w:tcMar>
          </w:tcPr>
          <w:p>
            <w:r>
              <w:rPr>
                <w:rFonts w:ascii="Arial" w:cs="Arial" w:eastAsia="Arial" w:hAnsi="Arial"/>
                <w:b/>
                <w:bCs/>
                <w:sz w:val="20"/>
                <w:szCs w:val="20"/>
              </w:rPr>
              <w:t xml:space="preserve">10</w:t>
            </w:r>
          </w:p>
        </w:tc>
        <w:tc>
          <w:tcPr>
            <w:tcW w:type="dxa" w:w="144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b/>
                <w:bCs/>
                <w:color w:val="27AE60"/>
                <w:sz w:val="18"/>
                <w:szCs w:val="18"/>
              </w:rPr>
              <w:t xml:space="preserve">MEDIUM — MVP Launch</w:t>
            </w:r>
          </w:p>
        </w:tc>
        <w:tc>
          <w:tcPr>
            <w:tcW w:type="dxa" w:w="560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sz w:val="20"/>
                <w:szCs w:val="20"/>
              </w:rPr>
              <w:t xml:space="preserve">Soft-launch with one lawyer partner only; validate full inquiry-to-introduction flow before opening all categories</w:t>
            </w:r>
          </w:p>
        </w:tc>
        <w:tc>
          <w:tcPr>
            <w:tcW w:type="dxa" w:w="184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i/>
                <w:iCs/>
                <w:sz w:val="20"/>
                <w:szCs w:val="20"/>
              </w:rPr>
              <w:t xml:space="preserve">Jordan Park</w:t>
            </w:r>
          </w:p>
        </w:tc>
      </w:tr>
    </w:tbl>
    <w:p>
      <w:pPr>
        <w:spacing w:after="0" w:before="120"/>
      </w:pPr>
      <w:r>
        <w:t xml:space="preserve"/>
      </w:r>
    </w:p>
    <w:p>
      <w:pPr>
        <w:pBdr>
          <w:bottom w:val="single" w:color="F06292" w:sz="4" w:space="1"/>
        </w:pBdr>
        <w:spacing w:after="160" w:before="160"/>
      </w:pPr>
      <w:r>
        <w:t xml:space="preserve"/>
      </w:r>
    </w:p>
    <w:p>
      <w:pPr>
        <w:pStyle w:val="Heading1"/>
        <w:spacing w:after="160" w:before="320"/>
      </w:pPr>
      <w:r>
        <w:rPr>
          <w:rFonts w:ascii="Arial" w:cs="Arial" w:eastAsia="Arial" w:hAnsi="Arial"/>
          <w:b/>
          <w:bCs/>
          <w:color w:val="3D1020"/>
          <w:sz w:val="30"/>
          <w:szCs w:val="30"/>
        </w:rPr>
        <w:t xml:space="preserve">6. Recommended Inquiry Form Redesign</w:t>
      </w:r>
    </w:p>
    <w:p>
      <w:pPr>
        <w:spacing w:after="100" w:before="60"/>
      </w:pPr>
      <w:r>
        <w:rPr>
          <w:rFonts w:ascii="Arial" w:cs="Arial" w:eastAsia="Arial" w:hAnsi="Arial"/>
          <w:sz w:val="22"/>
          <w:szCs w:val="22"/>
        </w:rPr>
        <w:t xml:space="preserve">Based on the legal analysis above, the following changes to ProfessionalServicesModal.tsx are recommended before any partner goes live:</w:t>
      </w:r>
    </w:p>
    <w:p>
      <w:pPr>
        <w:spacing w:after="0" w:before="80"/>
      </w:pPr>
      <w:r>
        <w:t xml:space="preserve"/>
      </w:r>
    </w:p>
    <w:p>
      <w:pPr>
        <w:pStyle w:val="Heading2"/>
        <w:spacing w:after="120" w:before="240"/>
      </w:pPr>
      <w:r>
        <w:rPr>
          <w:rFonts w:ascii="Arial" w:cs="Arial" w:eastAsia="Arial" w:hAnsi="Arial"/>
          <w:b/>
          <w:bCs/>
          <w:color w:val="7A3448"/>
          <w:sz w:val="26"/>
          <w:szCs w:val="26"/>
        </w:rPr>
        <w:t xml:space="preserve">6.1  Category-Specific Message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3D1020" w:val="clear"/>
            <w:tcMar>
              <w:top w:type="dxa" w:w="80"/>
              <w:left w:type="dxa" w:w="120"/>
              <w:bottom w:type="dxa" w:w="80"/>
              <w:right w:type="dxa" w:w="120"/>
            </w:tcMar>
          </w:tcPr>
          <w:p>
            <w:r>
              <w:rPr>
                <w:rFonts w:ascii="Arial" w:cs="Arial" w:eastAsia="Arial" w:hAnsi="Arial"/>
                <w:b/>
                <w:bCs/>
                <w:color w:val="FFFFFF"/>
                <w:sz w:val="20"/>
                <w:szCs w:val="20"/>
              </w:rPr>
              <w:t xml:space="preserve">Partner</w:t>
            </w:r>
          </w:p>
        </w:tc>
        <w:tc>
          <w:tcPr>
            <w:tcW w:type="dxa" w:w="7360"/>
            <w:tcBorders>
              <w:top w:val="single" w:color="CCCCCC" w:sz="1"/>
              <w:left w:val="single" w:color="CCCCCC" w:sz="1"/>
              <w:bottom w:val="single" w:color="CCCCCC" w:sz="1"/>
              <w:right w:val="single" w:color="CCCCCC" w:sz="1"/>
            </w:tcBorders>
            <w:shd w:fill="3D1020" w:val="clear"/>
            <w:tcMar>
              <w:top w:type="dxa" w:w="80"/>
              <w:left w:type="dxa" w:w="120"/>
              <w:bottom w:type="dxa" w:w="80"/>
              <w:right w:type="dxa" w:w="120"/>
            </w:tcMar>
          </w:tcPr>
          <w:p>
            <w:r>
              <w:rPr>
                <w:rFonts w:ascii="Arial" w:cs="Arial" w:eastAsia="Arial" w:hAnsi="Arial"/>
                <w:b/>
                <w:bCs/>
                <w:color w:val="FFFFFF"/>
                <w:sz w:val="20"/>
                <w:szCs w:val="20"/>
              </w:rPr>
              <w:t xml:space="preserve">Placeholder Text (replace current generic prompt)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Estate Lawyer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A3448"/>
                <w:sz w:val="20"/>
                <w:szCs w:val="20"/>
              </w:rPr>
              <w:t xml:space="preserve">Briefly describe the type of legal matter — e.g., ‘updating a will’ or ‘help with probate.’ Share full details directly with the lawyer in your first consultation.</w:t>
            </w:r>
          </w:p>
        </w:tc>
      </w:tr>
      <w:tr>
        <w:tc>
          <w:tcPr>
            <w:tcW w:type="dxa" w:w="200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b/>
                <w:bCs/>
                <w:sz w:val="20"/>
                <w:szCs w:val="20"/>
              </w:rPr>
              <w:t xml:space="preserve">Financial Advisor</w:t>
            </w:r>
          </w:p>
        </w:tc>
        <w:tc>
          <w:tcPr>
            <w:tcW w:type="dxa" w:w="736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i/>
                <w:iCs/>
                <w:color w:val="7A3448"/>
                <w:sz w:val="20"/>
                <w:szCs w:val="20"/>
              </w:rPr>
              <w:t xml:space="preserve">Briefly describe your planning goal — e.g., ‘retirement planning’ or ‘estate transfer.’ Please do not include specific account, asset, or investment details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Tax / CPA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A3448"/>
                <w:sz w:val="20"/>
                <w:szCs w:val="20"/>
              </w:rPr>
              <w:t xml:space="preserve">Briefly describe your tax or accounting need — e.g., ‘estate tax filing’ or ‘capital gains guidance.’</w:t>
            </w:r>
          </w:p>
        </w:tc>
      </w:tr>
      <w:tr>
        <w:tc>
          <w:tcPr>
            <w:tcW w:type="dxa" w:w="200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b/>
                <w:bCs/>
                <w:sz w:val="20"/>
                <w:szCs w:val="20"/>
              </w:rPr>
              <w:t xml:space="preserve">Real Estate</w:t>
            </w:r>
          </w:p>
        </w:tc>
        <w:tc>
          <w:tcPr>
            <w:tcW w:type="dxa" w:w="736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i/>
                <w:iCs/>
                <w:color w:val="7A3448"/>
                <w:sz w:val="20"/>
                <w:szCs w:val="20"/>
              </w:rPr>
              <w:t xml:space="preserve">Briefly describe your situation — e.g., ‘selling a property from an estate’ or ‘property transfer to family.’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Grief Counsellor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A3448"/>
                <w:sz w:val="20"/>
                <w:szCs w:val="20"/>
              </w:rPr>
              <w:t xml:space="preserve">Briefly describe what you’re looking for — e.g., ‘grief support after a loss’ or ‘family counselling.’</w:t>
            </w:r>
          </w:p>
        </w:tc>
      </w:tr>
      <w:tr>
        <w:tc>
          <w:tcPr>
            <w:tcW w:type="dxa" w:w="200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b/>
                <w:bCs/>
                <w:sz w:val="20"/>
                <w:szCs w:val="20"/>
              </w:rPr>
              <w:t xml:space="preserve">Senior Living</w:t>
            </w:r>
          </w:p>
        </w:tc>
        <w:tc>
          <w:tcPr>
            <w:tcW w:type="dxa" w:w="736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i/>
                <w:iCs/>
                <w:color w:val="7A3448"/>
                <w:sz w:val="20"/>
                <w:szCs w:val="20"/>
              </w:rPr>
              <w:t xml:space="preserve">Briefly describe your situation — e.g., ‘exploring care options for a parent’ or ‘assisted living placement.’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Funeral Services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A3448"/>
                <w:sz w:val="20"/>
                <w:szCs w:val="20"/>
              </w:rPr>
              <w:t xml:space="preserve">Briefly describe what you’re looking for — e.g., ‘pre-planning arrangements’ or ‘immediate assistance.’</w:t>
            </w:r>
          </w:p>
        </w:tc>
      </w:tr>
      <w:tr>
        <w:tc>
          <w:tcPr>
            <w:tcW w:type="dxa" w:w="200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b/>
                <w:bCs/>
                <w:sz w:val="20"/>
                <w:szCs w:val="20"/>
              </w:rPr>
              <w:t xml:space="preserve">Probate Services</w:t>
            </w:r>
          </w:p>
        </w:tc>
        <w:tc>
          <w:tcPr>
            <w:tcW w:type="dxa" w:w="7360"/>
            <w:tcBorders>
              <w:top w:val="single" w:color="CCCCCC" w:sz="1"/>
              <w:left w:val="single" w:color="CCCCCC" w:sz="1"/>
              <w:bottom w:val="single" w:color="CCCCCC" w:sz="1"/>
              <w:right w:val="single" w:color="CCCCCC" w:sz="1"/>
            </w:tcBorders>
            <w:shd w:fill="FFF8FA" w:val="clear"/>
            <w:tcMar>
              <w:top w:type="dxa" w:w="80"/>
              <w:left w:type="dxa" w:w="120"/>
              <w:bottom w:type="dxa" w:w="80"/>
              <w:right w:type="dxa" w:w="120"/>
            </w:tcMar>
          </w:tcPr>
          <w:p>
            <w:r>
              <w:rPr>
                <w:rFonts w:ascii="Arial" w:cs="Arial" w:eastAsia="Arial" w:hAnsi="Arial"/>
                <w:i/>
                <w:iCs/>
                <w:color w:val="7A3448"/>
                <w:sz w:val="20"/>
                <w:szCs w:val="20"/>
              </w:rPr>
              <w:t xml:space="preserve">Briefly describe the estate matter — e.g., ‘estate administration assistance’ or ‘probate filing help.’</w:t>
            </w:r>
          </w:p>
        </w:tc>
      </w:tr>
    </w:tbl>
    <w:p>
      <w:pPr>
        <w:spacing w:after="0" w:before="100"/>
      </w:pPr>
      <w:r>
        <w:t xml:space="preserve"/>
      </w:r>
    </w:p>
    <w:p>
      <w:pPr>
        <w:pStyle w:val="Heading2"/>
        <w:spacing w:after="120" w:before="240"/>
      </w:pPr>
      <w:r>
        <w:rPr>
          <w:rFonts w:ascii="Arial" w:cs="Arial" w:eastAsia="Arial" w:hAnsi="Arial"/>
          <w:b/>
          <w:bCs/>
          <w:color w:val="7A3448"/>
          <w:sz w:val="26"/>
          <w:szCs w:val="26"/>
        </w:rPr>
        <w:t xml:space="preserve">6.2  Consent Checkbox — Required, Visible, and Unchecked</w:t>
      </w:r>
    </w:p>
    <w:p>
      <w:pPr>
        <w:spacing w:after="100" w:before="60"/>
      </w:pPr>
      <w:r>
        <w:rPr>
          <w:rFonts w:ascii="Arial" w:cs="Arial" w:eastAsia="Arial" w:hAnsi="Arial"/>
          <w:sz w:val="22"/>
          <w:szCs w:val="22"/>
        </w:rPr>
        <w:t xml:space="preserve">Replace the current disclaimer paragraph with an active consent checkbox that must be checked before the submit button is enabled: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2980B9"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CODE CHANGE</w:t>
            </w:r>
          </w:p>
        </w:tc>
        <w:tc>
          <w:tcPr>
            <w:tcW w:type="dxa" w:w="8960"/>
            <w:tcBorders>
              <w:top w:val="single" w:color="CCCCCC" w:sz="1"/>
              <w:left w:val="single" w:color="CCCCCC" w:sz="1"/>
              <w:bottom w:val="single" w:color="CCCCCC" w:sz="1"/>
              <w:right w:val="single" w:color="CCCCCC" w:sz="1"/>
            </w:tcBorders>
            <w:shd w:fill="F0F7FF" w:val="clear"/>
            <w:tcMar>
              <w:top w:type="dxa" w:w="120"/>
              <w:left w:type="dxa" w:w="180"/>
              <w:bottom w:type="dxa" w:w="120"/>
              <w:right w:type="dxa" w:w="120"/>
            </w:tcMar>
          </w:tcPr>
          <w:p>
            <w:r>
              <w:rPr>
                <w:rFonts w:ascii="Arial" w:cs="Arial" w:eastAsia="Arial" w:hAnsi="Arial"/>
                <w:sz w:val="22"/>
                <w:szCs w:val="22"/>
              </w:rPr>
              <w:t xml:space="preserve">Add: &lt;CheckBox checked={consented} onPress={() =&gt; setConsented(v =&gt; !v)} /&gt; before the submit button. Disable the submit button if !consented. Display the PIPEDA-revised consent text (Section 3.2) as the checkbox label in readable 13pt text, not footnote size.</w:t>
            </w:r>
          </w:p>
        </w:tc>
      </w:tr>
    </w:tbl>
    <w:p>
      <w:pPr>
        <w:spacing w:after="0" w:before="100"/>
      </w:pPr>
      <w:r>
        <w:t xml:space="preserve"/>
      </w:r>
    </w:p>
    <w:p>
      <w:pPr>
        <w:pStyle w:val="Heading2"/>
        <w:spacing w:after="120" w:before="240"/>
      </w:pPr>
      <w:r>
        <w:rPr>
          <w:rFonts w:ascii="Arial" w:cs="Arial" w:eastAsia="Arial" w:hAnsi="Arial"/>
          <w:b/>
          <w:bCs/>
          <w:color w:val="7A3448"/>
          <w:sz w:val="26"/>
          <w:szCs w:val="26"/>
        </w:rPr>
        <w:t xml:space="preserve">6.3  Supabase Data Retention Policy</w:t>
      </w:r>
    </w:p>
    <w:p>
      <w:pPr>
        <w:spacing w:after="100" w:before="60"/>
      </w:pPr>
      <w:r>
        <w:rPr>
          <w:rFonts w:ascii="Arial" w:cs="Arial" w:eastAsia="Arial" w:hAnsi="Arial"/>
          <w:sz w:val="22"/>
          <w:szCs w:val="22"/>
        </w:rPr>
        <w:t xml:space="preserve">Change the service_inquiries table schema:</w:t>
      </w:r>
    </w:p>
    <w:p>
      <w:pPr>
        <w:pStyle w:val="ListParagraph"/>
        <w:numPr>
          <w:ilvl w:val="0"/>
          <w:numId w:val="2"/>
        </w:numPr>
        <w:spacing w:after="40" w:before="40"/>
      </w:pPr>
      <w:r>
        <w:rPr>
          <w:rFonts w:ascii="Arial" w:cs="Arial" w:eastAsia="Arial" w:hAnsi="Arial"/>
          <w:b w:val="false"/>
          <w:bCs w:val="false"/>
          <w:sz w:val="22"/>
          <w:szCs w:val="22"/>
        </w:rPr>
        <w:t xml:space="preserve">Store: user_id, service_type, contact_name, contact_email, contact_phone, status, created_at, delivered_at</w:t>
      </w:r>
    </w:p>
    <w:p>
      <w:pPr>
        <w:pStyle w:val="ListParagraph"/>
        <w:numPr>
          <w:ilvl w:val="0"/>
          <w:numId w:val="2"/>
        </w:numPr>
        <w:spacing w:after="40" w:before="40"/>
      </w:pPr>
      <w:r>
        <w:rPr>
          <w:rFonts w:ascii="Arial" w:cs="Arial" w:eastAsia="Arial" w:hAnsi="Arial"/>
          <w:b w:val="false"/>
          <w:bCs w:val="false"/>
          <w:sz w:val="22"/>
          <w:szCs w:val="22"/>
        </w:rPr>
        <w:t xml:space="preserve">Do NOT store: message content after delivery (delete or null the message column upon delivery confirmation)</w:t>
      </w:r>
    </w:p>
    <w:p>
      <w:pPr>
        <w:pStyle w:val="ListParagraph"/>
        <w:numPr>
          <w:ilvl w:val="0"/>
          <w:numId w:val="2"/>
        </w:numPr>
        <w:spacing w:after="40" w:before="40"/>
      </w:pPr>
      <w:r>
        <w:rPr>
          <w:rFonts w:ascii="Arial" w:cs="Arial" w:eastAsia="Arial" w:hAnsi="Arial"/>
          <w:b w:val="false"/>
          <w:bCs w:val="false"/>
          <w:sz w:val="22"/>
          <w:szCs w:val="22"/>
        </w:rPr>
        <w:t xml:space="preserve">Add: a delivered_at timestamp and auto-delete trigger for message content after 48 hours regardless of delivery status</w:t>
      </w:r>
    </w:p>
    <w:p>
      <w:pPr>
        <w:spacing w:after="0" w:before="120"/>
      </w:pPr>
      <w:r>
        <w:t xml:space="preserve"/>
      </w:r>
    </w:p>
    <w:p>
      <w:pPr>
        <w:pBdr>
          <w:bottom w:val="single" w:color="F06292" w:sz="4" w:space="1"/>
        </w:pBdr>
        <w:spacing w:after="160" w:before="160"/>
      </w:pPr>
      <w:r>
        <w:t xml:space="preserve"/>
      </w:r>
    </w:p>
    <w:p>
      <w:pPr>
        <w:pStyle w:val="Heading1"/>
        <w:spacing w:after="160" w:before="320"/>
      </w:pPr>
      <w:r>
        <w:rPr>
          <w:rFonts w:ascii="Arial" w:cs="Arial" w:eastAsia="Arial" w:hAnsi="Arial"/>
          <w:b/>
          <w:bCs/>
          <w:color w:val="3D1020"/>
          <w:sz w:val="30"/>
          <w:szCs w:val="30"/>
        </w:rPr>
        <w:t xml:space="preserve">7. Closing Statement</w:t>
      </w:r>
    </w:p>
    <w:p>
      <w:pPr>
        <w:spacing w:after="100" w:before="60"/>
      </w:pPr>
      <w:r>
        <w:rPr>
          <w:rFonts w:ascii="Arial" w:cs="Arial" w:eastAsia="Arial" w:hAnsi="Arial"/>
          <w:sz w:val="22"/>
          <w:szCs w:val="22"/>
        </w:rPr>
        <w:t xml:space="preserve">The Trusted Partners feature is one of the most strategically important and commercially promising elements of the Solace Life product. Done right, it becomes a trusted bridge between grieving and planning families and the professionals they genuinely need. Done wrong, it becomes a liability that undermines everything we have built.</w:t>
      </w:r>
    </w:p>
    <w:p>
      <w:pPr>
        <w:spacing w:after="0" w:before="60"/>
      </w:pPr>
      <w:r>
        <w:t xml:space="preserve"/>
      </w:r>
    </w:p>
    <w:p>
      <w:pPr>
        <w:spacing w:after="100" w:before="60"/>
      </w:pPr>
      <w:r>
        <w:rPr>
          <w:rFonts w:ascii="Arial" w:cs="Arial" w:eastAsia="Arial" w:hAnsi="Arial"/>
          <w:sz w:val="22"/>
          <w:szCs w:val="22"/>
        </w:rPr>
        <w:t xml:space="preserve">The good news: the gap between ‘done wrong’ and ‘done right’ is not large. It is two weeks of disciplined work on consent language, data architecture, and partner agreements. We have identified exactly what needs to change. We recommend acting on all CRITICAL items before a single partner is made visible in the app.</w:t>
      </w:r>
    </w:p>
    <w:p>
      <w:pPr>
        <w:spacing w:after="0" w:before="60"/>
      </w:pPr>
      <w:r>
        <w:t xml:space="preserve"/>
      </w:r>
    </w:p>
    <w:p>
      <w:pPr>
        <w:spacing w:after="100" w:before="60"/>
      </w:pPr>
      <w:r>
        <w:rPr>
          <w:rFonts w:ascii="Arial" w:cs="Arial" w:eastAsia="Arial" w:hAnsi="Arial"/>
          <w:b w:val="false"/>
          <w:bCs w:val="false"/>
          <w:sz w:val="22"/>
          <w:szCs w:val="22"/>
        </w:rPr>
        <w:t xml:space="preserve">Solace Life’s brand is built on trust. This feature must earn that trust at every level — with users, with partners, and with the regulators who set the rules for how sensitive life data must be handled.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F7" w:val="clear"/>
            <w:tcMar>
              <w:top w:type="dxa" w:w="160"/>
              <w:left w:type="dxa" w:w="240"/>
              <w:bottom w:type="dxa" w:w="160"/>
              <w:right w:type="dxa" w:w="240"/>
            </w:tcMar>
          </w:tcPr>
          <w:p>
            <w:pPr>
              <w:jc w:val="center"/>
            </w:pPr>
            <w:r>
              <w:rPr>
                <w:rFonts w:ascii="Arial" w:cs="Arial" w:eastAsia="Arial" w:hAnsi="Arial"/>
                <w:b/>
                <w:bCs/>
                <w:color w:val="3D1020"/>
                <w:sz w:val="24"/>
                <w:szCs w:val="24"/>
              </w:rPr>
              <w:t xml:space="preserve">Unanimous A Team Recommendation</w:t>
            </w:r>
          </w:p>
          <w:p>
            <w:pPr>
              <w:spacing w:after="80" w:before="80"/>
              <w:jc w:val="center"/>
            </w:pPr>
            <w:r>
              <w:rPr>
                <w:rFonts w:ascii="Arial" w:cs="Arial" w:eastAsia="Arial" w:hAnsi="Arial"/>
                <w:b/>
                <w:bCs/>
                <w:color w:val="C0392B"/>
                <w:sz w:val="22"/>
                <w:szCs w:val="22"/>
              </w:rPr>
              <w:t xml:space="preserve">Do not activate any Trusted Partner until all 4 CRITICAL actions are complete.</w:t>
            </w:r>
          </w:p>
          <w:p>
            <w:pPr>
              <w:jc w:val="center"/>
            </w:pPr>
            <w:r>
              <w:rPr>
                <w:rFonts w:ascii="Arial" w:cs="Arial" w:eastAsia="Arial" w:hAnsi="Arial"/>
                <w:i/>
                <w:iCs/>
                <w:color w:val="7A3448"/>
                <w:sz w:val="20"/>
                <w:szCs w:val="20"/>
              </w:rPr>
              <w:t xml:space="preserve">Alex Chen · Maya Torres · James Okafor · Dr. Sarah Kim · Michael Reeves</w:t>
            </w:r>
          </w:p>
          <w:p>
            <w:pPr>
              <w:spacing w:before="40"/>
              <w:jc w:val="center"/>
            </w:pPr>
            <w:r>
              <w:rPr>
                <w:rFonts w:ascii="Arial" w:cs="Arial" w:eastAsia="Arial" w:hAnsi="Arial"/>
                <w:i/>
                <w:iCs/>
                <w:color w:val="7A3448"/>
                <w:sz w:val="20"/>
                <w:szCs w:val="20"/>
              </w:rPr>
              <w:t xml:space="preserve">Diana Lowe · Robert Chang · Emma Walsh · Dr. Marcus Webb · Jordan Park</w:t>
            </w:r>
          </w:p>
        </w:tc>
      </w:tr>
    </w:tbl>
    <w:p>
      <w:pPr>
        <w:spacing w:after="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6292" w:sz="4" w:space="4"/>
      </w:pBdr>
      <w:tabs>
        <w:tab w:val="right" w:pos="9360"/>
      </w:tabs>
    </w:pPr>
    <w:r>
      <w:rPr>
        <w:rFonts w:ascii="Arial" w:cs="Arial" w:eastAsia="Arial" w:hAnsi="Arial"/>
        <w:color w:val="7A3448"/>
        <w:sz w:val="18"/>
        <w:szCs w:val="18"/>
      </w:rPr>
      <w:t xml:space="preserve">Solace Life Inc.  ·  Trusted Partners Legal Framework  ·  May 2026</w:t>
    </w:r>
    <w:r>
      <w:rPr>
        <w:rFonts w:ascii="Arial" w:cs="Arial" w:eastAsia="Arial" w:hAnsi="Arial"/>
        <w:color w:val="7A3448"/>
        <w:sz w:val="18"/>
        <w:szCs w:val="18"/>
      </w:rPr>
      <w:t xml:space="preserve">	Page </w:t>
    </w:r>
    <w:r>
      <w:rPr>
        <w:rFonts w:ascii="Arial" w:cs="Arial" w:eastAsia="Arial" w:hAnsi="Arial"/>
        <w:color w:val="7A344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6292" w:sz="4" w:space="4"/>
      </w:pBdr>
      <w:tabs>
        <w:tab w:val="right" w:pos="9360"/>
      </w:tabs>
    </w:pPr>
    <w:r>
      <w:rPr>
        <w:rFonts w:ascii="Arial" w:cs="Arial" w:eastAsia="Arial" w:hAnsi="Arial"/>
        <w:b/>
        <w:bCs/>
        <w:color w:val="7A3448"/>
        <w:sz w:val="18"/>
        <w:szCs w:val="18"/>
      </w:rPr>
      <w:t xml:space="preserve">SOLACE LIFE  —  A TEAM ADVISORY</w:t>
    </w:r>
    <w:r>
      <w:rPr>
        <w:rFonts w:ascii="Arial" w:cs="Arial" w:eastAsia="Arial" w:hAnsi="Arial"/>
        <w:i/>
        <w:iCs/>
        <w:color w:val="C0392B"/>
        <w:sz w:val="18"/>
        <w:szCs w:val="18"/>
      </w:rPr>
      <w:t xml:space="preserve">	CONFIDENTIAL — PRIVILEGED &amp; PROTECTED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3D102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7A34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2026-05-20T02:22:52.176Z</dcterms:created>
  <dcterms:modified xsi:type="dcterms:W3CDTF">2026-05-20T02:22:52.177Z</dcterms:modified>
</cp:coreProperties>
</file>

<file path=docProps/custom.xml><?xml version="1.0" encoding="utf-8"?>
<Properties xmlns="http://schemas.openxmlformats.org/officeDocument/2006/custom-properties" xmlns:vt="http://schemas.openxmlformats.org/officeDocument/2006/docPropsVTypes"/>
</file>