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7A2850"/>
          <w:sz w:val="28"/>
          <w:szCs w:val="28"/>
        </w:rPr>
        <w:t xml:space="preserve">SOLACE LIFE</w:t>
      </w:r>
    </w:p>
    <w:p>
      <w:pPr>
        <w:spacing w:after="0" w:before="60"/>
        <w:jc w:val="center"/>
      </w:pPr>
      <w:r>
        <w:rPr>
          <w:rFonts w:ascii="Arial" w:cs="Arial" w:eastAsia="Arial" w:hAnsi="Arial"/>
          <w:color w:val="444444"/>
          <w:sz w:val="22"/>
          <w:szCs w:val="22"/>
        </w:rPr>
        <w:t xml:space="preserve">A Team Strategic Advisory</w:t>
      </w:r>
    </w:p>
    <w:p>
      <w:pPr>
        <w:spacing w:after="60" w:before="60"/>
      </w:pPr>
      <w:r>
        <w:t xml:space="preserve"/>
      </w:r>
    </w:p>
    <w:p>
      <w:pPr>
        <w:spacing w:after="0" w:before="0"/>
        <w:jc w:val="center"/>
      </w:pPr>
      <w:r>
        <w:rPr>
          <w:rFonts w:ascii="Arial" w:cs="Arial" w:eastAsia="Arial" w:hAnsi="Arial"/>
          <w:b/>
          <w:bCs/>
          <w:color w:val="1E1248"/>
          <w:sz w:val="44"/>
          <w:szCs w:val="44"/>
        </w:rPr>
        <w:t xml:space="preserve">Vault Release Consent Framework</w:t>
      </w:r>
    </w:p>
    <w:p>
      <w:pPr>
        <w:spacing w:after="0" w:before="40"/>
        <w:jc w:val="center"/>
      </w:pPr>
      <w:r>
        <w:rPr>
          <w:rFonts w:ascii="Arial" w:cs="Arial" w:eastAsia="Arial" w:hAnsi="Arial"/>
          <w:b/>
          <w:bCs/>
          <w:color w:val="7A2850"/>
          <w:sz w:val="34"/>
          <w:szCs w:val="34"/>
        </w:rPr>
        <w:t xml:space="preserve">&amp; Multiple Trusted Member Implications</w:t>
      </w:r>
    </w:p>
    <w:p>
      <w:pPr>
        <w:spacing w:after="60" w:before="60"/>
      </w:pPr>
      <w:r>
        <w:t xml:space="preserve"/>
      </w:r>
    </w:p>
    <w:p>
      <w:pPr>
        <w:spacing w:after="0" w:before="0"/>
        <w:jc w:val="center"/>
      </w:pPr>
      <w:r>
        <w:rPr>
          <w:rFonts w:ascii="Arial" w:cs="Arial" w:eastAsia="Arial" w:hAnsi="Arial"/>
          <w:i/>
          <w:iCs/>
          <w:color w:val="444444"/>
          <w:sz w:val="20"/>
          <w:szCs w:val="20"/>
        </w:rPr>
        <w:t xml:space="preserve">May 2026   |   CONFIDENTIAL</w:t>
      </w:r>
    </w:p>
    <w:p>
      <w:pPr>
        <w:pBdr>
          <w:bottom w:val="single" w:color="DDDDDD" w:sz="4" w:space="1"/>
        </w:pBdr>
        <w:spacing w:after="120" w:before="120"/>
      </w:pPr>
      <w:r>
        <w:t xml:space="preserve"/>
      </w:r>
    </w:p>
    <w:p>
      <w:pPr>
        <w:spacing w:after="60" w:before="60"/>
      </w:pPr>
      <w:r>
        <w:t xml:space="preserve"/>
      </w:r>
    </w:p>
    <w:p>
      <w:pPr>
        <w:pStyle w:val="Heading1"/>
        <w:spacing w:after="120" w:before="360"/>
      </w:pPr>
      <w:r>
        <w:rPr>
          <w:rFonts w:ascii="Arial" w:cs="Arial" w:eastAsia="Arial" w:hAnsi="Arial"/>
          <w:b/>
          <w:bCs/>
          <w:color w:val="1E1248"/>
          <w:sz w:val="32"/>
          <w:szCs w:val="32"/>
        </w:rPr>
        <w:t xml:space="preserve">Executive Summary</w:t>
      </w:r>
    </w:p>
    <w:p>
      <w:pPr>
        <w:spacing w:after="80" w:before="60"/>
      </w:pPr>
      <w:r>
        <w:rPr>
          <w:rFonts w:ascii="Arial" w:cs="Arial" w:eastAsia="Arial" w:hAnsi="Arial"/>
          <w:color w:val="444444"/>
          <w:sz w:val="22"/>
          <w:szCs w:val="22"/>
        </w:rPr>
        <w:t xml:space="preserve">Solace Life's Vault is among the most legally sensitive features in the product. When a user stores wills, banking credentials, and cryptocurrency private keys and designates a trusted member to receive them upon a death or incapacity trigger, the platform crosses into territory governed simultaneously by estate law, privacy law, computer access law, and digital asset regulation.</w:t>
      </w:r>
    </w:p>
    <w:p>
      <w:pPr>
        <w:spacing w:after="80" w:before="60"/>
      </w:pPr>
      <w:r>
        <w:rPr>
          <w:rFonts w:ascii="Arial" w:cs="Arial" w:eastAsia="Arial" w:hAnsi="Arial"/>
          <w:color w:val="444444"/>
          <w:sz w:val="22"/>
          <w:szCs w:val="22"/>
        </w:rPr>
        <w:t xml:space="preserve">This advisory addresses two questions:</w:t>
      </w:r>
    </w:p>
    <w:p>
      <w:pPr>
        <w:pStyle w:val="ListParagraph"/>
        <w:numPr>
          <w:ilvl w:val="0"/>
          <w:numId w:val="2"/>
        </w:numPr>
        <w:spacing w:after="40" w:before="40"/>
      </w:pPr>
      <w:r>
        <w:rPr>
          <w:rFonts w:ascii="Arial" w:cs="Arial" w:eastAsia="Arial" w:hAnsi="Arial"/>
          <w:color w:val="444444"/>
          <w:sz w:val="22"/>
          <w:szCs w:val="22"/>
        </w:rPr>
        <w:t xml:space="preserve">Does Solace Life need a formal disclosure and user consent checkbox before vault contents are released to a trusted member?</w:t>
      </w:r>
    </w:p>
    <w:p>
      <w:pPr>
        <w:pStyle w:val="ListParagraph"/>
        <w:numPr>
          <w:ilvl w:val="0"/>
          <w:numId w:val="2"/>
        </w:numPr>
        <w:spacing w:after="40" w:before="40"/>
      </w:pPr>
      <w:r>
        <w:rPr>
          <w:rFonts w:ascii="Arial" w:cs="Arial" w:eastAsia="Arial" w:hAnsi="Arial"/>
          <w:color w:val="444444"/>
          <w:sz w:val="22"/>
          <w:szCs w:val="22"/>
        </w:rPr>
        <w:t xml:space="preserve">What are the legal, financial, and product implications of allowing more than one trusted member to receive vault contents?</w:t>
      </w:r>
    </w:p>
    <w:p>
      <w:pPr>
        <w:spacing w:after="80" w:before="60"/>
      </w:pPr>
      <w:r>
        <w:rPr>
          <w:rFonts w:ascii="Arial" w:cs="Arial" w:eastAsia="Arial" w:hAnsi="Arial"/>
          <w:color w:val="444444"/>
          <w:sz w:val="22"/>
          <w:szCs w:val="22"/>
        </w:rPr>
        <w:t xml:space="preserve">Short answers: yes — and the consequences of multiple trusted members depend critically on vault category. A single blanket checkbox is legally insufficient. The following sections provide the full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248" w:val="clear"/>
            <w:tcMar>
              <w:top w:type="dxa" w:w="160"/>
              <w:left w:type="dxa" w:w="220"/>
              <w:bottom w:type="dxa" w:w="160"/>
              <w:right w:type="dxa" w:w="220"/>
            </w:tcMar>
          </w:tcPr>
          <w:p>
            <w:pPr>
              <w:spacing w:after="40" w:before="0"/>
            </w:pPr>
            <w:r>
              <w:rPr>
                <w:rFonts w:ascii="Arial" w:cs="Arial" w:eastAsia="Arial" w:hAnsi="Arial"/>
                <w:b/>
                <w:bCs/>
                <w:color w:val="FFFFFF"/>
                <w:sz w:val="20"/>
                <w:szCs w:val="20"/>
              </w:rPr>
              <w:t xml:space="preserve">Bottom Line Up Front</w:t>
            </w:r>
          </w:p>
          <w:p>
            <w:pPr>
              <w:spacing w:after="0" w:before="0"/>
            </w:pPr>
            <w:r>
              <w:rPr>
                <w:rFonts w:ascii="Arial" w:cs="Arial" w:eastAsia="Arial" w:hAnsi="Arial"/>
                <w:color w:val="FFFFFF"/>
                <w:sz w:val="20"/>
                <w:szCs w:val="20"/>
              </w:rPr>
              <w:t xml:space="preserve">A single blanket consent checkbox does not meet the PIPEDA standard for informed, meaningful consent. Vault categories carry materially different risk profiles. Banking credentials and cryptocurrency keys require category-specific consent language, hard limits on multi-member access, and proactive user guidance to prevent institutional ToS violations and irreversible asset conflicts.</w:t>
            </w:r>
          </w:p>
        </w:tc>
      </w:tr>
    </w:tbl>
    <w:p>
      <w:pPr>
        <w:spacing w:after="60" w:before="60"/>
      </w:pPr>
      <w:r>
        <w:t xml:space="preserve"/>
      </w:r>
    </w:p>
    <w:p>
      <w:r>
        <w:br w:type="page"/>
      </w:r>
    </w:p>
    <w:p>
      <w:pPr>
        <w:pStyle w:val="Heading1"/>
        <w:spacing w:after="120" w:before="360"/>
      </w:pPr>
      <w:r>
        <w:rPr>
          <w:rFonts w:ascii="Arial" w:cs="Arial" w:eastAsia="Arial" w:hAnsi="Arial"/>
          <w:b/>
          <w:bCs/>
          <w:color w:val="1E1248"/>
          <w:sz w:val="32"/>
          <w:szCs w:val="32"/>
        </w:rPr>
        <w:t xml:space="preserve">Part 1: Vault Release Consent Framework</w:t>
      </w:r>
    </w:p>
    <w:p>
      <w:pPr>
        <w:pStyle w:val="Heading2"/>
        <w:spacing w:after="80" w:before="240"/>
      </w:pPr>
      <w:r>
        <w:rPr>
          <w:rFonts w:ascii="Arial" w:cs="Arial" w:eastAsia="Arial" w:hAnsi="Arial"/>
          <w:b/>
          <w:bCs/>
          <w:color w:val="7A2850"/>
          <w:sz w:val="26"/>
          <w:szCs w:val="26"/>
        </w:rPr>
        <w:t xml:space="preserve">1.1  Why a Blanket Checkbox Is Insufficient</w:t>
      </w:r>
    </w:p>
    <w:p>
      <w:pPr>
        <w:spacing w:after="80" w:before="60"/>
      </w:pPr>
      <w:r>
        <w:rPr>
          <w:rFonts w:ascii="Arial" w:cs="Arial" w:eastAsia="Arial" w:hAnsi="Arial"/>
          <w:color w:val="444444"/>
          <w:sz w:val="22"/>
          <w:szCs w:val="22"/>
        </w:rPr>
        <w:t xml:space="preserve">PIPEDA Principle 3 requires that consent be obtained for each distinct purpose for which personal information is disclosed. Because different vault categories carry materially different consequences — for the user, their estate, and third-party institutions — each category requires its own purpose-specific disclosure.</w:t>
      </w:r>
    </w:p>
    <w:p>
      <w:pPr>
        <w:spacing w:after="80" w:before="60"/>
      </w:pPr>
      <w:r>
        <w:rPr>
          <w:rFonts w:ascii="Arial" w:cs="Arial" w:eastAsia="Arial" w:hAnsi="Arial"/>
          <w:color w:val="444444"/>
          <w:sz w:val="22"/>
          <w:szCs w:val="22"/>
        </w:rPr>
        <w:t xml:space="preserve">Three additional legal frameworks are triggered by specific vault categories:</w:t>
      </w:r>
    </w:p>
    <w:p>
      <w:pPr>
        <w:pStyle w:val="ListParagraph"/>
        <w:numPr>
          <w:ilvl w:val="0"/>
          <w:numId w:val="3"/>
        </w:numPr>
        <w:spacing w:after="40" w:before="40"/>
      </w:pPr>
      <w:r>
        <w:rPr>
          <w:rFonts w:ascii="Arial" w:cs="Arial" w:eastAsia="Arial" w:hAnsi="Arial"/>
          <w:color w:val="444444"/>
          <w:sz w:val="22"/>
          <w:szCs w:val="22"/>
        </w:rPr>
        <w:t xml:space="preserve">Criminal Code of Canada s.342.1 (Unauthorized Use of Computer): Sharing banking login credentials with a third party — even a trusted family member — can expose both Solace Life and the recipient to unauthorized access claims if the institution did not consent to credential sharing. The consent architecture must make clear that Solace Life is delivering the user's own instruction, not facilitating third-party access.</w:t>
      </w:r>
    </w:p>
    <w:p>
      <w:pPr>
        <w:pStyle w:val="ListParagraph"/>
        <w:numPr>
          <w:ilvl w:val="0"/>
          <w:numId w:val="3"/>
        </w:numPr>
        <w:spacing w:after="40" w:before="40"/>
      </w:pPr>
      <w:r>
        <w:rPr>
          <w:rFonts w:ascii="Arial" w:cs="Arial" w:eastAsia="Arial" w:hAnsi="Arial"/>
          <w:color w:val="444444"/>
          <w:sz w:val="22"/>
          <w:szCs w:val="22"/>
        </w:rPr>
        <w:t xml:space="preserve">Canadian estate law: Legal authority over financial assets belongs to the appointed estate executor, not a "trusted member" on a digital platform. Vault release does not and cannot grant legal ownership or management authority over assets.</w:t>
      </w:r>
    </w:p>
    <w:p>
      <w:pPr>
        <w:pStyle w:val="ListParagraph"/>
        <w:numPr>
          <w:ilvl w:val="0"/>
          <w:numId w:val="3"/>
        </w:numPr>
        <w:spacing w:after="40" w:before="40"/>
      </w:pPr>
      <w:r>
        <w:rPr>
          <w:rFonts w:ascii="Arial" w:cs="Arial" w:eastAsia="Arial" w:hAnsi="Arial"/>
          <w:color w:val="444444"/>
          <w:sz w:val="22"/>
          <w:szCs w:val="22"/>
        </w:rPr>
        <w:t xml:space="preserve">Cryptocurrency law and regulation: Private keys and seed phrases are not records about an asset — they ARE the cryptographic proof of ownership. Releasing a private key is functionally equivalent to handing over physical cash. This requires the most explicit consent language and carries the highest liability exposure.</w:t>
      </w:r>
    </w:p>
    <w:p>
      <w:pPr>
        <w:spacing w:after="60" w:before="60"/>
      </w:pPr>
      <w:r>
        <w:t xml:space="preserve"/>
      </w:r>
    </w:p>
    <w:p>
      <w:pPr>
        <w:pStyle w:val="Heading2"/>
        <w:spacing w:after="80" w:before="240"/>
      </w:pPr>
      <w:r>
        <w:rPr>
          <w:rFonts w:ascii="Arial" w:cs="Arial" w:eastAsia="Arial" w:hAnsi="Arial"/>
          <w:b/>
          <w:bCs/>
          <w:color w:val="7A2850"/>
          <w:sz w:val="26"/>
          <w:szCs w:val="26"/>
        </w:rPr>
        <w:t xml:space="preserve">1.2  Category-Level Consent Requirements</w:t>
      </w:r>
    </w:p>
    <w:p>
      <w:pPr>
        <w:spacing w:after="80" w:before="60"/>
      </w:pPr>
      <w:r>
        <w:rPr>
          <w:rFonts w:ascii="Arial" w:cs="Arial" w:eastAsia="Arial" w:hAnsi="Arial"/>
          <w:color w:val="444444"/>
          <w:sz w:val="22"/>
          <w:szCs w:val="22"/>
        </w:rPr>
        <w:t xml:space="preserve">Each vault category requires its own checkbox and specific consent language. The table below defines the required statement and risk tier for each 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560"/>
        <w:gridCol w:w="1100"/>
      </w:tblGrid>
      <w:tr>
        <w:trPr>
          <w:tblHeader/>
        </w:trPr>
        <w:tc>
          <w:tcPr>
            <w:tcW w:type="dxa" w:w="1700"/>
            <w:tcBorders>
              <w:top w:val="single" w:color="CCCCCC" w:sz="1"/>
              <w:left w:val="single" w:color="CCCCCC" w:sz="1"/>
              <w:bottom w:val="single" w:color="CCCCCC" w:sz="1"/>
              <w:right w:val="single" w:color="CCCCCC" w:sz="1"/>
            </w:tcBorders>
            <w:shd w:fill="1E124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560"/>
            <w:tcBorders>
              <w:top w:val="single" w:color="CCCCCC" w:sz="1"/>
              <w:left w:val="single" w:color="CCCCCC" w:sz="1"/>
              <w:bottom w:val="single" w:color="CCCCCC" w:sz="1"/>
              <w:right w:val="single" w:color="CCCCCC" w:sz="1"/>
            </w:tcBorders>
            <w:shd w:fill="1E1248" w:val="clear"/>
            <w:tcMar>
              <w:top w:type="dxa" w:w="80"/>
              <w:left w:type="dxa" w:w="120"/>
              <w:bottom w:type="dxa" w:w="80"/>
              <w:right w:type="dxa" w:w="120"/>
            </w:tcMar>
          </w:tcPr>
          <w:p>
            <w:r>
              <w:rPr>
                <w:rFonts w:ascii="Arial" w:cs="Arial" w:eastAsia="Arial" w:hAnsi="Arial"/>
                <w:b/>
                <w:bCs/>
                <w:color w:val="FFFFFF"/>
                <w:sz w:val="18"/>
                <w:szCs w:val="18"/>
              </w:rPr>
              <w:t xml:space="preserve">Required Consent Statement</w:t>
            </w:r>
          </w:p>
        </w:tc>
        <w:tc>
          <w:tcPr>
            <w:tcW w:type="dxa" w:w="1100"/>
            <w:tcBorders>
              <w:top w:val="single" w:color="CCCCCC" w:sz="1"/>
              <w:left w:val="single" w:color="CCCCCC" w:sz="1"/>
              <w:bottom w:val="single" w:color="CCCCCC" w:sz="1"/>
              <w:right w:val="single" w:color="CCCCCC" w:sz="1"/>
            </w:tcBorders>
            <w:shd w:fill="1E1248"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General Vault Release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I authorise Solace Life to deliver the contents of my Vault to my designated trusted member(s) upon confirmation of the specified trigger event. I understand this action is irreversible once the trigger is confirmed.</w:t>
            </w:r>
          </w:p>
        </w:tc>
        <w:tc>
          <w:tcPr>
            <w:tcW w:type="dxa" w:w="11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Legal Documents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I understand that copies of my legal documents are for reference only. My designated member should work with my estate executor or a licenced solicitor for legal force.</w:t>
            </w:r>
          </w:p>
        </w:tc>
        <w:tc>
          <w:tcPr>
            <w:tcW w:type="dxa" w:w="11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Financial Account Info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I understand that sharing financial account details does not transfer ownership or authority over those accounts. Account authority is governed by my Will and estate executor.</w:t>
            </w:r>
          </w:p>
        </w:tc>
        <w:tc>
          <w:tcPr>
            <w:tcW w:type="dxa" w:w="1100"/>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Account Passwords &amp; Banking Credentials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I understand that sharing banking credentials may violate the Terms of Service of those institutions. Solace Life bears no liability for institutional consequences. My designated member should contact each institution with a death certificate rather than using shared credentials.</w:t>
            </w:r>
          </w:p>
        </w:tc>
        <w:tc>
          <w:tcPr>
            <w:tcW w:type="dxa" w:w="11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Cryptocurrency — Private Keys / Seed Phrases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I understand that my private keys and seed phrases ARE the cryptographic ownership of my digital assets. Delivering these constitutes an irreversible transfer of control. Solace Life is not a financial institution and provides no custodial protection. I have considered the tax and estate implications.</w:t>
            </w:r>
          </w:p>
        </w:tc>
        <w:tc>
          <w:tcPr>
            <w:tcW w:type="dxa" w:w="11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Property &amp; Real Estate Documents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I understand that property transfer requires formal legal process. Documents shared here are for reference only and do not constitute a legal transfer of title.</w:t>
            </w:r>
          </w:p>
        </w:tc>
        <w:tc>
          <w:tcPr>
            <w:tcW w:type="dxa" w:w="11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bl>
    <w:p>
      <w:pPr>
        <w:spacing w:after="60" w:before="60"/>
      </w:pPr>
      <w:r>
        <w:t xml:space="preserve"/>
      </w:r>
    </w:p>
    <w:p>
      <w:pPr>
        <w:pStyle w:val="Heading2"/>
        <w:spacing w:after="80" w:before="240"/>
      </w:pPr>
      <w:r>
        <w:rPr>
          <w:rFonts w:ascii="Arial" w:cs="Arial" w:eastAsia="Arial" w:hAnsi="Arial"/>
          <w:b/>
          <w:bCs/>
          <w:color w:val="7A2850"/>
          <w:sz w:val="26"/>
          <w:szCs w:val="26"/>
        </w:rPr>
        <w:t xml:space="preserve">1.3  Consent Flow UX Requirements</w:t>
      </w:r>
    </w:p>
    <w:p>
      <w:pPr>
        <w:pStyle w:val="ListParagraph"/>
        <w:numPr>
          <w:ilvl w:val="0"/>
          <w:numId w:val="3"/>
        </w:numPr>
        <w:spacing w:after="40" w:before="40"/>
      </w:pPr>
      <w:r>
        <w:rPr>
          <w:rFonts w:ascii="Arial" w:cs="Arial" w:eastAsia="Arial" w:hAnsi="Arial"/>
          <w:color w:val="444444"/>
          <w:sz w:val="22"/>
          <w:szCs w:val="22"/>
        </w:rPr>
        <w:t xml:space="preserve">Consent must be obtained at vault release configuration time — not at the trigger event itself, when the user may be incapacitated or deceased.</w:t>
      </w:r>
    </w:p>
    <w:p>
      <w:pPr>
        <w:pStyle w:val="ListParagraph"/>
        <w:numPr>
          <w:ilvl w:val="0"/>
          <w:numId w:val="3"/>
        </w:numPr>
        <w:spacing w:after="40" w:before="40"/>
      </w:pPr>
      <w:r>
        <w:rPr>
          <w:rFonts w:ascii="Arial" w:cs="Arial" w:eastAsia="Arial" w:hAnsi="Arial"/>
          <w:color w:val="444444"/>
          <w:sz w:val="22"/>
          <w:szCs w:val="22"/>
        </w:rPr>
        <w:t xml:space="preserve">Each category checkbox must be individually acknowledged. Pre-ticked checkboxes are not valid consent under PIPEDA.</w:t>
      </w:r>
    </w:p>
    <w:p>
      <w:pPr>
        <w:pStyle w:val="ListParagraph"/>
        <w:numPr>
          <w:ilvl w:val="0"/>
          <w:numId w:val="3"/>
        </w:numPr>
        <w:spacing w:after="40" w:before="40"/>
      </w:pPr>
      <w:r>
        <w:rPr>
          <w:rFonts w:ascii="Arial" w:cs="Arial" w:eastAsia="Arial" w:hAnsi="Arial"/>
          <w:color w:val="444444"/>
          <w:sz w:val="22"/>
          <w:szCs w:val="22"/>
        </w:rPr>
        <w:t xml:space="preserve">CRITICAL-tier categories (banking credentials, crypto keys) must display a full-screen warning modal before the checkbox is shown, using plain language about consequences.</w:t>
      </w:r>
    </w:p>
    <w:p>
      <w:pPr>
        <w:pStyle w:val="ListParagraph"/>
        <w:numPr>
          <w:ilvl w:val="0"/>
          <w:numId w:val="3"/>
        </w:numPr>
        <w:spacing w:after="40" w:before="40"/>
      </w:pPr>
      <w:r>
        <w:rPr>
          <w:rFonts w:ascii="Arial" w:cs="Arial" w:eastAsia="Arial" w:hAnsi="Arial"/>
          <w:color w:val="444444"/>
          <w:sz w:val="22"/>
          <w:szCs w:val="22"/>
        </w:rPr>
        <w:t xml:space="preserve">Consent records must be timestamped and stored server-side with a cryptographic hash — this protects both the user and Solace Life in any post-release dispute.</w:t>
      </w:r>
    </w:p>
    <w:p>
      <w:pPr>
        <w:pStyle w:val="ListParagraph"/>
        <w:numPr>
          <w:ilvl w:val="0"/>
          <w:numId w:val="3"/>
        </w:numPr>
        <w:spacing w:after="40" w:before="40"/>
      </w:pPr>
      <w:r>
        <w:rPr>
          <w:rFonts w:ascii="Arial" w:cs="Arial" w:eastAsia="Arial" w:hAnsi="Arial"/>
          <w:color w:val="444444"/>
          <w:sz w:val="22"/>
          <w:szCs w:val="22"/>
        </w:rPr>
        <w:t xml:space="preserve">An annual in-app reminder should prompt users to review vault release settings and re-confirm consent. Circumstances and intentions change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220"/>
              <w:bottom w:type="dxa" w:w="160"/>
              <w:right w:type="dxa" w:w="220"/>
            </w:tcMar>
          </w:tcPr>
          <w:p>
            <w:pPr>
              <w:spacing w:after="40" w:before="0"/>
            </w:pPr>
            <w:r>
              <w:rPr>
                <w:rFonts w:ascii="Arial" w:cs="Arial" w:eastAsia="Arial" w:hAnsi="Arial"/>
                <w:b/>
                <w:bCs/>
                <w:color w:val="FFFFFF"/>
                <w:sz w:val="20"/>
                <w:szCs w:val="20"/>
              </w:rPr>
              <w:t xml:space="preserve">Crypto-Specific Mandatory Warning</w:t>
            </w:r>
          </w:p>
          <w:p>
            <w:pPr>
              <w:spacing w:after="0" w:before="0"/>
            </w:pPr>
            <w:r>
              <w:rPr>
                <w:rFonts w:ascii="Arial" w:cs="Arial" w:eastAsia="Arial" w:hAnsi="Arial"/>
                <w:color w:val="FFFFFF"/>
                <w:sz w:val="20"/>
                <w:szCs w:val="20"/>
              </w:rPr>
              <w:t xml:space="preserve">When a user adds a private key or seed phrase to the Vault, Solace Life must display a non-dismissable advisory: "You are storing the cryptographic key to your digital assets. Anyone who receives this key has full, immediate, and irreversible control of those assets. This is equivalent to giving someone physical cash. We strongly recommend you obtain legal or financial advice before proceeding." This is the minimum standard for informed consent at this risk tier.</w:t>
            </w:r>
          </w:p>
        </w:tc>
      </w:tr>
    </w:tbl>
    <w:p>
      <w:pPr>
        <w:spacing w:after="60" w:before="60"/>
      </w:pPr>
      <w:r>
        <w:t xml:space="preserve"/>
      </w:r>
    </w:p>
    <w:p>
      <w:r>
        <w:br w:type="page"/>
      </w:r>
    </w:p>
    <w:p>
      <w:pPr>
        <w:pStyle w:val="Heading1"/>
        <w:spacing w:after="120" w:before="360"/>
      </w:pPr>
      <w:r>
        <w:rPr>
          <w:rFonts w:ascii="Arial" w:cs="Arial" w:eastAsia="Arial" w:hAnsi="Arial"/>
          <w:b/>
          <w:bCs/>
          <w:color w:val="1E1248"/>
          <w:sz w:val="32"/>
          <w:szCs w:val="32"/>
        </w:rPr>
        <w:t xml:space="preserve">Part 2: Multiple Trusted Member Implications</w:t>
      </w:r>
    </w:p>
    <w:p>
      <w:pPr>
        <w:pStyle w:val="Heading2"/>
        <w:spacing w:after="80" w:before="240"/>
      </w:pPr>
      <w:r>
        <w:rPr>
          <w:rFonts w:ascii="Arial" w:cs="Arial" w:eastAsia="Arial" w:hAnsi="Arial"/>
          <w:b/>
          <w:bCs/>
          <w:color w:val="7A2850"/>
          <w:sz w:val="26"/>
          <w:szCs w:val="26"/>
        </w:rPr>
        <w:t xml:space="preserve">2.1  Overview</w:t>
      </w:r>
    </w:p>
    <w:p>
      <w:pPr>
        <w:spacing w:after="80" w:before="60"/>
      </w:pPr>
      <w:r>
        <w:rPr>
          <w:rFonts w:ascii="Arial" w:cs="Arial" w:eastAsia="Arial" w:hAnsi="Arial"/>
          <w:color w:val="444444"/>
          <w:sz w:val="22"/>
          <w:szCs w:val="22"/>
        </w:rPr>
        <w:t xml:space="preserve">Allowing users to designate more than one trusted member carries risk that varies enormously by vault category. For read-only reference documents, multiple recipients pose minimal additional risk. For banking credentials and cryptocurrency keys, multiple recipients create potentially catastrophic exposure — both for the recipients and for the estate.</w:t>
      </w:r>
    </w:p>
    <w:p>
      <w:pPr>
        <w:spacing w:after="60" w:before="60"/>
      </w:pPr>
      <w:r>
        <w:t xml:space="preserve"/>
      </w:r>
    </w:p>
    <w:p>
      <w:pPr>
        <w:pStyle w:val="Heading2"/>
        <w:spacing w:after="80" w:before="240"/>
      </w:pPr>
      <w:r>
        <w:rPr>
          <w:rFonts w:ascii="Arial" w:cs="Arial" w:eastAsia="Arial" w:hAnsi="Arial"/>
          <w:b/>
          <w:bCs/>
          <w:color w:val="7A2850"/>
          <w:sz w:val="26"/>
          <w:szCs w:val="26"/>
        </w:rPr>
        <w:t xml:space="preserve">2.2  Risk Matrix by Vault 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000"/>
        <w:gridCol w:w="2660"/>
      </w:tblGrid>
      <w:tr>
        <w:trPr>
          <w:tblHeader/>
        </w:trPr>
        <w:tc>
          <w:tcPr>
            <w:tcW w:type="dxa" w:w="1800"/>
            <w:tcBorders>
              <w:top w:val="single" w:color="CCCCCC" w:sz="1"/>
              <w:left w:val="single" w:color="CCCCCC" w:sz="1"/>
              <w:bottom w:val="single" w:color="CCCCCC" w:sz="1"/>
              <w:right w:val="single" w:color="CCCCCC" w:sz="1"/>
            </w:tcBorders>
            <w:shd w:fill="7A2850"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1900"/>
            <w:tcBorders>
              <w:top w:val="single" w:color="CCCCCC" w:sz="1"/>
              <w:left w:val="single" w:color="CCCCCC" w:sz="1"/>
              <w:bottom w:val="single" w:color="CCCCCC" w:sz="1"/>
              <w:right w:val="single" w:color="CCCCCC" w:sz="1"/>
            </w:tcBorders>
            <w:shd w:fill="7A2850" w:val="clear"/>
            <w:tcMar>
              <w:top w:type="dxa" w:w="80"/>
              <w:left w:type="dxa" w:w="100"/>
              <w:bottom w:type="dxa" w:w="80"/>
              <w:right w:type="dxa" w:w="100"/>
            </w:tcMar>
          </w:tcPr>
          <w:p>
            <w:r>
              <w:rPr>
                <w:rFonts w:ascii="Arial" w:cs="Arial" w:eastAsia="Arial" w:hAnsi="Arial"/>
                <w:b/>
                <w:bCs/>
                <w:color w:val="FFFFFF"/>
                <w:sz w:val="18"/>
                <w:szCs w:val="18"/>
              </w:rPr>
              <w:t xml:space="preserve">Single Member</w:t>
            </w:r>
          </w:p>
        </w:tc>
        <w:tc>
          <w:tcPr>
            <w:tcW w:type="dxa" w:w="3000"/>
            <w:tcBorders>
              <w:top w:val="single" w:color="CCCCCC" w:sz="1"/>
              <w:left w:val="single" w:color="CCCCCC" w:sz="1"/>
              <w:bottom w:val="single" w:color="CCCCCC" w:sz="1"/>
              <w:right w:val="single" w:color="CCCCCC" w:sz="1"/>
            </w:tcBorders>
            <w:shd w:fill="7A2850" w:val="clear"/>
            <w:tcMar>
              <w:top w:type="dxa" w:w="80"/>
              <w:left w:type="dxa" w:w="100"/>
              <w:bottom w:type="dxa" w:w="80"/>
              <w:right w:type="dxa" w:w="100"/>
            </w:tcMar>
          </w:tcPr>
          <w:p>
            <w:r>
              <w:rPr>
                <w:rFonts w:ascii="Arial" w:cs="Arial" w:eastAsia="Arial" w:hAnsi="Arial"/>
                <w:b/>
                <w:bCs/>
                <w:color w:val="FFFFFF"/>
                <w:sz w:val="18"/>
                <w:szCs w:val="18"/>
              </w:rPr>
              <w:t xml:space="preserve">Multiple Members</w:t>
            </w:r>
          </w:p>
        </w:tc>
        <w:tc>
          <w:tcPr>
            <w:tcW w:type="dxa" w:w="2660"/>
            <w:tcBorders>
              <w:top w:val="single" w:color="CCCCCC" w:sz="1"/>
              <w:left w:val="single" w:color="CCCCCC" w:sz="1"/>
              <w:bottom w:val="single" w:color="CCCCCC" w:sz="1"/>
              <w:right w:val="single" w:color="CCCCCC" w:sz="1"/>
            </w:tcBorders>
            <w:shd w:fill="7A2850" w:val="clear"/>
            <w:tcMar>
              <w:top w:type="dxa" w:w="80"/>
              <w:left w:type="dxa" w:w="100"/>
              <w:bottom w:type="dxa" w:w="80"/>
              <w:right w:type="dxa" w:w="100"/>
            </w:tcMar>
          </w:tcPr>
          <w:p>
            <w:r>
              <w:rPr>
                <w:rFonts w:ascii="Arial" w:cs="Arial" w:eastAsia="Arial" w:hAnsi="Arial"/>
                <w:b/>
                <w:bCs/>
                <w:color w:val="FFFFFF"/>
                <w:sz w:val="18"/>
                <w:szCs w:val="18"/>
              </w:rPr>
              <w:t xml:space="preserve">Recommendation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444444"/>
                <w:sz w:val="17"/>
                <w:szCs w:val="17"/>
              </w:rPr>
              <w:t xml:space="preserve">Legal Documents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Clean — one contact for executor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7"/>
                <w:szCs w:val="17"/>
              </w:rPr>
              <w:t xml:space="preserve">Acceptable — read-only, no conflict</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Allow up to 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444444"/>
                <w:sz w:val="17"/>
                <w:szCs w:val="17"/>
              </w:rPr>
              <w:t xml:space="preserve">Financial Overview</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Clean — information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7"/>
                <w:szCs w:val="17"/>
              </w:rPr>
              <w:t xml:space="preserve">Acceptable — informational</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Allow up to 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444444"/>
                <w:sz w:val="17"/>
                <w:szCs w:val="17"/>
              </w:rPr>
              <w:t xml:space="preserve">Property Documents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Clean — reference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7"/>
                <w:szCs w:val="17"/>
              </w:rPr>
              <w:t xml:space="preserve">Acceptable — no transfer authority</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Allow up to 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444444"/>
                <w:sz w:val="17"/>
                <w:szCs w:val="17"/>
              </w:rPr>
              <w:t xml:space="preserve">Account Passwords (non-banking)</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Low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44444"/>
                <w:sz w:val="17"/>
                <w:szCs w:val="17"/>
              </w:rPr>
              <w:t xml:space="preserve">Low–medium: duplicate account access</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Maximum 2 members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444444"/>
                <w:sz w:val="17"/>
                <w:szCs w:val="17"/>
              </w:rPr>
              <w:t xml:space="preserve">Banking Credentials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High risk regardless</w:t>
            </w:r>
          </w:p>
        </w:tc>
        <w:tc>
          <w:tcPr>
            <w:tcW w:type="dxa" w:w="30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color w:val="C0392B"/>
                <w:sz w:val="17"/>
                <w:szCs w:val="17"/>
              </w:rPr>
              <w:t xml:space="preserve">CRITICAL — race-to-access, potential fraud, competing claims</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Strongly advise removal; if kept, 1 member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444444"/>
                <w:sz w:val="17"/>
                <w:szCs w:val="17"/>
              </w:rPr>
              <w:t xml:space="preserve">Crypto Keys / Seed Phrases</w:t>
            </w:r>
          </w:p>
        </w:tc>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Manageable with guidance</w:t>
            </w:r>
          </w:p>
        </w:tc>
        <w:tc>
          <w:tcPr>
            <w:tcW w:type="dxa" w:w="3000"/>
            <w:tcBorders>
              <w:top w:val="single" w:color="CCCCCC" w:sz="1"/>
              <w:left w:val="single" w:color="CCCCCC" w:sz="1"/>
              <w:bottom w:val="single" w:color="CCCCCC" w:sz="1"/>
              <w:right w:val="single" w:color="CCCCCC" w:sz="1"/>
            </w:tcBorders>
            <w:shd w:fill="FDECEA" w:val="clear"/>
            <w:tcMar>
              <w:top w:type="dxa" w:w="80"/>
              <w:left w:type="dxa" w:w="100"/>
              <w:bottom w:type="dxa" w:w="80"/>
              <w:right w:type="dxa" w:w="100"/>
            </w:tcMar>
          </w:tcPr>
          <w:p>
            <w:r>
              <w:rPr>
                <w:rFonts w:ascii="Arial" w:cs="Arial" w:eastAsia="Arial" w:hAnsi="Arial"/>
                <w:b/>
                <w:bCs/>
                <w:color w:val="C0392B"/>
                <w:sz w:val="17"/>
                <w:szCs w:val="17"/>
              </w:rPr>
              <w:t xml:space="preserve">CRITICAL — first mover controls asset; others locked out permanently</w:t>
            </w:r>
          </w:p>
        </w:tc>
        <w:tc>
          <w:tcPr>
            <w:tcW w:type="dxa" w:w="2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7"/>
                <w:szCs w:val="17"/>
              </w:rPr>
              <w:t xml:space="preserve">1 designated member ONLY — hard cap enforced</w:t>
            </w:r>
          </w:p>
        </w:tc>
      </w:tr>
    </w:tbl>
    <w:p>
      <w:pPr>
        <w:spacing w:after="60" w:before="60"/>
      </w:pPr>
      <w:r>
        <w:t xml:space="preserve"/>
      </w:r>
    </w:p>
    <w:p>
      <w:pPr>
        <w:pStyle w:val="Heading2"/>
        <w:spacing w:after="80" w:before="240"/>
      </w:pPr>
      <w:r>
        <w:rPr>
          <w:rFonts w:ascii="Arial" w:cs="Arial" w:eastAsia="Arial" w:hAnsi="Arial"/>
          <w:b/>
          <w:bCs/>
          <w:color w:val="7A2850"/>
          <w:sz w:val="26"/>
          <w:szCs w:val="26"/>
        </w:rPr>
        <w:t xml:space="preserve">2.3  The Crypto Double-Access Problem</w:t>
      </w:r>
    </w:p>
    <w:p>
      <w:pPr>
        <w:spacing w:after="80" w:before="60"/>
      </w:pPr>
      <w:r>
        <w:rPr>
          <w:rFonts w:ascii="Arial" w:cs="Arial" w:eastAsia="Arial" w:hAnsi="Arial"/>
          <w:color w:val="444444"/>
          <w:sz w:val="22"/>
          <w:szCs w:val="22"/>
        </w:rPr>
        <w:t xml:space="preserve">This is the highest-stakes scenario in the entire Vault feature. If two trusted members receive the same cryptocurrency private key or seed phrase:</w:t>
      </w:r>
    </w:p>
    <w:p>
      <w:pPr>
        <w:pStyle w:val="ListParagraph"/>
        <w:numPr>
          <w:ilvl w:val="0"/>
          <w:numId w:val="3"/>
        </w:numPr>
        <w:spacing w:after="40" w:before="40"/>
      </w:pPr>
      <w:r>
        <w:rPr>
          <w:rFonts w:ascii="Arial" w:cs="Arial" w:eastAsia="Arial" w:hAnsi="Arial"/>
          <w:color w:val="444444"/>
          <w:sz w:val="22"/>
          <w:szCs w:val="22"/>
        </w:rPr>
        <w:t xml:space="preserve">Both members have full, simultaneous, irreversible control of the wallet.</w:t>
      </w:r>
    </w:p>
    <w:p>
      <w:pPr>
        <w:pStyle w:val="ListParagraph"/>
        <w:numPr>
          <w:ilvl w:val="0"/>
          <w:numId w:val="3"/>
        </w:numPr>
        <w:spacing w:after="40" w:before="40"/>
      </w:pPr>
      <w:r>
        <w:rPr>
          <w:rFonts w:ascii="Arial" w:cs="Arial" w:eastAsia="Arial" w:hAnsi="Arial"/>
          <w:color w:val="444444"/>
          <w:sz w:val="22"/>
          <w:szCs w:val="22"/>
        </w:rPr>
        <w:t xml:space="preserve">Whoever acts first — transferring funds, changing keys — locks out the other entirely. There is no arbitration, no reversal, and no recourse. Blockchain transactions are final.</w:t>
      </w:r>
    </w:p>
    <w:p>
      <w:pPr>
        <w:pStyle w:val="ListParagraph"/>
        <w:numPr>
          <w:ilvl w:val="0"/>
          <w:numId w:val="3"/>
        </w:numPr>
        <w:spacing w:after="40" w:before="40"/>
      </w:pPr>
      <w:r>
        <w:rPr>
          <w:rFonts w:ascii="Arial" w:cs="Arial" w:eastAsia="Arial" w:hAnsi="Arial"/>
          <w:color w:val="444444"/>
          <w:sz w:val="22"/>
          <w:szCs w:val="22"/>
        </w:rPr>
        <w:t xml:space="preserve">This creates an immediate financial incentive for the first person to learn of the death to act unilaterally, regardless of the deceased's intentions.</w:t>
      </w:r>
    </w:p>
    <w:p>
      <w:pPr>
        <w:pStyle w:val="ListParagraph"/>
        <w:numPr>
          <w:ilvl w:val="0"/>
          <w:numId w:val="3"/>
        </w:numPr>
        <w:spacing w:after="40" w:before="40"/>
      </w:pPr>
      <w:r>
        <w:rPr>
          <w:rFonts w:ascii="Arial" w:cs="Arial" w:eastAsia="Arial" w:hAnsi="Arial"/>
          <w:color w:val="444444"/>
          <w:sz w:val="22"/>
          <w:szCs w:val="22"/>
        </w:rPr>
        <w:t xml:space="preserve">Even if both recipients are entirely trustworthy, the ambiguity of "who manages this" has historically destroyed family relationships in estate disputes involving digital assets.</w:t>
      </w:r>
    </w:p>
    <w:p>
      <w:pPr>
        <w:spacing w:after="80" w:before="60"/>
      </w:pPr>
      <w:r>
        <w:rPr>
          <w:rFonts w:ascii="Arial" w:cs="Arial" w:eastAsia="Arial" w:hAnsi="Arial"/>
          <w:color w:val="444444"/>
          <w:sz w:val="22"/>
          <w:szCs w:val="22"/>
        </w:rPr>
        <w:t xml:space="preserve">Hard recommendation: Enforce a technical hard cap of exactly ONE designated member for any vault category containing private keys or seed phrases. This must not be a UI warning the user can dismiss — it must be a system-level constraint.</w:t>
      </w:r>
    </w:p>
    <w:p>
      <w:pPr>
        <w:spacing w:after="60" w:before="60"/>
      </w:pPr>
      <w:r>
        <w:t xml:space="preserve"/>
      </w:r>
    </w:p>
    <w:p>
      <w:pPr>
        <w:pStyle w:val="Heading2"/>
        <w:spacing w:after="80" w:before="240"/>
      </w:pPr>
      <w:r>
        <w:rPr>
          <w:rFonts w:ascii="Arial" w:cs="Arial" w:eastAsia="Arial" w:hAnsi="Arial"/>
          <w:b/>
          <w:bCs/>
          <w:color w:val="7A2850"/>
          <w:sz w:val="26"/>
          <w:szCs w:val="26"/>
        </w:rPr>
        <w:t xml:space="preserve">2.4  The Banking Credential Race-to-Access Problem</w:t>
      </w:r>
    </w:p>
    <w:p>
      <w:pPr>
        <w:spacing w:after="80" w:before="60"/>
      </w:pPr>
      <w:r>
        <w:rPr>
          <w:rFonts w:ascii="Arial" w:cs="Arial" w:eastAsia="Arial" w:hAnsi="Arial"/>
          <w:color w:val="444444"/>
          <w:sz w:val="22"/>
          <w:szCs w:val="22"/>
        </w:rPr>
        <w:t xml:space="preserve">Multiple trusted members with banking credentials create a legally distinct but equally serious problem:</w:t>
      </w:r>
    </w:p>
    <w:p>
      <w:pPr>
        <w:pStyle w:val="ListParagraph"/>
        <w:numPr>
          <w:ilvl w:val="0"/>
          <w:numId w:val="3"/>
        </w:numPr>
        <w:spacing w:after="40" w:before="40"/>
      </w:pPr>
      <w:r>
        <w:rPr>
          <w:rFonts w:ascii="Arial" w:cs="Arial" w:eastAsia="Arial" w:hAnsi="Arial"/>
          <w:color w:val="444444"/>
          <w:sz w:val="22"/>
          <w:szCs w:val="22"/>
        </w:rPr>
        <w:t xml:space="preserve">Banks' fraud detection systems will trigger account freezes when multiple unfamiliar devices attempt login around the time of a reported death.</w:t>
      </w:r>
    </w:p>
    <w:p>
      <w:pPr>
        <w:pStyle w:val="ListParagraph"/>
        <w:numPr>
          <w:ilvl w:val="0"/>
          <w:numId w:val="3"/>
        </w:numPr>
        <w:spacing w:after="40" w:before="40"/>
      </w:pPr>
      <w:r>
        <w:rPr>
          <w:rFonts w:ascii="Arial" w:cs="Arial" w:eastAsia="Arial" w:hAnsi="Arial"/>
          <w:color w:val="444444"/>
          <w:sz w:val="22"/>
          <w:szCs w:val="22"/>
        </w:rPr>
        <w:t xml:space="preserve">Each member who uses the credentials technically violates the bank's Terms of Service. With multiple recipients, the exposure multiplies.</w:t>
      </w:r>
    </w:p>
    <w:p>
      <w:pPr>
        <w:pStyle w:val="ListParagraph"/>
        <w:numPr>
          <w:ilvl w:val="0"/>
          <w:numId w:val="3"/>
        </w:numPr>
        <w:spacing w:after="40" w:before="40"/>
      </w:pPr>
      <w:r>
        <w:rPr>
          <w:rFonts w:ascii="Arial" w:cs="Arial" w:eastAsia="Arial" w:hAnsi="Arial"/>
          <w:color w:val="444444"/>
          <w:sz w:val="22"/>
          <w:szCs w:val="22"/>
        </w:rPr>
        <w:t xml:space="preserve">If members act independently and transfer funds to themselves, this can constitute estate fraud — particularly when a Will allocates those assets differently.</w:t>
      </w:r>
    </w:p>
    <w:p>
      <w:pPr>
        <w:spacing w:after="80" w:before="60"/>
      </w:pPr>
      <w:r>
        <w:rPr>
          <w:rFonts w:ascii="Arial" w:cs="Arial" w:eastAsia="Arial" w:hAnsi="Arial"/>
          <w:color w:val="444444"/>
          <w:sz w:val="22"/>
          <w:szCs w:val="22"/>
        </w:rPr>
        <w:t xml:space="preserve">The stronger product recommendation (from Emma Walsh and Diana Lowe, detailed below) is to actively replace the "banking passwords" category with a "banking contacts and estate instructions" category — storing account contact information and what documentation to present, rather than live credentials. This removes Solace Life's liability exposure entirely.</w:t>
      </w:r>
    </w:p>
    <w:p>
      <w:pPr>
        <w:spacing w:after="60" w:before="60"/>
      </w:pPr>
      <w:r>
        <w:t xml:space="preserve"/>
      </w:r>
    </w:p>
    <w:p>
      <w:pPr>
        <w:pStyle w:val="Heading2"/>
        <w:spacing w:after="80" w:before="240"/>
      </w:pPr>
      <w:r>
        <w:rPr>
          <w:rFonts w:ascii="Arial" w:cs="Arial" w:eastAsia="Arial" w:hAnsi="Arial"/>
          <w:b/>
          <w:bCs/>
          <w:color w:val="7A2850"/>
          <w:sz w:val="26"/>
          <w:szCs w:val="26"/>
        </w:rPr>
        <w:t xml:space="preserve">2.5  Category-Level Permission Controls (Recommended Architecture)</w:t>
      </w:r>
    </w:p>
    <w:p>
      <w:pPr>
        <w:spacing w:after="80" w:before="60"/>
      </w:pPr>
      <w:r>
        <w:rPr>
          <w:rFonts w:ascii="Arial" w:cs="Arial" w:eastAsia="Arial" w:hAnsi="Arial"/>
          <w:color w:val="444444"/>
          <w:sz w:val="22"/>
          <w:szCs w:val="22"/>
        </w:rPr>
        <w:t xml:space="preserve">The cleanest solution to the multiple-member problem is to give users granular control over which categories each trusted member receives, rather than all-or-nothing vault release. For example, a user might configure:</w:t>
      </w:r>
    </w:p>
    <w:p>
      <w:pPr>
        <w:pStyle w:val="ListParagraph"/>
        <w:numPr>
          <w:ilvl w:val="0"/>
          <w:numId w:val="3"/>
        </w:numPr>
        <w:spacing w:after="40" w:before="40"/>
      </w:pPr>
      <w:r>
        <w:rPr>
          <w:rFonts w:ascii="Arial" w:cs="Arial" w:eastAsia="Arial" w:hAnsi="Arial"/>
          <w:color w:val="444444"/>
          <w:sz w:val="22"/>
          <w:szCs w:val="22"/>
        </w:rPr>
        <w:t xml:space="preserve">Parent: legal documents and property records only</w:t>
      </w:r>
    </w:p>
    <w:p>
      <w:pPr>
        <w:pStyle w:val="ListParagraph"/>
        <w:numPr>
          <w:ilvl w:val="0"/>
          <w:numId w:val="3"/>
        </w:numPr>
        <w:spacing w:after="40" w:before="40"/>
      </w:pPr>
      <w:r>
        <w:rPr>
          <w:rFonts w:ascii="Arial" w:cs="Arial" w:eastAsia="Arial" w:hAnsi="Arial"/>
          <w:color w:val="444444"/>
          <w:sz w:val="22"/>
          <w:szCs w:val="22"/>
        </w:rPr>
        <w:t xml:space="preserve">Sibling: account passwords and financial overview only</w:t>
      </w:r>
    </w:p>
    <w:p>
      <w:pPr>
        <w:pStyle w:val="ListParagraph"/>
        <w:numPr>
          <w:ilvl w:val="0"/>
          <w:numId w:val="3"/>
        </w:numPr>
        <w:spacing w:after="40" w:before="40"/>
      </w:pPr>
      <w:r>
        <w:rPr>
          <w:rFonts w:ascii="Arial" w:cs="Arial" w:eastAsia="Arial" w:hAnsi="Arial"/>
          <w:color w:val="444444"/>
          <w:sz w:val="22"/>
          <w:szCs w:val="22"/>
        </w:rPr>
        <w:t xml:space="preserve">Spouse: all categories except crypto keys (handled separately via estate)</w:t>
      </w:r>
    </w:p>
    <w:p>
      <w:pPr>
        <w:spacing w:after="80" w:before="60"/>
      </w:pPr>
      <w:r>
        <w:rPr>
          <w:rFonts w:ascii="Arial" w:cs="Arial" w:eastAsia="Arial" w:hAnsi="Arial"/>
          <w:color w:val="444444"/>
          <w:sz w:val="22"/>
          <w:szCs w:val="22"/>
        </w:rPr>
        <w:t xml:space="preserve">This mirrors how real estate planning works — different advisers and family members have access to different parts of your affairs. It reduces conflict, limits exposure per person, and removes the dangerous scenario of two people simultaneously receiving the same banking credentials or crypto keys.</w:t>
      </w:r>
    </w:p>
    <w:p>
      <w:pPr>
        <w:spacing w:after="60" w:before="60"/>
      </w:pPr>
      <w:r>
        <w:t xml:space="preserve"/>
      </w:r>
    </w:p>
    <w:p>
      <w:r>
        <w:br w:type="page"/>
      </w:r>
    </w:p>
    <w:p>
      <w:pPr>
        <w:pStyle w:val="Heading1"/>
        <w:spacing w:after="120" w:before="360"/>
      </w:pPr>
      <w:r>
        <w:rPr>
          <w:rFonts w:ascii="Arial" w:cs="Arial" w:eastAsia="Arial" w:hAnsi="Arial"/>
          <w:b/>
          <w:bCs/>
          <w:color w:val="1E1248"/>
          <w:sz w:val="32"/>
          <w:szCs w:val="32"/>
        </w:rPr>
        <w:t xml:space="preserve">Part 3: A Team Member Perspectives</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Emma Walsh</w:t>
      </w:r>
    </w:p>
    <w:p>
      <w:pPr>
        <w:spacing w:after="80" w:before="0"/>
      </w:pPr>
      <w:r>
        <w:rPr>
          <w:rFonts w:ascii="Arial" w:cs="Arial" w:eastAsia="Arial" w:hAnsi="Arial"/>
          <w:i/>
          <w:iCs/>
          <w:color w:val="0D7377"/>
          <w:sz w:val="20"/>
          <w:szCs w:val="20"/>
        </w:rPr>
        <w:t xml:space="preserve">Legal &amp; Compliance Counsel — JD, Osgoode Hall</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A blanket consent checkbox will not survive legal scrutiny, particularly for CRITICAL-tier categories. We need category-specific language that explicitly names the legal consequence — institutional ToS violation for banking credentials, irreversible asset transfer for crypto. Solace Life must also include a clear liability disclaimer: the platform acts as a delivery service only and does not hold, manage, or assume responsibility for the contents of any vault category. I would also recommend we conduct a Quebec Law 25 review — it imposes stricter consent requirements than federal PIPEDA and applies to any Quebec users.</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For legal documents, multiple members are fine — this is good estate hygiene. For banking and crypto, I would advocate for hard technical limits, not just UI warnings. If the product allows two people to receive a private key and an asset conflict arises, Solace Life will face difficult questions about whether it facilitated the dispute by not preventing it. The platform's defence is much stronger if the hard cap was enforced at the system level.</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Diana Lowe</w:t>
      </w:r>
    </w:p>
    <w:p>
      <w:pPr>
        <w:spacing w:after="80" w:before="0"/>
      </w:pPr>
      <w:r>
        <w:rPr>
          <w:rFonts w:ascii="Arial" w:cs="Arial" w:eastAsia="Arial" w:hAnsi="Arial"/>
          <w:i/>
          <w:iCs/>
          <w:color w:val="0D7377"/>
          <w:sz w:val="20"/>
          <w:szCs w:val="20"/>
        </w:rPr>
        <w:t xml:space="preserve">Co-Founder &amp; Chief Strategy Officer — MBA, Harvard; Ex-COO, LegalZoom acquisition</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Having been through the LegalZoom acquisition, the most common post-death complaints we encountered were not about technology failing — they were about users not understanding what they had actually consented to. We need consent language written for a grieving 60-year-old reading it at 2am, not for a compliance lawyer. Plain language, specific consequences, no legalese. Every consent statement should pass a Grade 8 readability test before it ships.</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Multiple trusted members should be positioned as a feature, not a risk — but the UI must make category-level permission controls the default experience. If the first thing a user sees when adding a second trusted member is a blank access form, we will create estate disputes. Walk them through what it means per category. Frame it as assigning responsibility, not just granting access.</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Alex Chen</w:t>
      </w:r>
    </w:p>
    <w:p>
      <w:pPr>
        <w:spacing w:after="80" w:before="0"/>
      </w:pPr>
      <w:r>
        <w:rPr>
          <w:rFonts w:ascii="Arial" w:cs="Arial" w:eastAsia="Arial" w:hAnsi="Arial"/>
          <w:i/>
          <w:iCs/>
          <w:color w:val="0D7377"/>
          <w:sz w:val="20"/>
          <w:szCs w:val="20"/>
        </w:rPr>
        <w:t xml:space="preserve">Lead Engineer / CTO — M.Sc. CS, MIT; Ex-Staff Engineer, Stripe</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Consent state must be stored server-side with a cryptographic timestamp, not just a local checkbox. If there is ever a dispute about what a user authorised and when, we need an immutable record — the same way Stripe logs every payment intent. I also want to flag the vault release trigger itself as a high-risk moment. We should require two-factor confirmation of the trigger event before any release occurs, regardless of how many trusted members are designated.</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The category-level permission system is achievable but needs careful data modelling. Store permissions as a member-category matrix, not a flat list. This also opens the door to valuable future features: time-delayed release per category, staged release, or "legal documents released immediately, financial details released after 30 days." Build the schema right the first time.</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Maya Torres</w:t>
      </w:r>
    </w:p>
    <w:p>
      <w:pPr>
        <w:spacing w:after="80" w:before="0"/>
      </w:pPr>
      <w:r>
        <w:rPr>
          <w:rFonts w:ascii="Arial" w:cs="Arial" w:eastAsia="Arial" w:hAnsi="Arial"/>
          <w:i/>
          <w:iCs/>
          <w:color w:val="0D7377"/>
          <w:sz w:val="20"/>
          <w:szCs w:val="20"/>
        </w:rPr>
        <w:t xml:space="preserve">Head of Product &amp; UX Design — MFA, Royal College of Art; Ex-Calm, Headspace</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The consent flow is a design challenge as much as a legal one. Users hate long consent forms — they skip-read and tap through. For CRITICAL categories we need intentional friction: a full-screen modal, a read-time pause before the checkbox activates, and language that a non-technical person finds clear and comprehensible. The goal is not to protect Solace Life legally — it is to make sure the user genuinely understands what they are doing.</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For multiple trusted members, test a "summary card" UI that shows the user a visual overview before they confirm: "Sarah will receive your legal documents and property records. James will receive your account passwords. Nobody is currently designated for your cryptocurrency keys." This mirrors how financial advisers present estate plan summaries and significantly reduces post-release confusion and disputes.</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Dr. Sarah Kim</w:t>
      </w:r>
    </w:p>
    <w:p>
      <w:pPr>
        <w:spacing w:after="80" w:before="0"/>
      </w:pPr>
      <w:r>
        <w:rPr>
          <w:rFonts w:ascii="Arial" w:cs="Arial" w:eastAsia="Arial" w:hAnsi="Arial"/>
          <w:i/>
          <w:iCs/>
          <w:color w:val="0D7377"/>
          <w:sz w:val="20"/>
          <w:szCs w:val="20"/>
        </w:rPr>
        <w:t xml:space="preserve">Market Research &amp; Consumer Psychology — PhD, Stanford</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Research on consent fatigue is clear: the more checkboxes users encounter, the less carefully each one is read. Recommend a progressive disclosure model — present the general vault release consent first, then surface category-specific consents only when the user adds content to that category. This connects the consent moment directly to the action, which dramatically improves comprehension and long-term recall.</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The emotional dynamics of multiple trusted members are significant. Users often add multiple people because they feel guilty excluding someone, not because it is strategically sound. The product should gently reframe this: designating a trusted member is about assigning a specific responsibility, not just including someone in your estate plan. Framing it as responsibility rather than inclusion reduces the likelihood of users adding members indiscriminately.</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Michael Reeves</w:t>
      </w:r>
    </w:p>
    <w:p>
      <w:pPr>
        <w:spacing w:after="80" w:before="0"/>
      </w:pPr>
      <w:r>
        <w:rPr>
          <w:rFonts w:ascii="Arial" w:cs="Arial" w:eastAsia="Arial" w:hAnsi="Arial"/>
          <w:i/>
          <w:iCs/>
          <w:color w:val="0D7377"/>
          <w:sz w:val="20"/>
          <w:szCs w:val="20"/>
        </w:rPr>
        <w:t xml:space="preserve">Financial Analyst — CFA; Ex-Director FP&amp;A, Series B health-tech</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Releasing account credentials — even to one person — bypasses the formal estate settlement process. Banks have established protocols for deceased account holders that protect both the estate and beneficiaries. Bypassing this with a shared password creates legal ambiguity about whether post-death transactions were authorised. Strong recommendation: replace "banking passwords" with "banking contacts" — account name, institution, branch contact, and estate documentation instructions. This solves the problem at source.</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For multiple members accessing financial information, the primary risk is divergent interpretation. If two trusted members see the same account balance and each believes it belongs to them, you have a dispute. The vault release should include a prominent disclaimer: "The financial information in this vault is for reference only. Legal entitlement to these assets is determined by the Will or applicable intestacy law, not by this document."</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Robert Chang</w:t>
      </w:r>
    </w:p>
    <w:p>
      <w:pPr>
        <w:spacing w:after="80" w:before="0"/>
      </w:pPr>
      <w:r>
        <w:rPr>
          <w:rFonts w:ascii="Arial" w:cs="Arial" w:eastAsia="Arial" w:hAnsi="Arial"/>
          <w:i/>
          <w:iCs/>
          <w:color w:val="0D7377"/>
          <w:sz w:val="20"/>
          <w:szCs w:val="20"/>
        </w:rPr>
        <w:t xml:space="preserve">Chief Financial Advisor — CPA; Ex-Partner, KPMG</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Solace Life must be unambiguous that it is not acting as trustee, executor, or financial institution. Any ambiguity creates liability. The consent language should include an explicit standalone statement — not buried in Terms of Service — that reads: "Solace Life does not hold, manage, or take custody of any assets described in your Vault. This platform is a secure delivery service only."</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Cryptocurrency carries a specific tax issue that users almost never consider. In Canada, crypto is capital property — transfer of private keys is a deemed disposition at death. The estate may owe capital gains tax on the fair market value at date of death, and the recipient may owe tax on subsequent gains. If two people receive the same key and one acts unilaterally, calculating the cost base becomes a nightmare for the estate. This alone justifies the one-member hard cap for crypto.</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James Okafor</w:t>
      </w:r>
    </w:p>
    <w:p>
      <w:pPr>
        <w:spacing w:after="80" w:before="0"/>
      </w:pPr>
      <w:r>
        <w:rPr>
          <w:rFonts w:ascii="Arial" w:cs="Arial" w:eastAsia="Arial" w:hAnsi="Arial"/>
          <w:i/>
          <w:iCs/>
          <w:color w:val="0D7377"/>
          <w:sz w:val="20"/>
          <w:szCs w:val="20"/>
        </w:rPr>
        <w:t xml:space="preserve">Growth &amp; Marketing Strategist — MBA, Wharton; Ex-VP Growth, Everplans</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The consent and disclosure architecture is a marketing asset, not just a compliance requirement. "Your vault releases only what you explicitly authorise, category by category, on your terms" is a compelling differentiator. Competitors in the digital estate space have largely treated consent as a legal checkbox. Solace Life can own the narrative around transparent, user-controlled estate data release — and lead with it in the value proposition.</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Every additional trusted member who receives a vault is a potential Solace Life user who may want to create their own account. The onboarding experience for recipients after vault release needs to be designed with this conversion moment in mind. A confused or alarmed recipient is a lost acquisition. Make the recipient experience feel like a gift, not a legal document dump.</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Dr. Marcus Webb</w:t>
      </w:r>
    </w:p>
    <w:p>
      <w:pPr>
        <w:spacing w:after="80" w:before="0"/>
      </w:pPr>
      <w:r>
        <w:rPr>
          <w:rFonts w:ascii="Arial" w:cs="Arial" w:eastAsia="Arial" w:hAnsi="Arial"/>
          <w:i/>
          <w:iCs/>
          <w:color w:val="0D7377"/>
          <w:sz w:val="20"/>
          <w:szCs w:val="20"/>
        </w:rPr>
        <w:t xml:space="preserve">Behavioral Economist — PhD, LSE</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Default settings are the most powerful design decision in this flow. If vault release defaults to "all categories released to all trusted members," most users will never reconfigure it — even if they should. Recommend defaulting to the most restrictive configuration: no categories shared until explicitly authorised per member. This is the opposite of most platforms, but it is the correct approach given the stakes. Opt-in defaults also protect Solace Life legally — the user actively chose what to share.</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Research on inheritance disputes shows that conflict between beneficiaries is strongly predicted not by estate size but by the ambiguity of the deceased's intentions. A Vault that clearly documents who gets what and why — including a personal message from the user to each trusted member explaining their choices — is likely to reduce family conflict far more effectively than any legal instrument. Consider adding a "message to this member" field alongside each category permission.</w:t>
      </w:r>
    </w:p>
    <w:p>
      <w:pPr>
        <w:pBdr>
          <w:bottom w:val="single" w:color="DDDDDD" w:sz="4" w:space="1"/>
        </w:pBdr>
        <w:spacing w:after="120" w:before="120"/>
      </w:pPr>
      <w:r>
        <w:t xml:space="preserve"/>
      </w:r>
    </w:p>
    <w:p>
      <w:pPr>
        <w:pStyle w:val="Heading3"/>
        <w:spacing w:after="60" w:before="200"/>
      </w:pPr>
      <w:r>
        <w:rPr>
          <w:rFonts w:ascii="Arial" w:cs="Arial" w:eastAsia="Arial" w:hAnsi="Arial"/>
          <w:b/>
          <w:bCs/>
          <w:color w:val="0D7377"/>
          <w:sz w:val="22"/>
          <w:szCs w:val="22"/>
        </w:rPr>
        <w:t xml:space="preserve">Jordan Park</w:t>
      </w:r>
    </w:p>
    <w:p>
      <w:pPr>
        <w:spacing w:after="80" w:before="0"/>
      </w:pPr>
      <w:r>
        <w:rPr>
          <w:rFonts w:ascii="Arial" w:cs="Arial" w:eastAsia="Arial" w:hAnsi="Arial"/>
          <w:i/>
          <w:iCs/>
          <w:color w:val="0D7377"/>
          <w:sz w:val="20"/>
          <w:szCs w:val="20"/>
        </w:rPr>
        <w:t xml:space="preserve">Growth &amp; Deployment Strategist — Serial Founder; Angel, Pre-seed &amp; Series A</w:t>
      </w:r>
    </w:p>
    <w:p>
      <w:pPr>
        <w:spacing w:after="60" w:before="60"/>
      </w:pPr>
      <w:r>
        <w:rPr>
          <w:rFonts w:ascii="Arial" w:cs="Arial" w:eastAsia="Arial" w:hAnsi="Arial"/>
          <w:b/>
          <w:bCs/>
          <w:color w:val="444444"/>
          <w:sz w:val="22"/>
          <w:szCs w:val="22"/>
        </w:rPr>
        <w:t xml:space="preserve">On Vault Release Consent: </w:t>
      </w:r>
      <w:r>
        <w:rPr>
          <w:rFonts w:ascii="Arial" w:cs="Arial" w:eastAsia="Arial" w:hAnsi="Arial"/>
          <w:color w:val="444444"/>
          <w:sz w:val="22"/>
          <w:szCs w:val="22"/>
        </w:rPr>
        <w:t xml:space="preserve">The consent flow is a product milestone, not a legal hurdle. Users who complete full vault configuration — all category consents, trusted members assigned, release trigger set — are the highest-value users on the platform. Treat the completion of this flow as a product moment worth celebrating. A "Vault Protection Score" or visual progress indicator showing how complete the user's estate plan is can significantly increase completion rates.</w:t>
      </w:r>
    </w:p>
    <w:p>
      <w:pPr>
        <w:spacing w:after="120" w:before="60"/>
      </w:pPr>
      <w:r>
        <w:rPr>
          <w:rFonts w:ascii="Arial" w:cs="Arial" w:eastAsia="Arial" w:hAnsi="Arial"/>
          <w:b/>
          <w:bCs/>
          <w:color w:val="444444"/>
          <w:sz w:val="22"/>
          <w:szCs w:val="22"/>
        </w:rPr>
        <w:t xml:space="preserve">On Multiple Trusted Members: </w:t>
      </w:r>
      <w:r>
        <w:rPr>
          <w:rFonts w:ascii="Arial" w:cs="Arial" w:eastAsia="Arial" w:hAnsi="Arial"/>
          <w:color w:val="444444"/>
          <w:sz w:val="22"/>
          <w:szCs w:val="22"/>
        </w:rPr>
        <w:t xml:space="preserve">Multiple trusted members expand the platform's network effect: each member is a potential new node. The risk — as Emma and Michael outlined — is real but manageable with the hard caps and category controls Alex and Diana recommend. The bigger growth risk is making the multiple-member feature so friction-heavy and cautious that users do not use it at all. Find the balance between safety guardrails and a confident, empowering experience. This feature, done well, is a core growth driver.</w:t>
      </w:r>
    </w:p>
    <w:p>
      <w:pPr>
        <w:pBdr>
          <w:bottom w:val="single" w:color="DDDDDD" w:sz="4" w:space="1"/>
        </w:pBdr>
        <w:spacing w:after="120" w:before="120"/>
      </w:pPr>
      <w:r>
        <w:t xml:space="preserve"/>
      </w:r>
    </w:p>
    <w:p>
      <w:r>
        <w:br w:type="page"/>
      </w:r>
    </w:p>
    <w:p>
      <w:pPr>
        <w:pStyle w:val="Heading1"/>
        <w:spacing w:after="120" w:before="360"/>
      </w:pPr>
      <w:r>
        <w:rPr>
          <w:rFonts w:ascii="Arial" w:cs="Arial" w:eastAsia="Arial" w:hAnsi="Arial"/>
          <w:b/>
          <w:bCs/>
          <w:color w:val="1E1248"/>
          <w:sz w:val="32"/>
          <w:szCs w:val="32"/>
        </w:rPr>
        <w:t xml:space="preserve">Part 4: Priority Action Items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860"/>
        <w:gridCol w:w="1900"/>
        <w:gridCol w:w="1200"/>
      </w:tblGrid>
      <w:tr>
        <w:trPr>
          <w:tblHeader/>
        </w:trPr>
        <w:tc>
          <w:tcPr>
            <w:tcW w:type="dxa" w:w="400"/>
            <w:tcBorders>
              <w:top w:val="single" w:color="CCCCCC" w:sz="1"/>
              <w:left w:val="single" w:color="CCCCCC" w:sz="1"/>
              <w:bottom w:val="single" w:color="CCCCCC" w:sz="1"/>
              <w:right w:val="single" w:color="CCCCCC" w:sz="1"/>
            </w:tcBorders>
            <w:shd w:fill="1E1248"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860"/>
            <w:tcBorders>
              <w:top w:val="single" w:color="CCCCCC" w:sz="1"/>
              <w:left w:val="single" w:color="CCCCCC" w:sz="1"/>
              <w:bottom w:val="single" w:color="CCCCCC" w:sz="1"/>
              <w:right w:val="single" w:color="CCCCCC" w:sz="1"/>
            </w:tcBorders>
            <w:shd w:fill="1E1248"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1900"/>
            <w:tcBorders>
              <w:top w:val="single" w:color="CCCCCC" w:sz="1"/>
              <w:left w:val="single" w:color="CCCCCC" w:sz="1"/>
              <w:bottom w:val="single" w:color="CCCCCC" w:sz="1"/>
              <w:right w:val="single" w:color="CCCCCC" w:sz="1"/>
            </w:tcBorders>
            <w:shd w:fill="1E1248"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200"/>
            <w:tcBorders>
              <w:top w:val="single" w:color="CCCCCC" w:sz="1"/>
              <w:left w:val="single" w:color="CCCCCC" w:sz="1"/>
              <w:bottom w:val="single" w:color="CCCCCC" w:sz="1"/>
              <w:right w:val="single" w:color="CCCCCC" w:sz="1"/>
            </w:tcBorders>
            <w:shd w:fill="1E1248" w:val="clear"/>
            <w:tcMar>
              <w:top w:type="dxa" w:w="80"/>
              <w:left w:type="dxa" w:w="100"/>
              <w:bottom w:type="dxa" w:w="80"/>
              <w:right w:type="dxa" w:w="100"/>
            </w:tcMar>
          </w:tcPr>
          <w:p>
            <w:r>
              <w:rPr>
                <w:rFonts w:ascii="Arial" w:cs="Arial" w:eastAsia="Arial" w:hAnsi="Arial"/>
                <w:b/>
                <w:bCs/>
                <w:color w:val="FFFFFF"/>
                <w:sz w:val="18"/>
                <w:szCs w:val="18"/>
              </w:rPr>
              <w:t xml:space="preserve">Priority</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1</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Implement category-level consent checkboxes — one per vault category with specific legal language. A single blanket checkbox is legally insufficient for PIPEDA and crypto exposure.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Emma Walsh + Alex Chen</w:t>
            </w:r>
          </w:p>
        </w:tc>
        <w:tc>
          <w:tcPr>
            <w:tcW w:type="dxa" w:w="12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2</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Hard-cap crypto (private keys/seed phrases) to ONE designated member. Display a non-dismissable warning if the user attempts to add a second recipient for any crypto category.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Alex Chen + Diana Lowe</w:t>
            </w:r>
          </w:p>
        </w:tc>
        <w:tc>
          <w:tcPr>
            <w:tcW w:type="dxa" w:w="1200"/>
            <w:tcBorders>
              <w:top w:val="single" w:color="CCCCCC" w:sz="1"/>
              <w:left w:val="single" w:color="CCCCCC" w:sz="1"/>
              <w:bottom w:val="single" w:color="CCCCCC" w:sz="1"/>
              <w:right w:val="single" w:color="CCCCCC" w:sz="1"/>
            </w:tcBorders>
            <w:shd w:fill="C0392B"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3</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Add a prominent advisory for banking passwords: recommend users store account contact info and estate instructions instead of live credentials. Remove the liability footprint entirely.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Maya Torres + Emma Walsh</w:t>
            </w:r>
          </w:p>
        </w:tc>
        <w:tc>
          <w:tcPr>
            <w:tcW w:type="dxa" w:w="1200"/>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4</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Build category-level permission controls per trusted member — each member can be assigned specific categories only (e.g. legal only, passwords only, no crypto).</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Alex Chen + Maya Torres</w:t>
            </w:r>
          </w:p>
        </w:tc>
        <w:tc>
          <w:tcPr>
            <w:tcW w:type="dxa" w:w="1200"/>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5</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Add annual re-confirmation prompt — remind users once a year to review vault release settings and re-confirm consent. Circumstances change.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Jordan Park + Dr. Marcus Webb</w:t>
            </w:r>
          </w:p>
        </w:tc>
        <w:tc>
          <w:tcPr>
            <w:tcW w:type="dxa" w:w="1200"/>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6</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Add a clear liability disclaimer to the vault release flow: "Solace Life is a secure delivery service. We are not your estate executor, financial institution, or legal adviser."</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Emma Walsh + Diana Lowe</w:t>
            </w:r>
          </w:p>
        </w:tc>
        <w:tc>
          <w:tcPr>
            <w:tcW w:type="dxa" w:w="1200"/>
            <w:tcBorders>
              <w:top w:val="single" w:color="CCCCCC" w:sz="1"/>
              <w:left w:val="single" w:color="CCCCCC" w:sz="1"/>
              <w:bottom w:val="single" w:color="CCCCCC" w:sz="1"/>
              <w:right w:val="single" w:color="CCCCCC" w:sz="1"/>
            </w:tcBorders>
            <w:shd w:fill="D35400"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7</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Display a plain-language summary card before vault release is confirmed: who gets what, per category. Make the user read it, not just click past it.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Maya Torres + Dr. Sarah Kim</w:t>
            </w:r>
          </w:p>
        </w:tc>
        <w:tc>
          <w:tcPr>
            <w:tcW w:type="dxa" w:w="12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8</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Build a Recipient Acceptance step — require the trusted member to acknowledge receipt before viewing sensitive categories after vault release is triggered.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Diana Lowe + Dr. Marcus Webb</w:t>
            </w:r>
          </w:p>
        </w:tc>
        <w:tc>
          <w:tcPr>
            <w:tcW w:type="dxa" w:w="12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9</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Update Privacy Policy to document the vault release data flow — what is released, to whom, under what trigger, and the 48-hour credential purge after delivery.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Emma Walsh + Robert Chang</w:t>
            </w:r>
          </w:p>
        </w:tc>
        <w:tc>
          <w:tcPr>
            <w:tcW w:type="dxa" w:w="12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7A2850"/>
                <w:sz w:val="18"/>
                <w:szCs w:val="18"/>
              </w:rPr>
              <w:t xml:space="preserve">10</w:t>
            </w:r>
          </w:p>
        </w:tc>
        <w:tc>
          <w:tcPr>
            <w:tcW w:type="dxa" w:w="5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44"/>
                <w:sz w:val="18"/>
                <w:szCs w:val="18"/>
              </w:rPr>
              <w:t xml:space="preserve">Build an audit log viewable by the user at any time showing the full configuration: who receives what categories, under which trigger. Transparency reduces post-release disputes.</w:t>
            </w:r>
          </w:p>
        </w:tc>
        <w:tc>
          <w:tcPr>
            <w:tcW w:type="dxa" w:w="19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color w:val="444444"/>
                <w:sz w:val="17"/>
                <w:szCs w:val="17"/>
              </w:rPr>
              <w:t xml:space="preserve">Alex Chen + James Okafor</w:t>
            </w:r>
          </w:p>
        </w:tc>
        <w:tc>
          <w:tcPr>
            <w:tcW w:type="dxa" w:w="1200"/>
            <w:tcBorders>
              <w:top w:val="single" w:color="CCCCCC" w:sz="1"/>
              <w:left w:val="single" w:color="CCCCCC" w:sz="1"/>
              <w:bottom w:val="single" w:color="CCCCCC" w:sz="1"/>
              <w:right w:val="single" w:color="CCCCCC" w:sz="1"/>
            </w:tcBorders>
            <w:shd w:fill="0D7377"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MEDIUM</w:t>
            </w:r>
          </w:p>
        </w:tc>
      </w:tr>
    </w:tbl>
    <w:p>
      <w:pPr>
        <w:spacing w:after="60" w:before="60"/>
      </w:pPr>
      <w:r>
        <w:t xml:space="preserve"/>
      </w:r>
    </w:p>
    <w:p>
      <w:pPr>
        <w:pStyle w:val="Heading1"/>
        <w:spacing w:after="120" w:before="360"/>
      </w:pPr>
      <w:r>
        <w:rPr>
          <w:rFonts w:ascii="Arial" w:cs="Arial" w:eastAsia="Arial" w:hAnsi="Arial"/>
          <w:b/>
          <w:bCs/>
          <w:color w:val="1E1248"/>
          <w:sz w:val="32"/>
          <w:szCs w:val="32"/>
        </w:rPr>
        <w:t xml:space="preserve">Part 5: Recommended In-App Consent Language</w:t>
      </w:r>
    </w:p>
    <w:p>
      <w:pPr>
        <w:pStyle w:val="Heading2"/>
        <w:spacing w:after="80" w:before="240"/>
      </w:pPr>
      <w:r>
        <w:rPr>
          <w:rFonts w:ascii="Arial" w:cs="Arial" w:eastAsia="Arial" w:hAnsi="Arial"/>
          <w:b/>
          <w:bCs/>
          <w:color w:val="7A2850"/>
          <w:sz w:val="26"/>
          <w:szCs w:val="26"/>
        </w:rPr>
        <w:t xml:space="preserve">5.1  General Vault Release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248" w:val="clear"/>
            <w:tcMar>
              <w:top w:type="dxa" w:w="160"/>
              <w:left w:type="dxa" w:w="220"/>
              <w:bottom w:type="dxa" w:w="160"/>
              <w:right w:type="dxa" w:w="220"/>
            </w:tcMar>
          </w:tcPr>
          <w:p>
            <w:pPr>
              <w:spacing w:after="40" w:before="0"/>
            </w:pPr>
            <w:r>
              <w:rPr>
                <w:rFonts w:ascii="Arial" w:cs="Arial" w:eastAsia="Arial" w:hAnsi="Arial"/>
                <w:b/>
                <w:bCs/>
                <w:color w:val="FFFFFF"/>
                <w:sz w:val="20"/>
                <w:szCs w:val="20"/>
              </w:rPr>
              <w:t xml:space="preserve">Consent Text — General</w:t>
            </w:r>
          </w:p>
          <w:p>
            <w:pPr>
              <w:spacing w:after="0" w:before="0"/>
            </w:pPr>
            <w:r>
              <w:rPr>
                <w:rFonts w:ascii="Arial" w:cs="Arial" w:eastAsia="Arial" w:hAnsi="Arial"/>
                <w:color w:val="FFFFFF"/>
                <w:sz w:val="20"/>
                <w:szCs w:val="20"/>
              </w:rPr>
              <w:t xml:space="preserve">By enabling Vault Release, I authorise Solace Life to deliver the contents of my designated Vault categories to the trusted member(s) I have named, upon confirmation of the trigger event I have specified. I understand this action is not reversible once the trigger is confirmed. Solace Life acts as a secure delivery service only — it is not my estate executor, legal adviser, or financial institution.</w:t>
            </w:r>
          </w:p>
        </w:tc>
      </w:tr>
    </w:tbl>
    <w:p>
      <w:pPr>
        <w:spacing w:after="60" w:before="60"/>
      </w:pPr>
      <w:r>
        <w:t xml:space="preserve"/>
      </w:r>
    </w:p>
    <w:p>
      <w:pPr>
        <w:pStyle w:val="Heading2"/>
        <w:spacing w:after="80" w:before="240"/>
      </w:pPr>
      <w:r>
        <w:rPr>
          <w:rFonts w:ascii="Arial" w:cs="Arial" w:eastAsia="Arial" w:hAnsi="Arial"/>
          <w:b/>
          <w:bCs/>
          <w:color w:val="7A2850"/>
          <w:sz w:val="26"/>
          <w:szCs w:val="26"/>
        </w:rPr>
        <w:t xml:space="preserve">5.2  Banking Credentials &amp; Account Passwords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220"/>
              <w:bottom w:type="dxa" w:w="160"/>
              <w:right w:type="dxa" w:w="220"/>
            </w:tcMar>
          </w:tcPr>
          <w:p>
            <w:pPr>
              <w:spacing w:after="40" w:before="0"/>
            </w:pPr>
            <w:r>
              <w:rPr>
                <w:rFonts w:ascii="Arial" w:cs="Arial" w:eastAsia="Arial" w:hAnsi="Arial"/>
                <w:b/>
                <w:bCs/>
                <w:color w:val="FFFFFF"/>
                <w:sz w:val="20"/>
                <w:szCs w:val="20"/>
              </w:rPr>
              <w:t xml:space="preserve">Consent Text — Banking</w:t>
            </w:r>
          </w:p>
          <w:p>
            <w:pPr>
              <w:spacing w:after="0" w:before="0"/>
            </w:pPr>
            <w:r>
              <w:rPr>
                <w:rFonts w:ascii="Arial" w:cs="Arial" w:eastAsia="Arial" w:hAnsi="Arial"/>
                <w:color w:val="FFFFFF"/>
                <w:sz w:val="20"/>
                <w:szCs w:val="20"/>
              </w:rPr>
              <w:t xml:space="preserve">Important: Sharing login credentials for banking or financial accounts may violate the Terms of Service of those institutions, even when done as part of estate planning. I understand that Solace Life bears no responsibility for any institutional consequences arising from sharing these credentials. I acknowledge that my trusted member should contact each financial institution directly using a certified death certificate rather than attempting to use shared login credentials, and that doing so is the legally correct and safer approach.</w:t>
            </w:r>
          </w:p>
        </w:tc>
      </w:tr>
    </w:tbl>
    <w:p>
      <w:pPr>
        <w:spacing w:after="60" w:before="60"/>
      </w:pPr>
      <w:r>
        <w:t xml:space="preserve"/>
      </w:r>
    </w:p>
    <w:p>
      <w:pPr>
        <w:pStyle w:val="Heading2"/>
        <w:spacing w:after="80" w:before="240"/>
      </w:pPr>
      <w:r>
        <w:rPr>
          <w:rFonts w:ascii="Arial" w:cs="Arial" w:eastAsia="Arial" w:hAnsi="Arial"/>
          <w:b/>
          <w:bCs/>
          <w:color w:val="7A2850"/>
          <w:sz w:val="26"/>
          <w:szCs w:val="26"/>
        </w:rPr>
        <w:t xml:space="preserve">5.3  Cryptocurrency Private Keys &amp; Seed Phrases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220"/>
              <w:bottom w:type="dxa" w:w="160"/>
              <w:right w:type="dxa" w:w="220"/>
            </w:tcMar>
          </w:tcPr>
          <w:p>
            <w:pPr>
              <w:spacing w:after="40" w:before="0"/>
            </w:pPr>
            <w:r>
              <w:rPr>
                <w:rFonts w:ascii="Arial" w:cs="Arial" w:eastAsia="Arial" w:hAnsi="Arial"/>
                <w:b/>
                <w:bCs/>
                <w:color w:val="FFFFFF"/>
                <w:sz w:val="20"/>
                <w:szCs w:val="20"/>
              </w:rPr>
              <w:t xml:space="preserve">Consent Text — Crypto</w:t>
            </w:r>
          </w:p>
          <w:p>
            <w:pPr>
              <w:spacing w:after="0" w:before="0"/>
            </w:pPr>
            <w:r>
              <w:rPr>
                <w:rFonts w:ascii="Arial" w:cs="Arial" w:eastAsia="Arial" w:hAnsi="Arial"/>
                <w:color w:val="FFFFFF"/>
                <w:sz w:val="20"/>
                <w:szCs w:val="20"/>
              </w:rPr>
              <w:t xml:space="preserve">Critical notice: My private keys and seed phrases are the sole cryptographic proof of ownership of my digital assets. Sharing these with any person gives them full, immediate, and irreversible control of those assets — equivalent to handing them physical cash. I confirm that: (1) I have designated exactly one trusted member for this category; (2) I understand that Solace Life provides no custodial protection for digital assets; (3) I have considered or waived independent advice on the tax implications of a deemed disposition at death under Canadian tax law; and (4) I accept that Solace Life bears no liability for any asset loss, transfer, or tax consequence arising from this vault category.</w:t>
            </w:r>
          </w:p>
        </w:tc>
      </w:tr>
    </w:tbl>
    <w:p>
      <w:pPr>
        <w:spacing w:after="60" w:before="60"/>
      </w:pPr>
      <w:r>
        <w:t xml:space="preserve"/>
      </w:r>
    </w:p>
    <w:p>
      <w:pPr>
        <w:pBdr>
          <w:bottom w:val="single" w:color="DDDDDD" w:sz="4" w:space="1"/>
        </w:pBdr>
        <w:spacing w:after="120" w:before="120"/>
      </w:pPr>
      <w:r>
        <w:t xml:space="preserve"/>
      </w:r>
    </w:p>
    <w:p>
      <w:pPr>
        <w:spacing w:after="0" w:before="120"/>
        <w:jc w:val="center"/>
      </w:pPr>
      <w:r>
        <w:rPr>
          <w:rFonts w:ascii="Arial" w:cs="Arial" w:eastAsia="Arial" w:hAnsi="Arial"/>
          <w:i/>
          <w:iCs/>
          <w:color w:val="444444"/>
          <w:sz w:val="18"/>
          <w:szCs w:val="18"/>
        </w:rPr>
        <w:t xml:space="preserve">Prepared by the Solace Life A Team  —  May 2026  —  CONFIDENTIAL</w:t>
      </w:r>
    </w:p>
    <w:p>
      <w:pPr>
        <w:spacing w:after="0" w:before="40"/>
        <w:jc w:val="center"/>
      </w:pPr>
      <w:r>
        <w:rPr>
          <w:rFonts w:ascii="Arial" w:cs="Arial" w:eastAsia="Arial" w:hAnsi="Arial"/>
          <w:color w:val="444444"/>
          <w:sz w:val="18"/>
          <w:szCs w:val="18"/>
        </w:rPr>
        <w:t xml:space="preserve">This document is for internal strategy purposes only and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99999"/>
        <w:sz w:val="16"/>
        <w:szCs w:val="16"/>
      </w:rPr>
      <w:t xml:space="preserve">Solace Life  —  Internal Strategy Document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2850" w:sz="4" w:space="1"/>
      </w:pBdr>
      <w:jc w:val="right"/>
    </w:pPr>
    <w:r>
      <w:rPr>
        <w:rFonts w:ascii="Arial" w:cs="Arial" w:eastAsia="Arial" w:hAnsi="Arial"/>
        <w:i/>
        <w:iCs/>
        <w:color w:val="7A2850"/>
        <w:sz w:val="18"/>
        <w:szCs w:val="18"/>
      </w:rPr>
      <w:t xml:space="preserve">CONFIDENTIAL  —  Solace Life A Team Advisory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24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7A285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2026-05-20T05:02:36.464Z</dcterms:created>
  <dcterms:modified xsi:type="dcterms:W3CDTF">2026-05-20T05:02:36.464Z</dcterms:modified>
</cp:coreProperties>
</file>

<file path=docProps/custom.xml><?xml version="1.0" encoding="utf-8"?>
<Properties xmlns="http://schemas.openxmlformats.org/officeDocument/2006/custom-properties" xmlns:vt="http://schemas.openxmlformats.org/officeDocument/2006/docPropsVTypes"/>
</file>