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80"/>
              <w:left w:type="dxa" w:w="480"/>
              <w:bottom w:type="dxa" w:w="480"/>
              <w:right w:type="dxa" w:w="480"/>
            </w:tcMar>
          </w:tcPr>
          <w:p>
            <w:pPr>
              <w:spacing w:after="120" w:before="0"/>
              <w:jc w:val="center"/>
            </w:pPr>
            <w:r>
              <w:rPr>
                <w:rFonts w:ascii="Arial" w:cs="Arial" w:eastAsia="Arial" w:hAnsi="Arial"/>
                <w:b/>
                <w:bCs/>
                <w:color w:val="FFFFFF"/>
                <w:sz w:val="64"/>
                <w:szCs w:val="64"/>
              </w:rPr>
              <w:t xml:space="preserve">SOLACE LIFE</w:t>
            </w:r>
          </w:p>
          <w:p>
            <w:pPr>
              <w:spacing w:after="120" w:before="0"/>
              <w:jc w:val="center"/>
            </w:pPr>
            <w:r>
              <w:rPr>
                <w:rFonts w:ascii="Arial" w:cs="Arial" w:eastAsia="Arial" w:hAnsi="Arial"/>
                <w:color w:val="B8C9E8"/>
                <w:sz w:val="40"/>
                <w:szCs w:val="40"/>
              </w:rPr>
              <w:t xml:space="preserve">A-Team Strategic Report</w:t>
            </w:r>
          </w:p>
          <w:p>
            <w:pPr>
              <w:spacing w:after="0" w:before="80"/>
              <w:jc w:val="center"/>
            </w:pPr>
            <w:r>
              <w:rPr>
                <w:rFonts w:ascii="Arial" w:cs="Arial" w:eastAsia="Arial" w:hAnsi="Arial"/>
                <w:i/>
                <w:iCs/>
                <w:color w:val="D0DFF5"/>
                <w:sz w:val="24"/>
                <w:szCs w:val="24"/>
              </w:rPr>
              <w:t xml:space="preserve">Three Open Decisions — Analysis &amp; Recommendations</w:t>
            </w:r>
          </w:p>
          <w:p>
            <w:pPr>
              <w:spacing w:after="0" w:before="120"/>
              <w:jc w:val="center"/>
            </w:pPr>
            <w:r>
              <w:rPr>
                <w:rFonts w:ascii="Arial" w:cs="Arial" w:eastAsia="Arial" w:hAnsi="Arial"/>
                <w:color w:val="8A9FCA"/>
                <w:sz w:val="20"/>
                <w:szCs w:val="20"/>
              </w:rPr>
              <w:t xml:space="preserve">May 2026  |  CONFIDENTIAL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8EFF9" w:val="clear"/>
            <w:tcMar>
              <w:top w:type="dxa" w:w="120"/>
              <w:left w:type="dxa" w:w="180"/>
              <w:bottom w:type="dxa" w:w="120"/>
              <w:right w:type="dxa" w:w="180"/>
            </w:tcMar>
          </w:tcPr>
          <w:p>
            <w:pPr>
              <w:spacing w:after="60" w:before="0"/>
            </w:pPr>
            <w:r>
              <w:rPr>
                <w:rFonts w:ascii="Arial" w:cs="Arial" w:eastAsia="Arial" w:hAnsi="Arial"/>
                <w:b/>
                <w:bCs/>
                <w:color w:val="1B3A6B"/>
                <w:sz w:val="20"/>
                <w:szCs w:val="20"/>
              </w:rPr>
              <w:t xml:space="preserve">📋  Purpose of this Report</w:t>
            </w:r>
          </w:p>
          <w:p>
            <w:pPr>
              <w:spacing w:after="0" w:before="0"/>
            </w:pPr>
            <w:r>
              <w:rPr>
                <w:rFonts w:ascii="Arial" w:cs="Arial" w:eastAsia="Arial" w:hAnsi="Arial"/>
                <w:color w:val="1B3A6B"/>
                <w:sz w:val="20"/>
                <w:szCs w:val="20"/>
              </w:rPr>
              <w:t xml:space="preserve">This report covers three strategic decisions that cannot wait for live user data. Our founder cohort reflects our own testing behaviour — not real user patterns. The A-Team must decide on (1) a lifetime plan storage strategy, (2) vault transfer on death, and (3) the credit system design, before we open to paying customers. Each section presents the problem, the options with financial modelling, and a clear recommendation.</w:t>
            </w:r>
          </w:p>
        </w:tc>
      </w:tr>
    </w:tbl>
    <w:p>
      <w:pPr>
        <w:spacing w:after="200" w:before="0"/>
      </w:pPr>
    </w:p>
    <w:p>
      <w:r>
        <w:br w:type="page"/>
      </w:r>
    </w:p>
    <w:p>
      <w:pPr>
        <w:pStyle w:val="Heading1"/>
        <w:pBdr>
          <w:bottom w:val="single" w:color="1B3A6B" w:sz="6" w:space="6"/>
        </w:pBdr>
        <w:spacing w:after="200" w:before="360"/>
      </w:pPr>
      <w:r>
        <w:rPr>
          <w:rFonts w:ascii="Arial" w:cs="Arial" w:eastAsia="Arial" w:hAnsi="Arial"/>
          <w:b/>
          <w:bCs/>
          <w:color w:val="1B3A6B"/>
          <w:sz w:val="32"/>
          <w:szCs w:val="32"/>
        </w:rPr>
        <w:t xml:space="preserve">1.  Why Founder Data Cannot Guide These Decisions</w:t>
      </w:r>
    </w:p>
    <w:p>
      <w:pPr>
        <w:spacing w:after="120" w:before="60"/>
      </w:pPr>
      <w:r>
        <w:rPr>
          <w:rFonts w:ascii="Arial" w:cs="Arial" w:eastAsia="Arial" w:hAnsi="Arial"/>
          <w:color w:val="344054"/>
          <w:sz w:val="22"/>
          <w:szCs w:val="22"/>
        </w:rPr>
        <w:t xml:space="preserve">The founder analytics dashboard we built pulls data from our ~100 beta accounts. While useful for catching bugs and validating flows, this data is structurally unreliable for making product and pricing decisions. Here is why.</w:t>
      </w:r>
    </w:p>
    <w:p>
      <w:pPr>
        <w:spacing w:after="80" w:before="0"/>
      </w:pPr>
    </w:p>
    <w:p>
      <w:pPr>
        <w:pStyle w:val="Heading2"/>
        <w:spacing w:after="120" w:before="280"/>
      </w:pPr>
      <w:r>
        <w:rPr>
          <w:rFonts w:ascii="Arial" w:cs="Arial" w:eastAsia="Arial" w:hAnsi="Arial"/>
          <w:b/>
          <w:bCs/>
          <w:color w:val="2E4F7A"/>
          <w:sz w:val="26"/>
          <w:szCs w:val="26"/>
        </w:rPr>
        <w:t xml:space="preserve">1.1  The Founder Data Problem</w:t>
      </w:r>
    </w:p>
    <w:p>
      <w:pPr>
        <w:pStyle w:val="ListParagraph"/>
        <w:numPr>
          <w:ilvl w:val="0"/>
          <w:numId w:val="2"/>
        </w:numPr>
        <w:spacing w:after="40" w:before="40"/>
      </w:pPr>
      <w:r>
        <w:rPr>
          <w:rFonts w:ascii="Arial" w:cs="Arial" w:eastAsia="Arial" w:hAnsi="Arial"/>
          <w:color w:val="344054"/>
          <w:sz w:val="22"/>
          <w:szCs w:val="22"/>
        </w:rPr>
        <w:t xml:space="preserve">Founders are us. We seeded many of these accounts ourselves during development and QA. We know the app's edge cases and deliberately stress-test features that real users would never touch.</w:t>
      </w:r>
    </w:p>
    <w:p>
      <w:pPr>
        <w:pStyle w:val="ListParagraph"/>
        <w:numPr>
          <w:ilvl w:val="0"/>
          <w:numId w:val="2"/>
        </w:numPr>
        <w:spacing w:after="40" w:before="40"/>
      </w:pPr>
      <w:r>
        <w:rPr>
          <w:rFonts w:ascii="Arial" w:cs="Arial" w:eastAsia="Arial" w:hAnsi="Arial"/>
          <w:color w:val="344054"/>
          <w:sz w:val="22"/>
          <w:szCs w:val="22"/>
        </w:rPr>
        <w:t xml:space="preserve">Testing behaviour ≠ real behaviour. A founder uploading 50 test photos to check the Vault flow is not the same as a grieving family member uploading one meaningful document.</w:t>
      </w:r>
    </w:p>
    <w:p>
      <w:pPr>
        <w:pStyle w:val="ListParagraph"/>
        <w:numPr>
          <w:ilvl w:val="0"/>
          <w:numId w:val="2"/>
        </w:numPr>
        <w:spacing w:after="40" w:before="40"/>
      </w:pPr>
      <w:r>
        <w:rPr>
          <w:rFonts w:ascii="Arial" w:cs="Arial" w:eastAsia="Arial" w:hAnsi="Arial"/>
          <w:color w:val="344054"/>
          <w:sz w:val="22"/>
          <w:szCs w:val="22"/>
        </w:rPr>
        <w:t xml:space="preserve">Skewed moment types. Our test data heavily over-represents text and photo moments (easy to create in bulk) and under-represents voice messages and video (the emotionally meaningful content real users will create most).</w:t>
      </w:r>
    </w:p>
    <w:p>
      <w:pPr>
        <w:pStyle w:val="ListParagraph"/>
        <w:numPr>
          <w:ilvl w:val="0"/>
          <w:numId w:val="2"/>
        </w:numPr>
        <w:spacing w:after="40" w:before="40"/>
      </w:pPr>
      <w:r>
        <w:rPr>
          <w:rFonts w:ascii="Arial" w:cs="Arial" w:eastAsia="Arial" w:hAnsi="Arial"/>
          <w:color w:val="344054"/>
          <w:sz w:val="22"/>
          <w:szCs w:val="22"/>
        </w:rPr>
        <w:t xml:space="preserve">No real stakes. Founders do not have the emotional activation that drives a parent at 2am to finally record that message for their child. Real usage is driven by mortality awareness — something we cannot replicate in a test environment.</w:t>
      </w:r>
    </w:p>
    <w:p>
      <w:pPr>
        <w:pStyle w:val="ListParagraph"/>
        <w:numPr>
          <w:ilvl w:val="0"/>
          <w:numId w:val="2"/>
        </w:numPr>
        <w:spacing w:after="40" w:before="40"/>
      </w:pPr>
      <w:r>
        <w:rPr>
          <w:rFonts w:ascii="Arial" w:cs="Arial" w:eastAsia="Arial" w:hAnsi="Arial"/>
          <w:color w:val="344054"/>
          <w:sz w:val="22"/>
          <w:szCs w:val="22"/>
        </w:rPr>
        <w:t xml:space="preserve">Missing life events. The entire "scheduled delivery" arc — recording something today, scheduling it for a birthday 10 years out — requires real users with real relationships and real timelines.</w:t>
      </w:r>
    </w:p>
    <w:p>
      <w:pPr>
        <w:spacing w:after="80" w:before="0"/>
      </w:pPr>
    </w:p>
    <w:p>
      <w:pPr>
        <w:pStyle w:val="Heading2"/>
        <w:spacing w:after="120" w:before="280"/>
      </w:pPr>
      <w:r>
        <w:rPr>
          <w:rFonts w:ascii="Arial" w:cs="Arial" w:eastAsia="Arial" w:hAnsi="Arial"/>
          <w:b/>
          <w:bCs/>
          <w:color w:val="2E4F7A"/>
          <w:sz w:val="26"/>
          <w:szCs w:val="26"/>
        </w:rPr>
        <w:t xml:space="preserve">1.2  What We Need Instead</w:t>
      </w:r>
    </w:p>
    <w:p>
      <w:pPr>
        <w:spacing w:after="120" w:before="60"/>
      </w:pPr>
      <w:r>
        <w:rPr>
          <w:rFonts w:ascii="Arial" w:cs="Arial" w:eastAsia="Arial" w:hAnsi="Arial"/>
          <w:color w:val="344054"/>
          <w:sz w:val="22"/>
          <w:szCs w:val="22"/>
        </w:rPr>
        <w:t xml:space="preserve">The decisions in this report must be made on first-principles analysis and comparable market data now, then validated against real user cohorts at 30/60/90 days post-launch. The signals to watch at launch: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00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What it tells us</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Moments per active user / month</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Velocity of content creation — calibrates credit cap</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 users with 3+ family members</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Validates our 3–5 member assumption</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Avg scheduled delivery horizon</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How far into the future people are actually planning</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 annual vs lifetime plan at checkout</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Demand signal for lifetime offer pricing</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Vault upload size distribution</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P50/P90/P99 — validates storage cap design</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Time between account creation &amp; first moment</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Activation speed — if it's slow, onboarding needs work</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Churn before first scheduled delivery</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Leading indicator of long-term retention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A-Team Note</w:t>
            </w:r>
          </w:p>
          <w:p>
            <w:pPr>
              <w:spacing w:after="0" w:before="0"/>
            </w:pPr>
            <w:r>
              <w:rPr>
                <w:rFonts w:ascii="Arial" w:cs="Arial" w:eastAsia="Arial" w:hAnsi="Arial"/>
                <w:color w:val="92400E"/>
                <w:sz w:val="20"/>
                <w:szCs w:val="20"/>
              </w:rPr>
              <w:t xml:space="preserve">Do NOT adjust the credit cap, storage cap, or pricing based on founder data. Set sensible defaults now using the modelling in this report, then revisit at the 30-day post-launch review when we have 200+ organic user-weeks of real signal.</w:t>
            </w:r>
          </w:p>
        </w:tc>
      </w:tr>
    </w:tbl>
    <w:p>
      <w:r>
        <w:br w:type="page"/>
      </w:r>
    </w:p>
    <w:p>
      <w:pPr>
        <w:pStyle w:val="Heading1"/>
        <w:pBdr>
          <w:bottom w:val="single" w:color="1B3A6B" w:sz="6" w:space="6"/>
        </w:pBdr>
        <w:spacing w:after="200" w:before="360"/>
      </w:pPr>
      <w:r>
        <w:rPr>
          <w:rFonts w:ascii="Arial" w:cs="Arial" w:eastAsia="Arial" w:hAnsi="Arial"/>
          <w:b/>
          <w:bCs/>
          <w:color w:val="1B3A6B"/>
          <w:sz w:val="32"/>
          <w:szCs w:val="32"/>
        </w:rPr>
        <w:t xml:space="preserve">2.  Lifetime Plan Storage Strategy</w:t>
      </w:r>
    </w:p>
    <w:p>
      <w:pPr>
        <w:spacing w:after="120" w:before="60"/>
      </w:pPr>
      <w:r>
        <w:rPr>
          <w:rFonts w:ascii="Arial" w:cs="Arial" w:eastAsia="Arial" w:hAnsi="Arial"/>
          <w:color w:val="344054"/>
          <w:sz w:val="22"/>
          <w:szCs w:val="22"/>
        </w:rPr>
        <w:t xml:space="preserve">This is the most financially consequential open question. Our $149 lifetime plan currently implies unlimited storage in perpetuity. That is an existential risk if even a fraction of users treat Solace as a personal media archive.</w:t>
      </w:r>
    </w:p>
    <w:p>
      <w:pPr>
        <w:spacing w:after="80" w:before="0"/>
      </w:pPr>
    </w:p>
    <w:p>
      <w:pPr>
        <w:pStyle w:val="Heading2"/>
        <w:spacing w:after="120" w:before="280"/>
      </w:pPr>
      <w:r>
        <w:rPr>
          <w:rFonts w:ascii="Arial" w:cs="Arial" w:eastAsia="Arial" w:hAnsi="Arial"/>
          <w:b/>
          <w:bCs/>
          <w:color w:val="2E4F7A"/>
          <w:sz w:val="26"/>
          <w:szCs w:val="26"/>
        </w:rPr>
        <w:t xml:space="preserve">2.1  The Core Problem</w:t>
      </w:r>
    </w:p>
    <w:p>
      <w:pPr>
        <w:spacing w:after="120" w:before="60"/>
      </w:pPr>
      <w:r>
        <w:rPr>
          <w:rFonts w:ascii="Arial" w:cs="Arial" w:eastAsia="Arial" w:hAnsi="Arial"/>
          <w:b/>
          <w:bCs/>
          <w:color w:val="344054"/>
          <w:sz w:val="22"/>
          <w:szCs w:val="22"/>
        </w:rPr>
        <w:t xml:space="preserve">Break-even maths: </w:t>
      </w:r>
      <w:r>
        <w:rPr>
          <w:rFonts w:ascii="Arial" w:cs="Arial" w:eastAsia="Arial" w:hAnsi="Arial"/>
          <w:color w:val="344054"/>
          <w:sz w:val="22"/>
          <w:szCs w:val="22"/>
        </w:rPr>
        <w:t xml:space="preserve">At $0.015/GB/month on Cloudflare R2, our net revenue after App Store fees on a lifetime plan is approximately </w:t>
      </w:r>
      <w:r>
        <w:rPr>
          <w:rFonts w:ascii="Arial" w:cs="Arial" w:eastAsia="Arial" w:hAnsi="Arial"/>
          <w:b/>
          <w:bCs/>
          <w:color w:val="344054"/>
          <w:sz w:val="22"/>
          <w:szCs w:val="22"/>
        </w:rPr>
        <w:t xml:space="preserve">$104.30</w:t>
      </w:r>
      <w:r>
        <w:rPr>
          <w:rFonts w:ascii="Arial" w:cs="Arial" w:eastAsia="Arial" w:hAnsi="Arial"/>
          <w:color w:val="344054"/>
          <w:sz w:val="22"/>
          <w:szCs w:val="22"/>
        </w:rPr>
        <w:t xml:space="preserve"> (30% platform cut on one-time IAP). That covers storage of one user's data for: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Storage footprint</w:t>
            </w:r>
          </w:p>
        </w:tc>
        <w:tc>
          <w:tcPr>
            <w:tcW w:type="dxa" w:w="576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Break-even (months)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10 GB</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69 months  (5.8 years)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25 GB</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28 months  (2.3 years)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50 GB</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14 months  (1.2 years)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100 GB</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7 months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200 GB</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3.5 months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500 GB</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1.4 months</w:t>
            </w:r>
          </w:p>
        </w:tc>
      </w:tr>
    </w:tbl>
    <w:p>
      <w:pPr>
        <w:spacing w:after="120" w:before="0"/>
      </w:pPr>
    </w:p>
    <w:p>
      <w:pPr>
        <w:spacing w:after="120" w:before="60"/>
      </w:pPr>
      <w:r>
        <w:rPr>
          <w:rFonts w:ascii="Arial" w:cs="Arial" w:eastAsia="Arial" w:hAnsi="Arial"/>
          <w:color w:val="344054"/>
          <w:sz w:val="22"/>
          <w:szCs w:val="22"/>
        </w:rPr>
        <w:t xml:space="preserve">A user who bulk-imports their Facebook photo history (often 10–30 GB), then uploads device camera roll content (modern iPhones accumulate 100–500 GB over a lifetime), and continues adding vault documents and moments for 20+ years, can easily reach 100–200 GB. At that scale, we are paying to store their data within months of signup — and we keep paying forever.</w:t>
      </w:r>
    </w:p>
    <w:p>
      <w:pPr>
        <w:spacing w:after="80" w:before="0"/>
      </w:pPr>
    </w:p>
    <w:p>
      <w:pPr>
        <w:pStyle w:val="Heading2"/>
        <w:spacing w:after="120" w:before="280"/>
      </w:pPr>
      <w:r>
        <w:rPr>
          <w:rFonts w:ascii="Arial" w:cs="Arial" w:eastAsia="Arial" w:hAnsi="Arial"/>
          <w:b/>
          <w:bCs/>
          <w:color w:val="2E4F7A"/>
          <w:sz w:val="26"/>
          <w:szCs w:val="26"/>
        </w:rPr>
        <w:t xml:space="preserve">2.2  Options Analysis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1B3A6B"/>
                <w:sz w:val="20"/>
                <w:szCs w:val="20"/>
              </w:rPr>
              <w:t xml:space="preserve">A — Hard GB Cap</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Lifetime plan capped at a fixed GB limit (e.g. 25 GB). Users cannot upload beyond the cap. Clear, simple, enforceable.</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1A7A4A"/>
                <w:sz w:val="20"/>
                <w:szCs w:val="20"/>
              </w:rPr>
              <w:t xml:space="preserve">Recommended ✓</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4F7A"/>
                <w:sz w:val="20"/>
                <w:szCs w:val="20"/>
              </w:rPr>
              <w:t xml:space="preserve">B — Soft Warn + Charge</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No hard cap but warn at 80% usage; charge overage at $0.05/GB/month. Preserves UX but creates billing complexity and customer service friction.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Risky — avoid</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2E4F7A"/>
                <w:sz w:val="20"/>
                <w:szCs w:val="20"/>
              </w:rPr>
              <w:t xml:space="preserve">C — Content-Type Limits</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Unlimited documents/text; cap only media uploads at 25 GB. Protects against bulk photo dumps, which are the primary risk vector.</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Good fallback if A rejected</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4F7A"/>
                <w:sz w:val="20"/>
                <w:szCs w:val="20"/>
              </w:rPr>
              <w:t xml:space="preserve">D — Compress on Ingest</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Transcode all video/photo uploads to reduce storage footprint at the cost of quality loss. Reduces cost but angers users who notice quality degradation.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Do not use</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2E4F7A"/>
                <w:sz w:val="20"/>
                <w:szCs w:val="20"/>
              </w:rPr>
              <w:t xml:space="preserve">E — Time-Limited Archive</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Lifetime access to content for user's lifetime; 12-month paid family access window post-death, then archive to cold storage or deletion.</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Layer on top of A</w:t>
            </w:r>
          </w:p>
        </w:tc>
      </w:tr>
    </w:tbl>
    <w:p>
      <w:pPr>
        <w:spacing w:after="120" w:before="0"/>
      </w:pPr>
    </w:p>
    <w:p>
      <w:pPr>
        <w:pStyle w:val="Heading2"/>
        <w:spacing w:after="120" w:before="280"/>
      </w:pPr>
      <w:r>
        <w:rPr>
          <w:rFonts w:ascii="Arial" w:cs="Arial" w:eastAsia="Arial" w:hAnsi="Arial"/>
          <w:b/>
          <w:bCs/>
          <w:color w:val="2E4F7A"/>
          <w:sz w:val="26"/>
          <w:szCs w:val="26"/>
        </w:rPr>
        <w:t xml:space="preserve">2.3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8F5E9" w:val="clear"/>
            <w:tcMar>
              <w:top w:type="dxa" w:w="120"/>
              <w:left w:type="dxa" w:w="180"/>
              <w:bottom w:type="dxa" w:w="120"/>
              <w:right w:type="dxa" w:w="180"/>
            </w:tcMar>
          </w:tcPr>
          <w:p>
            <w:pPr>
              <w:spacing w:after="60" w:before="0"/>
            </w:pPr>
            <w:r>
              <w:rPr>
                <w:rFonts w:ascii="Arial" w:cs="Arial" w:eastAsia="Arial" w:hAnsi="Arial"/>
                <w:b/>
                <w:bCs/>
                <w:color w:val="145A32"/>
                <w:sz w:val="20"/>
                <w:szCs w:val="20"/>
              </w:rPr>
              <w:t xml:space="preserve">✅  A-Team Recommendation: Hard Storage Cap on Lifetime Plan</w:t>
            </w:r>
          </w:p>
          <w:p>
            <w:pPr>
              <w:spacing w:after="0" w:before="0"/>
            </w:pPr>
            <w:r>
              <w:rPr>
                <w:rFonts w:ascii="Arial" w:cs="Arial" w:eastAsia="Arial" w:hAnsi="Arial"/>
                <w:color w:val="145A32"/>
                <w:sz w:val="20"/>
                <w:szCs w:val="20"/>
              </w:rPr>
              <w:t xml:space="preserve">Set the lifetime plan to a 50 GB hard cap. This gives genuine generosity (50 GB covers thousands of documents, tens of thousands of photos at compressed size, and hundreds of voice messages) while protecting us from power users treating Solace as a media backup service. Users who need more storage can purchase an annual expansion pack (e.g. 50 GB additional at $29/yr). Cold-storage archival after confirmed death reduces ongoing cost to near zero.</w:t>
            </w:r>
          </w:p>
        </w:tc>
      </w:tr>
    </w:tbl>
    <w:p>
      <w:pPr>
        <w:spacing w:after="80" w:before="0"/>
      </w:pPr>
    </w:p>
    <w:p>
      <w:pPr>
        <w:pStyle w:val="ListParagraph"/>
        <w:numPr>
          <w:ilvl w:val="0"/>
          <w:numId w:val="2"/>
        </w:numPr>
        <w:spacing w:after="40" w:before="40"/>
      </w:pPr>
      <w:r>
        <w:rPr>
          <w:rFonts w:ascii="Arial" w:cs="Arial" w:eastAsia="Arial" w:hAnsi="Arial"/>
          <w:color w:val="344054"/>
          <w:sz w:val="22"/>
          <w:szCs w:val="22"/>
        </w:rPr>
        <w:t xml:space="preserve">50 GB cap breaks even at ~69 months (5.8 years) — well within a sustainable product lifetime.</w:t>
      </w:r>
    </w:p>
    <w:p>
      <w:pPr>
        <w:pStyle w:val="ListParagraph"/>
        <w:numPr>
          <w:ilvl w:val="0"/>
          <w:numId w:val="2"/>
        </w:numPr>
        <w:spacing w:after="40" w:before="40"/>
      </w:pPr>
      <w:r>
        <w:rPr>
          <w:rFonts w:ascii="Arial" w:cs="Arial" w:eastAsia="Arial" w:hAnsi="Arial"/>
          <w:color w:val="344054"/>
          <w:sz w:val="22"/>
          <w:szCs w:val="22"/>
        </w:rPr>
        <w:t xml:space="preserve">Annual plan: 10 GB cap. Renews each year. Storage cleared 90 days after lapse.</w:t>
      </w:r>
    </w:p>
    <w:p>
      <w:pPr>
        <w:pStyle w:val="ListParagraph"/>
        <w:numPr>
          <w:ilvl w:val="0"/>
          <w:numId w:val="2"/>
        </w:numPr>
        <w:spacing w:after="40" w:before="40"/>
      </w:pPr>
      <w:r>
        <w:rPr>
          <w:rFonts w:ascii="Arial" w:cs="Arial" w:eastAsia="Arial" w:hAnsi="Arial"/>
          <w:color w:val="344054"/>
          <w:sz w:val="22"/>
          <w:szCs w:val="22"/>
        </w:rPr>
        <w:t xml:space="preserve">Expansion add-on: +50 GB for $29/yr (available to both lifetime and annual users).</w:t>
      </w:r>
    </w:p>
    <w:p>
      <w:pPr>
        <w:pStyle w:val="ListParagraph"/>
        <w:numPr>
          <w:ilvl w:val="0"/>
          <w:numId w:val="2"/>
        </w:numPr>
        <w:spacing w:after="40" w:before="40"/>
      </w:pPr>
      <w:r>
        <w:rPr>
          <w:rFonts w:ascii="Arial" w:cs="Arial" w:eastAsia="Arial" w:hAnsi="Arial"/>
          <w:color w:val="344054"/>
          <w:sz w:val="22"/>
          <w:szCs w:val="22"/>
        </w:rPr>
        <w:t xml:space="preserve">Facebook import: count toward storage cap. Do not exempt it — the bulk dump risk is highest here.</w:t>
      </w:r>
    </w:p>
    <w:p>
      <w:pPr>
        <w:pStyle w:val="ListParagraph"/>
        <w:numPr>
          <w:ilvl w:val="0"/>
          <w:numId w:val="2"/>
        </w:numPr>
        <w:spacing w:after="40" w:before="40"/>
      </w:pPr>
      <w:r>
        <w:rPr>
          <w:rFonts w:ascii="Arial" w:cs="Arial" w:eastAsia="Arial" w:hAnsi="Arial"/>
          <w:color w:val="344054"/>
          <w:sz w:val="22"/>
          <w:szCs w:val="22"/>
        </w:rPr>
        <w:t xml:space="preserve">Post-death: family recipient gets 12-month read-only access. After 12 months, data moves to cold archive (Cloudflare R2 Infrequent Access at ~$0.01/GB/month). No deletion without explicit estate instruction.</w:t>
      </w:r>
    </w:p>
    <w:p>
      <w:pPr>
        <w:spacing w:after="80" w:before="0"/>
      </w:pPr>
    </w:p>
    <w:p>
      <w:pPr>
        <w:pStyle w:val="Heading2"/>
        <w:spacing w:after="120" w:before="280"/>
      </w:pPr>
      <w:r>
        <w:rPr>
          <w:rFonts w:ascii="Arial" w:cs="Arial" w:eastAsia="Arial" w:hAnsi="Arial"/>
          <w:b/>
          <w:bCs/>
          <w:color w:val="2E4F7A"/>
          <w:sz w:val="26"/>
          <w:szCs w:val="26"/>
        </w:rPr>
        <w:t xml:space="preserve">2.4  Storage Cap Communication Strategy</w:t>
      </w:r>
    </w:p>
    <w:p>
      <w:pPr>
        <w:spacing w:after="120" w:before="60"/>
      </w:pPr>
      <w:r>
        <w:rPr>
          <w:rFonts w:ascii="Arial" w:cs="Arial" w:eastAsia="Arial" w:hAnsi="Arial"/>
          <w:color w:val="344054"/>
          <w:sz w:val="22"/>
          <w:szCs w:val="22"/>
        </w:rPr>
        <w:t xml:space="preserve">How we frame the cap matters as much as the cap itself. Do not lead with "limited to 50 GB." Lead with what 50 GB means in human terms:</w:t>
      </w:r>
    </w:p>
    <w:p>
      <w:pPr>
        <w:pStyle w:val="ListParagraph"/>
        <w:numPr>
          <w:ilvl w:val="0"/>
          <w:numId w:val="2"/>
        </w:numPr>
        <w:spacing w:after="40" w:before="40"/>
      </w:pPr>
      <w:r>
        <w:rPr>
          <w:rFonts w:ascii="Arial" w:cs="Arial" w:eastAsia="Arial" w:hAnsi="Arial"/>
          <w:color w:val="344054"/>
          <w:sz w:val="22"/>
          <w:szCs w:val="22"/>
        </w:rPr>
        <w:t xml:space="preserve">50,000+ photos at standard compression</w:t>
      </w:r>
    </w:p>
    <w:p>
      <w:pPr>
        <w:pStyle w:val="ListParagraph"/>
        <w:numPr>
          <w:ilvl w:val="0"/>
          <w:numId w:val="2"/>
        </w:numPr>
        <w:spacing w:after="40" w:before="40"/>
      </w:pPr>
      <w:r>
        <w:rPr>
          <w:rFonts w:ascii="Arial" w:cs="Arial" w:eastAsia="Arial" w:hAnsi="Arial"/>
          <w:color w:val="344054"/>
          <w:sz w:val="22"/>
          <w:szCs w:val="22"/>
        </w:rPr>
        <w:t xml:space="preserve">500+ hours of voice messages</w:t>
      </w:r>
    </w:p>
    <w:p>
      <w:pPr>
        <w:pStyle w:val="ListParagraph"/>
        <w:numPr>
          <w:ilvl w:val="0"/>
          <w:numId w:val="2"/>
        </w:numPr>
        <w:spacing w:after="40" w:before="40"/>
      </w:pPr>
      <w:r>
        <w:rPr>
          <w:rFonts w:ascii="Arial" w:cs="Arial" w:eastAsia="Arial" w:hAnsi="Arial"/>
          <w:color w:val="344054"/>
          <w:sz w:val="22"/>
          <w:szCs w:val="22"/>
        </w:rPr>
        <w:t xml:space="preserve">All your important documents, passwords, and legal records</w:t>
      </w:r>
    </w:p>
    <w:p>
      <w:pPr>
        <w:pStyle w:val="ListParagraph"/>
        <w:numPr>
          <w:ilvl w:val="0"/>
          <w:numId w:val="2"/>
        </w:numPr>
        <w:spacing w:after="40" w:before="40"/>
      </w:pPr>
      <w:r>
        <w:rPr>
          <w:rFonts w:ascii="Arial" w:cs="Arial" w:eastAsia="Arial" w:hAnsi="Arial"/>
          <w:color w:val="344054"/>
          <w:sz w:val="22"/>
          <w:szCs w:val="22"/>
        </w:rPr>
        <w:t xml:space="preserve">"More than most people will ever fill in a lifetime of memories"</w:t>
      </w:r>
    </w:p>
    <w:p>
      <w:r>
        <w:br w:type="page"/>
      </w:r>
    </w:p>
    <w:p>
      <w:pPr>
        <w:pStyle w:val="Heading1"/>
        <w:pBdr>
          <w:bottom w:val="single" w:color="1B3A6B" w:sz="6" w:space="6"/>
        </w:pBdr>
        <w:spacing w:after="200" w:before="360"/>
      </w:pPr>
      <w:r>
        <w:rPr>
          <w:rFonts w:ascii="Arial" w:cs="Arial" w:eastAsia="Arial" w:hAnsi="Arial"/>
          <w:b/>
          <w:bCs/>
          <w:color w:val="1B3A6B"/>
          <w:sz w:val="32"/>
          <w:szCs w:val="32"/>
        </w:rPr>
        <w:t xml:space="preserve">3.  Vault Transfer on Death</w:t>
      </w:r>
    </w:p>
    <w:p>
      <w:pPr>
        <w:spacing w:after="120" w:before="60"/>
      </w:pPr>
      <w:r>
        <w:rPr>
          <w:rFonts w:ascii="Arial" w:cs="Arial" w:eastAsia="Arial" w:hAnsi="Arial"/>
          <w:color w:val="344054"/>
          <w:sz w:val="22"/>
          <w:szCs w:val="22"/>
        </w:rPr>
        <w:t xml:space="preserve">When a G1 (first-generation user, the person recording memories) passes away, what happens to their vault? This is a product, legal, and technical decision. Three options exist.</w:t>
      </w:r>
    </w:p>
    <w:p>
      <w:pPr>
        <w:spacing w:after="80" w:before="0"/>
      </w:pPr>
    </w:p>
    <w:p>
      <w:pPr>
        <w:pStyle w:val="Heading2"/>
        <w:spacing w:after="120" w:before="280"/>
      </w:pPr>
      <w:r>
        <w:rPr>
          <w:rFonts w:ascii="Arial" w:cs="Arial" w:eastAsia="Arial" w:hAnsi="Arial"/>
          <w:b/>
          <w:bCs/>
          <w:color w:val="2E4F7A"/>
          <w:sz w:val="26"/>
          <w:szCs w:val="26"/>
        </w:rPr>
        <w:t xml:space="preserve">3.1  The Three Options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Option</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 works</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risk</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1B3A6B"/>
                <w:sz w:val="20"/>
                <w:szCs w:val="20"/>
              </w:rPr>
              <w:t xml:space="preserve">A — Download Only</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Upon death verification, Trusted Person gets a one-time 90-day download window. They receive a .zip of all vault files and a PDF export of all moments. Then data is deleted.</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User trust: "I'm giving you my most personal data but you'll delete it after 90 days" — some users will find this cold.</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4F7A"/>
                <w:sz w:val="20"/>
                <w:szCs w:val="20"/>
              </w:rPr>
              <w:t xml:space="preserve">B — Account Migration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G1's vault converts to a Recipient Account accessible by the Trusted Person indefinitely. The recipient can view, download, but not edit. Treated as a standard recipient plan.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Ongoing storage cost in perpetuity. Creates zombie accounts on free storage. Requires legal framework for who "owns" the account post-death.</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2E4F7A"/>
                <w:sz w:val="20"/>
                <w:szCs w:val="20"/>
              </w:rPr>
              <w:t xml:space="preserve">C — Hybrid: 12-Month Live + Cold Archive</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12 months of live read-only Recipient access for the Trusted Person. After 12 months, data moves to cold archive ($0.01/GB/month). Cold archive accessible on-demand for a small retrieval fee ($2–5 per retrieval). No forced deletion.</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More complex to build. Cold archive retrieval UX needs care.</w:t>
            </w:r>
          </w:p>
        </w:tc>
      </w:tr>
    </w:tbl>
    <w:p>
      <w:pPr>
        <w:spacing w:after="120" w:before="0"/>
      </w:pPr>
    </w:p>
    <w:p>
      <w:pPr>
        <w:pStyle w:val="Heading2"/>
        <w:spacing w:after="120" w:before="280"/>
      </w:pPr>
      <w:r>
        <w:rPr>
          <w:rFonts w:ascii="Arial" w:cs="Arial" w:eastAsia="Arial" w:hAnsi="Arial"/>
          <w:b/>
          <w:bCs/>
          <w:color w:val="2E4F7A"/>
          <w:sz w:val="26"/>
          <w:szCs w:val="26"/>
        </w:rPr>
        <w:t xml:space="preserve">3.2  Financial Impact</w:t>
      </w:r>
    </w:p>
    <w:p>
      <w:pPr>
        <w:spacing w:after="120" w:before="60"/>
      </w:pPr>
      <w:r>
        <w:rPr>
          <w:rFonts w:ascii="Arial" w:cs="Arial" w:eastAsia="Arial" w:hAnsi="Arial"/>
          <w:color w:val="344054"/>
          <w:sz w:val="22"/>
          <w:szCs w:val="22"/>
        </w:rPr>
        <w:t xml:space="preserve">The cost of keeping a deceased user's data indefinitely depends on the storage cap we set. At 50 GB per user on Cloudflare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36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Annual cost per deceased account</w:t>
            </w:r>
          </w:p>
        </w:tc>
      </w:tr>
      <w:tr>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Live storage (Option B)</w:t>
            </w:r>
          </w:p>
        </w:tc>
        <w:tc>
          <w:tcPr>
            <w:tcW w:type="dxa" w:w="5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$9.00/year (50 GB × $0.015/GB/mo × 12)</w:t>
            </w:r>
          </w:p>
        </w:tc>
      </w:tr>
      <w:tr>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Cold archive (Option C after 12 months)</w:t>
            </w:r>
          </w:p>
        </w:tc>
        <w:tc>
          <w:tcPr>
            <w:tcW w:type="dxa" w:w="53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$6.00/year (50 GB × $0.010/GB/mo × 12)</w:t>
            </w:r>
          </w:p>
        </w:tc>
      </w:tr>
      <w:tr>
        <w:tc>
          <w:tcPr>
            <w:tcW w:type="dxa" w:w="40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Cold archive at 25 GB avg actual usage</w:t>
            </w:r>
          </w:p>
        </w:tc>
        <w:tc>
          <w:tcPr>
            <w:tcW w:type="dxa" w:w="53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$3.00/year</w:t>
            </w:r>
          </w:p>
        </w:tc>
      </w:tr>
    </w:tbl>
    <w:p>
      <w:pPr>
        <w:spacing w:after="120" w:before="0"/>
      </w:pPr>
    </w:p>
    <w:p>
      <w:pPr>
        <w:spacing w:after="120" w:before="60"/>
      </w:pPr>
      <w:r>
        <w:rPr>
          <w:rFonts w:ascii="Arial" w:cs="Arial" w:eastAsia="Arial" w:hAnsi="Arial"/>
          <w:color w:val="344054"/>
          <w:sz w:val="22"/>
          <w:szCs w:val="22"/>
        </w:rPr>
        <w:t xml:space="preserve">At 10,000 deceased accounts (a milestone likely 5–8 years out at scale), cold archive at 25 GB average costs ~$30,000/year — manageable. Live storage would cost $90,000/year and grow linearly with each passing. Option B is not financially viable at scale without a post-death subscription fee.</w:t>
      </w:r>
    </w:p>
    <w:p>
      <w:pPr>
        <w:spacing w:after="80" w:before="0"/>
      </w:pPr>
    </w:p>
    <w:p>
      <w:pPr>
        <w:pStyle w:val="Heading2"/>
        <w:spacing w:after="120" w:before="280"/>
      </w:pPr>
      <w:r>
        <w:rPr>
          <w:rFonts w:ascii="Arial" w:cs="Arial" w:eastAsia="Arial" w:hAnsi="Arial"/>
          <w:b/>
          <w:bCs/>
          <w:color w:val="2E4F7A"/>
          <w:sz w:val="26"/>
          <w:szCs w:val="26"/>
        </w:rPr>
        <w:t xml:space="preserve">3.3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8EFF9" w:val="clear"/>
            <w:tcMar>
              <w:top w:type="dxa" w:w="120"/>
              <w:left w:type="dxa" w:w="180"/>
              <w:bottom w:type="dxa" w:w="120"/>
              <w:right w:type="dxa" w:w="180"/>
            </w:tcMar>
          </w:tcPr>
          <w:p>
            <w:pPr>
              <w:spacing w:after="60" w:before="0"/>
            </w:pPr>
            <w:r>
              <w:rPr>
                <w:rFonts w:ascii="Arial" w:cs="Arial" w:eastAsia="Arial" w:hAnsi="Arial"/>
                <w:b/>
                <w:bCs/>
                <w:color w:val="1B3A6B"/>
                <w:sz w:val="20"/>
                <w:szCs w:val="20"/>
              </w:rPr>
              <w:t xml:space="preserve">✅  A-Team Recommendation: Option C — Hybrid 12-Month Live + Cold Archive</w:t>
            </w:r>
          </w:p>
          <w:p>
            <w:pPr>
              <w:spacing w:after="0" w:before="0"/>
            </w:pPr>
            <w:r>
              <w:rPr>
                <w:rFonts w:ascii="Arial" w:cs="Arial" w:eastAsia="Arial" w:hAnsi="Arial"/>
                <w:color w:val="1B3A6B"/>
                <w:sz w:val="20"/>
                <w:szCs w:val="20"/>
              </w:rPr>
              <w:t xml:space="preserve">This is the most human and financially sustainable option. The Trusted Person gets a meaningful 12-month period to explore the vault, download what matters, and share with family — not a 90-day scramble under grief. After 12 months, data moves to cold archive and is retrievable on demand. No forced deletion unless the estate explicitly requests it. This also creates a natural product moment: Solace becomes a permanent digital memorial, not just a temporary data locker.</w:t>
            </w:r>
          </w:p>
        </w:tc>
      </w:tr>
    </w:tbl>
    <w:p>
      <w:pPr>
        <w:spacing w:after="80" w:before="0"/>
      </w:pPr>
    </w:p>
    <w:p>
      <w:pPr>
        <w:pStyle w:val="Heading2"/>
        <w:spacing w:after="120" w:before="280"/>
      </w:pPr>
      <w:r>
        <w:rPr>
          <w:rFonts w:ascii="Arial" w:cs="Arial" w:eastAsia="Arial" w:hAnsi="Arial"/>
          <w:b/>
          <w:bCs/>
          <w:color w:val="2E4F7A"/>
          <w:sz w:val="26"/>
          <w:szCs w:val="26"/>
        </w:rPr>
        <w:t xml:space="preserve">3.4  Implementation Requirements</w:t>
      </w:r>
    </w:p>
    <w:p>
      <w:pPr>
        <w:pStyle w:val="ListParagraph"/>
        <w:numPr>
          <w:ilvl w:val="0"/>
          <w:numId w:val="2"/>
        </w:numPr>
        <w:spacing w:after="40" w:before="40"/>
      </w:pPr>
      <w:r>
        <w:rPr>
          <w:rFonts w:ascii="Arial" w:cs="Arial" w:eastAsia="Arial" w:hAnsi="Arial"/>
          <w:color w:val="344054"/>
          <w:sz w:val="22"/>
          <w:szCs w:val="22"/>
        </w:rPr>
        <w:t xml:space="preserve">Death verification flow: Trusted Person submits death certificate (photo upload). Manual review process within 48 hours. (Do not fully automate — fraud risk is real.)</w:t>
      </w:r>
    </w:p>
    <w:p>
      <w:pPr>
        <w:pStyle w:val="ListParagraph"/>
        <w:numPr>
          <w:ilvl w:val="0"/>
          <w:numId w:val="2"/>
        </w:numPr>
        <w:spacing w:after="40" w:before="40"/>
      </w:pPr>
      <w:r>
        <w:rPr>
          <w:rFonts w:ascii="Arial" w:cs="Arial" w:eastAsia="Arial" w:hAnsi="Arial"/>
          <w:color w:val="344054"/>
          <w:sz w:val="22"/>
          <w:szCs w:val="22"/>
        </w:rPr>
        <w:t xml:space="preserve">Recipient conversion: G1's account auto-converts to a read-only Recipient Account linked to the Trusted Person's profile.</w:t>
      </w:r>
    </w:p>
    <w:p>
      <w:pPr>
        <w:pStyle w:val="ListParagraph"/>
        <w:numPr>
          <w:ilvl w:val="0"/>
          <w:numId w:val="2"/>
        </w:numPr>
        <w:spacing w:after="40" w:before="40"/>
      </w:pPr>
      <w:r>
        <w:rPr>
          <w:rFonts w:ascii="Arial" w:cs="Arial" w:eastAsia="Arial" w:hAnsi="Arial"/>
          <w:color w:val="344054"/>
          <w:sz w:val="22"/>
          <w:szCs w:val="22"/>
        </w:rPr>
        <w:t xml:space="preserve">12-month countdown: Email reminders at 11 months, 11.5 months. Clear explanation of cold archive and retrieval process.</w:t>
      </w:r>
    </w:p>
    <w:p>
      <w:pPr>
        <w:pStyle w:val="ListParagraph"/>
        <w:numPr>
          <w:ilvl w:val="0"/>
          <w:numId w:val="2"/>
        </w:numPr>
        <w:spacing w:after="40" w:before="40"/>
      </w:pPr>
      <w:r>
        <w:rPr>
          <w:rFonts w:ascii="Arial" w:cs="Arial" w:eastAsia="Arial" w:hAnsi="Arial"/>
          <w:color w:val="344054"/>
          <w:sz w:val="22"/>
          <w:szCs w:val="22"/>
        </w:rPr>
        <w:t xml:space="preserve">Cold archive retrieval: Simple in-app request flow. Retrieval fee covers cost + margin. Target 24-48 hour retrieval SLA (R2 Infrequent Access is near-instant; the delay is for user UX, not technical limitation).</w:t>
      </w:r>
    </w:p>
    <w:p>
      <w:pPr>
        <w:pStyle w:val="ListParagraph"/>
        <w:numPr>
          <w:ilvl w:val="0"/>
          <w:numId w:val="2"/>
        </w:numPr>
        <w:spacing w:after="40" w:before="40"/>
      </w:pPr>
      <w:r>
        <w:rPr>
          <w:rFonts w:ascii="Arial" w:cs="Arial" w:eastAsia="Arial" w:hAnsi="Arial"/>
          <w:color w:val="344054"/>
          <w:sz w:val="22"/>
          <w:szCs w:val="22"/>
        </w:rPr>
        <w:t xml:space="preserve">Legal: Terms of Service must define the Trusted Person role, their rights, and what happens if no Trusted Person is designated. Consult legal counsel before launch.</w:t>
      </w:r>
    </w:p>
    <w:p>
      <w:pPr>
        <w:pStyle w:val="ListParagraph"/>
        <w:numPr>
          <w:ilvl w:val="0"/>
          <w:numId w:val="2"/>
        </w:numPr>
        <w:spacing w:after="40" w:before="40"/>
      </w:pPr>
      <w:r>
        <w:rPr>
          <w:rFonts w:ascii="Arial" w:cs="Arial" w:eastAsia="Arial" w:hAnsi="Arial"/>
          <w:color w:val="344054"/>
          <w:sz w:val="22"/>
          <w:szCs w:val="22"/>
        </w:rPr>
        <w:t xml:space="preserve">No device handover. Physical device handover is out of scope for v1. Solace is cloud-first.</w:t>
      </w:r>
    </w:p>
    <w:p>
      <w:r>
        <w:br w:type="page"/>
      </w:r>
    </w:p>
    <w:p>
      <w:pPr>
        <w:pStyle w:val="Heading1"/>
        <w:pBdr>
          <w:bottom w:val="single" w:color="1B3A6B" w:sz="6" w:space="6"/>
        </w:pBdr>
        <w:spacing w:after="200" w:before="360"/>
      </w:pPr>
      <w:r>
        <w:rPr>
          <w:rFonts w:ascii="Arial" w:cs="Arial" w:eastAsia="Arial" w:hAnsi="Arial"/>
          <w:b/>
          <w:bCs/>
          <w:color w:val="1B3A6B"/>
          <w:sz w:val="32"/>
          <w:szCs w:val="32"/>
        </w:rPr>
        <w:t xml:space="preserve">4.  Credit System Design</w:t>
      </w:r>
    </w:p>
    <w:p>
      <w:pPr>
        <w:spacing w:after="120" w:before="60"/>
      </w:pPr>
      <w:r>
        <w:rPr>
          <w:rFonts w:ascii="Arial" w:cs="Arial" w:eastAsia="Arial" w:hAnsi="Arial"/>
          <w:color w:val="344054"/>
          <w:sz w:val="22"/>
          <w:szCs w:val="22"/>
        </w:rPr>
        <w:t xml:space="preserve">The hybrid credit model (moments + deliveries both consume credits, storage as a hard backstop cap) was agreed in principle. This section formalises the design and outlines the implementation path.</w:t>
      </w:r>
    </w:p>
    <w:p>
      <w:pPr>
        <w:spacing w:after="80" w:before="0"/>
      </w:pPr>
    </w:p>
    <w:p>
      <w:pPr>
        <w:pStyle w:val="Heading2"/>
        <w:spacing w:after="120" w:before="280"/>
      </w:pPr>
      <w:r>
        <w:rPr>
          <w:rFonts w:ascii="Arial" w:cs="Arial" w:eastAsia="Arial" w:hAnsi="Arial"/>
          <w:b/>
          <w:bCs/>
          <w:color w:val="2E4F7A"/>
          <w:sz w:val="26"/>
          <w:szCs w:val="26"/>
        </w:rPr>
        <w:t xml:space="preserve">4.1  Credit Model Definition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6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Credit cost</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Text moment</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1 credit</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Voice message moment</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1 credit</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Photo moment (single)</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1 credit</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Video moment (any length)</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5 credits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Scheduled delivery (any type)</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1 credit per recipient</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Vault upload (any file)</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0 credits  (storage cap governs)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Editing an existing moment</w:t>
            </w:r>
          </w:p>
        </w:tc>
        <w:tc>
          <w:tcPr>
            <w:tcW w:type="dxa" w:w="576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0 credits</w:t>
            </w:r>
          </w:p>
        </w:tc>
      </w:tr>
      <w:tr>
        <w:tc>
          <w:tcPr>
            <w:tcW w:type="dxa" w:w="360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Viewing received memories</w:t>
            </w:r>
          </w:p>
        </w:tc>
        <w:tc>
          <w:tcPr>
            <w:tcW w:type="dxa" w:w="576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0 credits</w:t>
            </w:r>
          </w:p>
        </w:tc>
      </w:tr>
    </w:tbl>
    <w:p>
      <w:pPr>
        <w:spacing w:after="120" w:before="0"/>
      </w:pPr>
    </w:p>
    <w:p>
      <w:pPr>
        <w:pStyle w:val="Heading2"/>
        <w:spacing w:after="120" w:before="280"/>
      </w:pPr>
      <w:r>
        <w:rPr>
          <w:rFonts w:ascii="Arial" w:cs="Arial" w:eastAsia="Arial" w:hAnsi="Arial"/>
          <w:b/>
          <w:bCs/>
          <w:color w:val="2E4F7A"/>
          <w:sz w:val="26"/>
          <w:szCs w:val="26"/>
        </w:rPr>
        <w:t xml:space="preserve">4.2  Plan Caps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Plan</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credit cap</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 cap</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1B3A6B"/>
                <w:sz w:val="20"/>
                <w:szCs w:val="20"/>
              </w:rPr>
              <w:t xml:space="preserve">Free / Trial</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20 credits (enough to try the core loop)</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2 GB</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4F7A"/>
                <w:sz w:val="20"/>
                <w:szCs w:val="20"/>
              </w:rPr>
              <w:t xml:space="preserve">Annual ($X/yr)</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120 credits / year (~2.3 moments or 1 video/week)</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10 GB</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bCs/>
                <w:color w:val="2E4F7A"/>
                <w:sz w:val="20"/>
                <w:szCs w:val="20"/>
              </w:rPr>
              <w:t xml:space="preserve">Lifetime ($149)</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120 credits / year (rolling, resets each anniversary)</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50 GB</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bCs/>
                <w:color w:val="2E4F7A"/>
                <w:sz w:val="20"/>
                <w:szCs w:val="20"/>
              </w:rPr>
              <w:t xml:space="preserve">Annual + Expansion</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240 credits / year (double pack add-on at $X/yr)</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60 GB (10 + 50 expansion)</w:t>
            </w:r>
          </w:p>
        </w:tc>
      </w:tr>
    </w:tbl>
    <w:p>
      <w:pPr>
        <w:spacing w:after="120" w:before="0"/>
      </w:pPr>
    </w:p>
    <w:p>
      <w:pPr>
        <w:spacing w:after="120" w:before="60"/>
      </w:pPr>
      <w:r>
        <w:rPr>
          <w:rFonts w:ascii="Arial" w:cs="Arial" w:eastAsia="Arial" w:hAnsi="Arial"/>
          <w:color w:val="344054"/>
          <w:sz w:val="22"/>
          <w:szCs w:val="22"/>
        </w:rPr>
        <w:t xml:space="preserve">120 credits/year rationale: This is deliberate generosity, not artificial scarcity. A user recording one text or voice moment per week uses 52 credits. A user recording one photo + one scheduled delivery per week uses 104 credits. Heavy users making 2–3 video moments per week hit the cap in 8–10 months. Power users who genuinely need more can buy the expansion. The cap prevents the product becoming a bulk upload tool while never restricting meaningful, heartfelt usage.</w:t>
      </w:r>
    </w:p>
    <w:p>
      <w:pPr>
        <w:spacing w:after="80" w:before="0"/>
      </w:pPr>
    </w:p>
    <w:p>
      <w:pPr>
        <w:pStyle w:val="Heading2"/>
        <w:spacing w:after="120" w:before="280"/>
      </w:pPr>
      <w:r>
        <w:rPr>
          <w:rFonts w:ascii="Arial" w:cs="Arial" w:eastAsia="Arial" w:hAnsi="Arial"/>
          <w:b/>
          <w:bCs/>
          <w:color w:val="2E4F7A"/>
          <w:sz w:val="26"/>
          <w:szCs w:val="26"/>
        </w:rPr>
        <w:t xml:space="preserve">4.3  Credit UI/UX Principles</w:t>
      </w:r>
    </w:p>
    <w:p>
      <w:pPr>
        <w:pStyle w:val="ListParagraph"/>
        <w:numPr>
          <w:ilvl w:val="0"/>
          <w:numId w:val="2"/>
        </w:numPr>
        <w:spacing w:after="40" w:before="40"/>
      </w:pPr>
      <w:r>
        <w:rPr>
          <w:rFonts w:ascii="Arial" w:cs="Arial" w:eastAsia="Arial" w:hAnsi="Arial"/>
          <w:color w:val="344054"/>
          <w:sz w:val="22"/>
          <w:szCs w:val="22"/>
        </w:rPr>
        <w:t xml:space="preserve">Never call them "credits" in the user-facing product. Use language like "memories remaining this year" or "your memory allowance."</w:t>
      </w:r>
    </w:p>
    <w:p>
      <w:pPr>
        <w:pStyle w:val="ListParagraph"/>
        <w:numPr>
          <w:ilvl w:val="0"/>
          <w:numId w:val="2"/>
        </w:numPr>
        <w:spacing w:after="40" w:before="40"/>
      </w:pPr>
      <w:r>
        <w:rPr>
          <w:rFonts w:ascii="Arial" w:cs="Arial" w:eastAsia="Arial" w:hAnsi="Arial"/>
          <w:color w:val="344054"/>
          <w:sz w:val="22"/>
          <w:szCs w:val="22"/>
        </w:rPr>
        <w:t xml:space="preserve">Show the balance as a human metric: "You have created 23 memories this year. Your plan includes 120 per year." Not "97 credits remaining."</w:t>
      </w:r>
    </w:p>
    <w:p>
      <w:pPr>
        <w:pStyle w:val="ListParagraph"/>
        <w:numPr>
          <w:ilvl w:val="0"/>
          <w:numId w:val="2"/>
        </w:numPr>
        <w:spacing w:after="40" w:before="40"/>
      </w:pPr>
      <w:r>
        <w:rPr>
          <w:rFonts w:ascii="Arial" w:cs="Arial" w:eastAsia="Arial" w:hAnsi="Arial"/>
          <w:color w:val="344054"/>
          <w:sz w:val="22"/>
          <w:szCs w:val="22"/>
        </w:rPr>
        <w:t xml:space="preserve">Warn at 80% usage (96 of 120 used) with a soft in-app nudge — not a hard wall.</w:t>
      </w:r>
    </w:p>
    <w:p>
      <w:pPr>
        <w:pStyle w:val="ListParagraph"/>
        <w:numPr>
          <w:ilvl w:val="0"/>
          <w:numId w:val="2"/>
        </w:numPr>
        <w:spacing w:after="40" w:before="40"/>
      </w:pPr>
      <w:r>
        <w:rPr>
          <w:rFonts w:ascii="Arial" w:cs="Arial" w:eastAsia="Arial" w:hAnsi="Arial"/>
          <w:color w:val="344054"/>
          <w:sz w:val="22"/>
          <w:szCs w:val="22"/>
        </w:rPr>
        <w:t xml:space="preserve">At 100% usage: block new moment creation with a clear, warm message and a one-tap path to the expansion add-on. Never make the user feel like they are being punished for sharing memories.</w:t>
      </w:r>
    </w:p>
    <w:p>
      <w:pPr>
        <w:pStyle w:val="ListParagraph"/>
        <w:numPr>
          <w:ilvl w:val="0"/>
          <w:numId w:val="2"/>
        </w:numPr>
        <w:spacing w:after="40" w:before="40"/>
      </w:pPr>
      <w:r>
        <w:rPr>
          <w:rFonts w:ascii="Arial" w:cs="Arial" w:eastAsia="Arial" w:hAnsi="Arial"/>
          <w:color w:val="344054"/>
          <w:sz w:val="22"/>
          <w:szCs w:val="22"/>
        </w:rPr>
        <w:t xml:space="preserve">Video moments: surface the 5-credit cost before recording, not after. "This video will use 5 of your 120 yearly memories." Informed choice, not a surprise.</w:t>
      </w:r>
    </w:p>
    <w:p>
      <w:pPr>
        <w:pStyle w:val="ListParagraph"/>
        <w:numPr>
          <w:ilvl w:val="0"/>
          <w:numId w:val="2"/>
        </w:numPr>
        <w:spacing w:after="40" w:before="40"/>
      </w:pPr>
      <w:r>
        <w:rPr>
          <w:rFonts w:ascii="Arial" w:cs="Arial" w:eastAsia="Arial" w:hAnsi="Arial"/>
          <w:color w:val="344054"/>
          <w:sz w:val="22"/>
          <w:szCs w:val="22"/>
        </w:rPr>
        <w:t xml:space="preserve">Rollover: credits do NOT roll over year to year. A new year = a full 120. This prevents annual plan churners hoarding credits.</w:t>
      </w:r>
    </w:p>
    <w:p>
      <w:pPr>
        <w:spacing w:after="80" w:before="0"/>
      </w:pPr>
    </w:p>
    <w:p>
      <w:pPr>
        <w:pStyle w:val="Heading2"/>
        <w:spacing w:after="120" w:before="280"/>
      </w:pPr>
      <w:r>
        <w:rPr>
          <w:rFonts w:ascii="Arial" w:cs="Arial" w:eastAsia="Arial" w:hAnsi="Arial"/>
          <w:b/>
          <w:bCs/>
          <w:color w:val="2E4F7A"/>
          <w:sz w:val="26"/>
          <w:szCs w:val="26"/>
        </w:rPr>
        <w:t xml:space="preserve">4.4  Database Changes Required</w:t>
      </w:r>
    </w:p>
    <w:p>
      <w:pPr>
        <w:spacing w:after="120" w:before="60"/>
      </w:pPr>
      <w:r>
        <w:rPr>
          <w:rFonts w:ascii="Arial" w:cs="Arial" w:eastAsia="Arial" w:hAnsi="Arial"/>
          <w:color w:val="344054"/>
          <w:sz w:val="22"/>
          <w:szCs w:val="22"/>
        </w:rPr>
        <w:t xml:space="preserve">The credit system requires three schema additions:</w:t>
      </w:r>
    </w:p>
    <w:p>
      <w:pPr>
        <w:pStyle w:val="ListParagraph"/>
        <w:numPr>
          <w:ilvl w:val="0"/>
          <w:numId w:val="3"/>
        </w:numPr>
        <w:spacing w:after="40" w:before="40"/>
      </w:pPr>
      <w:r>
        <w:rPr>
          <w:rFonts w:ascii="Arial" w:cs="Arial" w:eastAsia="Arial" w:hAnsi="Arial"/>
          <w:color w:val="344054"/>
          <w:sz w:val="22"/>
          <w:szCs w:val="22"/>
        </w:rPr>
        <w:t xml:space="preserve">credits_ledger table — append-only event log of every credit transaction (user_id, action_type, credits_used, moment_id, created_at). Source of truth for balance calculation.</w:t>
      </w:r>
    </w:p>
    <w:p>
      <w:pPr>
        <w:pStyle w:val="ListParagraph"/>
        <w:numPr>
          <w:ilvl w:val="0"/>
          <w:numId w:val="3"/>
        </w:numPr>
        <w:spacing w:after="40" w:before="40"/>
      </w:pPr>
      <w:r>
        <w:rPr>
          <w:rFonts w:ascii="Arial" w:cs="Arial" w:eastAsia="Arial" w:hAnsi="Arial"/>
          <w:color w:val="344054"/>
          <w:sz w:val="22"/>
          <w:szCs w:val="22"/>
        </w:rPr>
        <w:t xml:space="preserve">profiles.credit_year_start — timestamp of when the current credit year began (set at first paid activation; resets on each annual renewal).</w:t>
      </w:r>
    </w:p>
    <w:p>
      <w:pPr>
        <w:pStyle w:val="ListParagraph"/>
        <w:numPr>
          <w:ilvl w:val="0"/>
          <w:numId w:val="3"/>
        </w:numPr>
        <w:spacing w:after="40" w:before="40"/>
      </w:pPr>
      <w:r>
        <w:rPr>
          <w:rFonts w:ascii="Arial" w:cs="Arial" w:eastAsia="Arial" w:hAnsi="Arial"/>
          <w:color w:val="344054"/>
          <w:sz w:val="22"/>
          <w:szCs w:val="22"/>
        </w:rPr>
        <w:t xml:space="preserve">profiles.credits_used_this_year — cached counter, updated on each transaction. Recalculated from ledger nightly as a consistency check.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EF3C7" w:val="clear"/>
            <w:tcMar>
              <w:top w:type="dxa" w:w="120"/>
              <w:left w:type="dxa" w:w="180"/>
              <w:bottom w:type="dxa" w:w="120"/>
              <w:right w:type="dxa" w:w="180"/>
            </w:tcMar>
          </w:tcPr>
          <w:p>
            <w:pPr>
              <w:spacing w:after="60" w:before="0"/>
            </w:pPr>
            <w:r>
              <w:rPr>
                <w:rFonts w:ascii="Arial" w:cs="Arial" w:eastAsia="Arial" w:hAnsi="Arial"/>
                <w:b/>
                <w:bCs/>
                <w:color w:val="92400E"/>
                <w:sz w:val="20"/>
                <w:szCs w:val="20"/>
              </w:rPr>
              <w:t xml:space="preserve">⚠️  Implementation Sequence</w:t>
            </w:r>
          </w:p>
          <w:p>
            <w:pPr>
              <w:spacing w:after="0" w:before="0"/>
            </w:pPr>
            <w:r>
              <w:rPr>
                <w:rFonts w:ascii="Arial" w:cs="Arial" w:eastAsia="Arial" w:hAnsi="Arial"/>
                <w:color w:val="92400E"/>
                <w:sz w:val="20"/>
                <w:szCs w:val="20"/>
              </w:rPr>
              <w:t xml:space="preserve">Build credit ledger schema first (no UI). Ship to production. Backfill historical moments as credit events. Then build UI balance display. Finally, enforce cap on new moment creation. This sequence means we can launch the cap with real historical data, and users will see an accurate balance from day one rather than starting from zero.</w:t>
            </w:r>
          </w:p>
        </w:tc>
      </w:tr>
    </w:tbl>
    <w:p>
      <w:r>
        <w:br w:type="page"/>
      </w:r>
    </w:p>
    <w:p>
      <w:pPr>
        <w:pStyle w:val="Heading1"/>
        <w:pBdr>
          <w:bottom w:val="single" w:color="1B3A6B" w:sz="6" w:space="6"/>
        </w:pBdr>
        <w:spacing w:after="200" w:before="360"/>
      </w:pPr>
      <w:r>
        <w:rPr>
          <w:rFonts w:ascii="Arial" w:cs="Arial" w:eastAsia="Arial" w:hAnsi="Arial"/>
          <w:b/>
          <w:bCs/>
          <w:color w:val="1B3A6B"/>
          <w:sz w:val="32"/>
          <w:szCs w:val="32"/>
        </w:rPr>
        <w:t xml:space="preserve">5.  Decision Summary</w:t>
      </w:r>
    </w:p>
    <w:p>
      <w:pPr>
        <w:spacing w:after="120" w:before="60"/>
      </w:pPr>
      <w:r>
        <w:rPr>
          <w:rFonts w:ascii="Arial" w:cs="Arial" w:eastAsia="Arial" w:hAnsi="Arial"/>
          <w:color w:val="344054"/>
          <w:sz w:val="22"/>
          <w:szCs w:val="22"/>
        </w:rPr>
        <w:t xml:space="preserve">The A-Team must reach consensus on each item below before the next engineering sprint. These decisions gate the payment and onboarding flows.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D" w:sz="1"/>
              <w:left w:val="single" w:color="D0D5DD" w:sz="1"/>
              <w:bottom w:val="single" w:color="D0D5DD" w:sz="1"/>
              <w:right w:val="single" w:color="D0D5DD"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1</w:t>
            </w:r>
          </w:p>
        </w:tc>
        <w:tc>
          <w:tcPr>
            <w:tcW w:type="dxa" w:w="7560"/>
            <w:tcBorders>
              <w:top w:val="single" w:color="D0D5DD" w:sz="1"/>
              <w:left w:val="single" w:color="D0D5DD" w:sz="1"/>
              <w:bottom w:val="single" w:color="D0D5DD" w:sz="1"/>
              <w:right w:val="single" w:color="D0D5DD" w:sz="1"/>
            </w:tcBorders>
            <w:shd w:fill="F2F4F7" w:val="clear"/>
            <w:tcMar>
              <w:top w:type="dxa" w:w="100"/>
              <w:left w:type="dxa" w:w="160"/>
              <w:bottom w:type="dxa" w:w="100"/>
              <w:right w:type="dxa" w:w="160"/>
            </w:tcMar>
          </w:tcPr>
          <w:p>
            <w:r>
              <w:rPr>
                <w:rFonts w:ascii="Arial" w:cs="Arial" w:eastAsia="Arial" w:hAnsi="Arial"/>
                <w:color w:val="344054"/>
                <w:sz w:val="20"/>
                <w:szCs w:val="20"/>
              </w:rPr>
              <w:t xml:space="preserve">Lifetime plan storage cap — Recommend 50 GB hard cap. Annual plan 10 GB hard cap.</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D" w:sz="1"/>
              <w:left w:val="single" w:color="D0D5DD" w:sz="1"/>
              <w:bottom w:val="single" w:color="D0D5DD" w:sz="1"/>
              <w:right w:val="single" w:color="D0D5DD" w:sz="1"/>
            </w:tcBorders>
            <w:shd w:fill="2E4F7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2</w:t>
            </w:r>
          </w:p>
        </w:tc>
        <w:tc>
          <w:tcPr>
            <w:tcW w:type="dxa" w:w="7560"/>
            <w:tcBorders>
              <w:top w:val="single" w:color="D0D5DD" w:sz="1"/>
              <w:left w:val="single" w:color="D0D5DD" w:sz="1"/>
              <w:bottom w:val="single" w:color="D0D5DD" w:sz="1"/>
              <w:right w:val="single" w:color="D0D5DD" w:sz="1"/>
            </w:tcBorders>
            <w:shd w:fill="F2F4F7" w:val="clear"/>
            <w:tcMar>
              <w:top w:type="dxa" w:w="100"/>
              <w:left w:type="dxa" w:w="160"/>
              <w:bottom w:type="dxa" w:w="100"/>
              <w:right w:type="dxa" w:w="160"/>
            </w:tcMar>
          </w:tcPr>
          <w:p>
            <w:r>
              <w:rPr>
                <w:rFonts w:ascii="Arial" w:cs="Arial" w:eastAsia="Arial" w:hAnsi="Arial"/>
                <w:color w:val="344054"/>
                <w:sz w:val="20"/>
                <w:szCs w:val="20"/>
              </w:rPr>
              <w:t xml:space="preserve">Vault transfer on death — Recommend Option C: 12-month live Recipient access, then cold archive, no forced deletion.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D" w:sz="1"/>
              <w:left w:val="single" w:color="D0D5DD" w:sz="1"/>
              <w:bottom w:val="single" w:color="D0D5DD" w:sz="1"/>
              <w:right w:val="single" w:color="D0D5DD"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3</w:t>
            </w:r>
          </w:p>
        </w:tc>
        <w:tc>
          <w:tcPr>
            <w:tcW w:type="dxa" w:w="7560"/>
            <w:tcBorders>
              <w:top w:val="single" w:color="D0D5DD" w:sz="1"/>
              <w:left w:val="single" w:color="D0D5DD" w:sz="1"/>
              <w:bottom w:val="single" w:color="D0D5DD" w:sz="1"/>
              <w:right w:val="single" w:color="D0D5DD" w:sz="1"/>
            </w:tcBorders>
            <w:shd w:fill="F2F4F7" w:val="clear"/>
            <w:tcMar>
              <w:top w:type="dxa" w:w="100"/>
              <w:left w:type="dxa" w:w="160"/>
              <w:bottom w:type="dxa" w:w="100"/>
              <w:right w:type="dxa" w:w="160"/>
            </w:tcMar>
          </w:tcPr>
          <w:p>
            <w:r>
              <w:rPr>
                <w:rFonts w:ascii="Arial" w:cs="Arial" w:eastAsia="Arial" w:hAnsi="Arial"/>
                <w:color w:val="344054"/>
                <w:sz w:val="20"/>
                <w:szCs w:val="20"/>
              </w:rPr>
              <w:t xml:space="preserve">Credit system — Adopt hybrid model. 120 credits/year for paid plans. Do not call them credits in product UI. Build ledger schema first.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D" w:sz="1"/>
              <w:left w:val="single" w:color="D0D5DD" w:sz="1"/>
              <w:bottom w:val="single" w:color="D0D5DD" w:sz="1"/>
              <w:right w:val="single" w:color="D0D5DD" w:sz="1"/>
            </w:tcBorders>
            <w:shd w:fill="C8922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4</w:t>
            </w:r>
          </w:p>
        </w:tc>
        <w:tc>
          <w:tcPr>
            <w:tcW w:type="dxa" w:w="7560"/>
            <w:tcBorders>
              <w:top w:val="single" w:color="D0D5DD" w:sz="1"/>
              <w:left w:val="single" w:color="D0D5DD" w:sz="1"/>
              <w:bottom w:val="single" w:color="D0D5DD" w:sz="1"/>
              <w:right w:val="single" w:color="D0D5DD" w:sz="1"/>
            </w:tcBorders>
            <w:shd w:fill="F2F4F7" w:val="clear"/>
            <w:tcMar>
              <w:top w:type="dxa" w:w="100"/>
              <w:left w:type="dxa" w:w="160"/>
              <w:bottom w:type="dxa" w:w="100"/>
              <w:right w:type="dxa" w:w="160"/>
            </w:tcMar>
          </w:tcPr>
          <w:p>
            <w:r>
              <w:rPr>
                <w:rFonts w:ascii="Arial" w:cs="Arial" w:eastAsia="Arial" w:hAnsi="Arial"/>
                <w:color w:val="344054"/>
                <w:sz w:val="20"/>
                <w:szCs w:val="20"/>
              </w:rPr>
              <w:t xml:space="preserve">Founder data moratorium — Do NOT adjust any of the above based on current Supabase data. Review at 30-day post-launch with real user cohort signal.</w:t>
            </w:r>
          </w:p>
        </w:tc>
      </w:tr>
    </w:tbl>
    <w:p>
      <w:pPr>
        <w:spacing w:after="120" w:before="0"/>
      </w:pPr>
    </w:p>
    <w:p>
      <w:pPr>
        <w:pStyle w:val="Heading1"/>
        <w:pBdr>
          <w:bottom w:val="single" w:color="1B3A6B" w:sz="6" w:space="6"/>
        </w:pBdr>
        <w:spacing w:after="200" w:before="360"/>
      </w:pPr>
      <w:r>
        <w:rPr>
          <w:rFonts w:ascii="Arial" w:cs="Arial" w:eastAsia="Arial" w:hAnsi="Arial"/>
          <w:b/>
          <w:bCs/>
          <w:color w:val="1B3A6B"/>
          <w:sz w:val="32"/>
          <w:szCs w:val="32"/>
        </w:rPr>
        <w:t xml:space="preserve">6.  Risk Register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Likelihood</w:t>
            </w:r>
          </w:p>
        </w:tc>
        <w:tc>
          <w:tcPr>
            <w:tcW w:type="dxa" w:w="312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Lifetime users breach 50 GB cap on day one via Facebook import</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Medium</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Cap Facebook import at 10 GB on first sync. Full import available only after 30 days (prevents account-open-dump-cancel).</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Users revolt against credit cap on social media</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Low-Medium</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Framing is everything. Lead with generosity (120 memories/year), not restriction. Ensure 95th percentile of emotional use cases stay well under cap.</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No Trusted Person designated at death</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High over time</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Prompt at onboarding and annually. If no TP designated, vault enters 5-year dormant period, then deletion (with 90-day warning to registered email if any).</w:t>
            </w:r>
          </w:p>
        </w:tc>
      </w:tr>
      <w:tr>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Apple/Google reject lifetime IAP</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Low</w:t>
            </w:r>
          </w:p>
        </w:tc>
        <w:tc>
          <w:tcPr>
            <w:tcW w:type="dxa" w:w="312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b w:val="false"/>
                <w:bCs w:val="false"/>
                <w:color w:val="344054"/>
                <w:sz w:val="20"/>
                <w:szCs w:val="20"/>
              </w:rPr>
              <w:t xml:space="preserve">Apple has approved lifetime plans for journaling/personal apps. Ensure ToS is clear that it's a feature licence, not a store of value.</w:t>
            </w:r>
          </w:p>
        </w:tc>
      </w:tr>
      <w:tr>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Cold archive retrieval SLA breached</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Low</w:t>
            </w:r>
          </w:p>
        </w:tc>
        <w:tc>
          <w:tcPr>
            <w:tcW w:type="dxa" w:w="312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b w:val="false"/>
                <w:bCs w:val="false"/>
                <w:color w:val="344054"/>
                <w:sz w:val="20"/>
                <w:szCs w:val="20"/>
              </w:rPr>
              <w:t xml:space="preserve">R2 Infrequent Access is near-instant. SLA risk is process, not infrastructure. Build retrieval with 24-hr notification + 48-hr delivery promise.</w:t>
            </w:r>
          </w:p>
        </w:tc>
      </w:tr>
    </w:tbl>
    <w:p>
      <w:pPr>
        <w:spacing w:after="120" w:before="0"/>
      </w:pPr>
    </w:p>
    <w:p>
      <w:pPr>
        <w:pStyle w:val="Heading1"/>
        <w:pBdr>
          <w:bottom w:val="single" w:color="1B3A6B" w:sz="6" w:space="6"/>
        </w:pBdr>
        <w:spacing w:after="200" w:before="360"/>
      </w:pPr>
      <w:r>
        <w:rPr>
          <w:rFonts w:ascii="Arial" w:cs="Arial" w:eastAsia="Arial" w:hAnsi="Arial"/>
          <w:b/>
          <w:bCs/>
          <w:color w:val="1B3A6B"/>
          <w:sz w:val="32"/>
          <w:szCs w:val="32"/>
        </w:rPr>
        <w:t xml:space="preserve">7.  Next Steps &amp; Sign-Off</w:t>
      </w:r>
    </w:p>
    <w:p>
      <w:pPr>
        <w:spacing w:after="120" w:before="60"/>
      </w:pPr>
      <w:r>
        <w:rPr>
          <w:rFonts w:ascii="Arial" w:cs="Arial" w:eastAsia="Arial" w:hAnsi="Arial"/>
          <w:color w:val="344054"/>
          <w:sz w:val="22"/>
          <w:szCs w:val="22"/>
        </w:rPr>
        <w:t xml:space="preserve">Following A-Team discussion, each decision should be recorded with a named owner and a ship date. Suggested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000"/>
            <w:tcBorders>
              <w:top w:val="single" w:color="D0D5DD" w:sz="1"/>
              <w:left w:val="single" w:color="D0D5DD" w:sz="1"/>
              <w:bottom w:val="single" w:color="D0D5DD" w:sz="1"/>
              <w:right w:val="single" w:color="D0D5DD" w:sz="1"/>
            </w:tcBorders>
            <w:shd w:fill="2E4F7A" w:val="clear"/>
            <w:tcMar>
              <w:top w:type="dxa" w:w="80"/>
              <w:left w:type="dxa" w:w="120"/>
              <w:bottom w:type="dxa" w:w="80"/>
              <w:right w:type="dxa" w:w="120"/>
            </w:tcMar>
          </w:tcPr>
          <w:p>
            <w:r>
              <w:rPr>
                <w:rFonts w:ascii="Arial" w:cs="Arial" w:eastAsia="Arial" w:hAnsi="Arial"/>
                <w:b/>
                <w:bCs/>
                <w:color w:val="FFFFFF"/>
                <w:sz w:val="20"/>
                <w:szCs w:val="20"/>
              </w:rPr>
              <w:t xml:space="preserve">Suggested owner &amp; target date</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Storage cap (50 GB lifetime / 10 GB annual)</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CEO + CTO — approve by next sprint planning</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Cold archive implementation plan</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CTO — design doc within 2 weeks</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Vault transfer legal review</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CEO — engage legal counsel within 30 days</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Credit ledger schema migration</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CTO — merge within current sprint</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Credit UI language &amp; UX copy</w:t>
            </w:r>
          </w:p>
        </w:tc>
        <w:tc>
          <w:tcPr>
            <w:tcW w:type="dxa" w:w="6000"/>
            <w:tcBorders>
              <w:top w:val="single" w:color="D0D5DD" w:sz="1"/>
              <w:left w:val="single" w:color="D0D5DD" w:sz="1"/>
              <w:bottom w:val="single" w:color="D0D5DD" w:sz="1"/>
              <w:right w:val="single" w:color="D0D5DD" w:sz="1"/>
            </w:tcBorders>
            <w:shd w:fill="F8FAFC" w:val="clear"/>
            <w:tcMar>
              <w:top w:type="dxa" w:w="80"/>
              <w:left w:type="dxa" w:w="120"/>
              <w:bottom w:type="dxa" w:w="80"/>
              <w:right w:type="dxa" w:w="120"/>
            </w:tcMar>
          </w:tcPr>
          <w:p>
            <w:r>
              <w:rPr>
                <w:rFonts w:ascii="Arial" w:cs="Arial" w:eastAsia="Arial" w:hAnsi="Arial"/>
                <w:color w:val="344054"/>
                <w:sz w:val="20"/>
                <w:szCs w:val="20"/>
              </w:rPr>
              <w:t xml:space="preserve">Product + Design — review in next design sprint</w:t>
            </w:r>
          </w:p>
        </w:tc>
      </w:tr>
      <w:tr>
        <w:tc>
          <w:tcPr>
            <w:tcW w:type="dxa" w:w="3360"/>
            <w:tcBorders>
              <w:top w:val="single" w:color="D0D5DD" w:sz="1"/>
              <w:left w:val="single" w:color="D0D5DD" w:sz="1"/>
              <w:bottom w:val="single" w:color="D0D5DD" w:sz="1"/>
              <w:right w:val="single" w:color="D0D5DD" w:sz="1"/>
            </w:tcBorders>
            <w:shd w:fill="F2F4F7" w:val="clear"/>
            <w:tcMar>
              <w:top w:type="dxa" w:w="80"/>
              <w:left w:type="dxa" w:w="120"/>
              <w:bottom w:type="dxa" w:w="80"/>
              <w:right w:type="dxa" w:w="120"/>
            </w:tcMar>
          </w:tcPr>
          <w:p>
            <w:r>
              <w:rPr>
                <w:rFonts w:ascii="Arial" w:cs="Arial" w:eastAsia="Arial" w:hAnsi="Arial"/>
                <w:b/>
                <w:bCs/>
                <w:color w:val="344054"/>
                <w:sz w:val="20"/>
                <w:szCs w:val="20"/>
              </w:rPr>
              <w:t xml:space="preserve">Post-launch 30-day analytics review</w:t>
            </w:r>
          </w:p>
        </w:tc>
        <w:tc>
          <w:tcPr>
            <w:tcW w:type="dxa" w:w="6000"/>
            <w:tcBorders>
              <w:top w:val="single" w:color="D0D5DD" w:sz="1"/>
              <w:left w:val="single" w:color="D0D5DD" w:sz="1"/>
              <w:bottom w:val="single" w:color="D0D5DD" w:sz="1"/>
              <w:right w:val="single" w:color="D0D5DD" w:sz="1"/>
            </w:tcBorders>
            <w:shd w:fill="FFFFFF" w:val="clear"/>
            <w:tcMar>
              <w:top w:type="dxa" w:w="80"/>
              <w:left w:type="dxa" w:w="120"/>
              <w:bottom w:type="dxa" w:w="80"/>
              <w:right w:type="dxa" w:w="120"/>
            </w:tcMar>
          </w:tcPr>
          <w:p>
            <w:r>
              <w:rPr>
                <w:rFonts w:ascii="Arial" w:cs="Arial" w:eastAsia="Arial" w:hAnsi="Arial"/>
                <w:color w:val="344054"/>
                <w:sz w:val="20"/>
                <w:szCs w:val="20"/>
              </w:rPr>
              <w:t xml:space="preserve">CEO — calendar date set before launch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8EFF9" w:val="clear"/>
            <w:tcMar>
              <w:top w:type="dxa" w:w="120"/>
              <w:left w:type="dxa" w:w="180"/>
              <w:bottom w:type="dxa" w:w="120"/>
              <w:right w:type="dxa" w:w="180"/>
            </w:tcMar>
          </w:tcPr>
          <w:p>
            <w:pPr>
              <w:spacing w:after="60" w:before="0"/>
            </w:pPr>
            <w:r>
              <w:rPr>
                <w:rFonts w:ascii="Arial" w:cs="Arial" w:eastAsia="Arial" w:hAnsi="Arial"/>
                <w:b/>
                <w:bCs/>
                <w:color w:val="1B3A6B"/>
                <w:sz w:val="20"/>
                <w:szCs w:val="20"/>
              </w:rPr>
              <w:t xml:space="preserve">📌  Reminder</w:t>
            </w:r>
          </w:p>
          <w:p>
            <w:pPr>
              <w:spacing w:after="0" w:before="0"/>
            </w:pPr>
            <w:r>
              <w:rPr>
                <w:rFonts w:ascii="Arial" w:cs="Arial" w:eastAsia="Arial" w:hAnsi="Arial"/>
                <w:color w:val="1B3A6B"/>
                <w:sz w:val="20"/>
                <w:szCs w:val="20"/>
              </w:rPr>
              <w:t xml:space="preserve">None of these decisions require code changes this week. All three can be decided in a single 60-minute A-Team call and unblock the next two engineering sprints. Schedule that call before the end of the week.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May 2026  |  Solace Life Internal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jc w:val="right"/>
    </w:pPr>
    <w:r>
      <w:rPr>
        <w:rFonts w:ascii="Arial" w:cs="Arial" w:eastAsia="Arial" w:hAnsi="Arial"/>
        <w:i/>
        <w:iCs/>
        <w:color w:val="2E4F7A"/>
        <w:sz w:val="18"/>
        <w:szCs w:val="18"/>
      </w:rPr>
      <w:t xml:space="preserve">Solace Life — A-Team Strategic Report</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F7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440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2026-05-26T03:27:35.936Z</dcterms:created>
  <dcterms:modified xsi:type="dcterms:W3CDTF">2026-05-26T03:27:35.938Z</dcterms:modified>
</cp:coreProperties>
</file>

<file path=docProps/custom.xml><?xml version="1.0" encoding="utf-8"?>
<Properties xmlns="http://schemas.openxmlformats.org/officeDocument/2006/custom-properties" xmlns:vt="http://schemas.openxmlformats.org/officeDocument/2006/docPropsVTypes"/>
</file>