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A0264A"/>
          <w:sz w:val="72"/>
          <w:szCs w:val="72"/>
        </w:rPr>
        <w:t xml:space="preserve">Solace Life</w:t>
      </w:r>
    </w:p>
    <w:p>
      <w:pPr>
        <w:spacing w:after="200" w:before="0"/>
        <w:jc w:val="center"/>
      </w:pPr>
      <w:r>
        <w:rPr>
          <w:rFonts w:ascii="Arial" w:cs="Arial" w:eastAsia="Arial" w:hAnsi="Arial"/>
          <w:b/>
          <w:bCs/>
          <w:color w:val="C0406A"/>
          <w:sz w:val="52"/>
          <w:szCs w:val="52"/>
        </w:rPr>
        <w:t xml:space="preserve">Investor Brief</w:t>
      </w:r>
    </w:p>
    <w:p>
      <w:pPr>
        <w:spacing w:after="120" w:before="240"/>
        <w:jc w:val="center"/>
      </w:pPr>
      <w:r>
        <w:rPr>
          <w:rFonts w:ascii="Arial" w:cs="Arial" w:eastAsia="Arial" w:hAnsi="Arial"/>
          <w:i/>
          <w:iCs/>
          <w:color w:val="555555"/>
          <w:sz w:val="30"/>
          <w:szCs w:val="30"/>
        </w:rPr>
        <w:t xml:space="preserve">Confidential — Pre-Seed Round  ·  $750,000</w:t>
      </w:r>
    </w:p>
    <w:p>
      <w:pPr>
        <w:spacing w:after="800" w:before="80"/>
        <w:jc w:val="center"/>
      </w:pPr>
      <w:r>
        <w:rPr>
          <w:rFonts w:ascii="Arial" w:cs="Arial" w:eastAsia="Arial" w:hAnsi="Arial"/>
          <w:color w:val="555555"/>
          <w:sz w:val="26"/>
          <w:szCs w:val="26"/>
        </w:rPr>
        <w:t xml:space="preserve">May 2026</w:t>
      </w:r>
    </w:p>
    <w:p>
      <w:pPr>
        <w:spacing w:after="120" w:before="0"/>
        <w:jc w:val="center"/>
      </w:pPr>
      <w:r>
        <w:rPr>
          <w:rFonts w:ascii="Arial" w:cs="Arial" w:eastAsia="Arial" w:hAnsi="Arial"/>
          <w:color w:val="A0264A"/>
          <w:sz w:val="24"/>
          <w:szCs w:val="24"/>
        </w:rPr>
        <w:t xml:space="preserve">memories@solacelife.ca  ·  solacelife.ca</w:t>
      </w:r>
    </w:p>
    <w:p>
      <w:r>
        <w:br w:type="page"/>
      </w:r>
    </w:p>
    <w:p>
      <w:pPr>
        <w:pStyle w:val="Heading1"/>
        <w:spacing w:after="120" w:before="360"/>
      </w:pPr>
      <w:r>
        <w:rPr>
          <w:rFonts w:ascii="Arial" w:cs="Arial" w:eastAsia="Arial" w:hAnsi="Arial"/>
          <w:b/>
          <w:bCs/>
          <w:color w:val="A0264A"/>
          <w:sz w:val="36"/>
          <w:szCs w:val="36"/>
        </w:rPr>
        <w:t xml:space="preserve">1. Executive Summary</w:t>
      </w:r>
    </w:p>
    <w:p>
      <w:pPr>
        <w:spacing w:after="120" w:before="80"/>
      </w:pPr>
      <w:r>
        <w:rPr>
          <w:rFonts w:ascii="Arial" w:cs="Arial" w:eastAsia="Arial" w:hAnsi="Arial"/>
          <w:color w:val="1A1A1A"/>
          <w:sz w:val="24"/>
          <w:szCs w:val="24"/>
        </w:rPr>
        <w:t xml:space="preserve">Solace Life is the first consumer mobile application that lets people record, protect, and schedule the delivery of personal memories — voice memos, video messages, written letters, and photographs — to their loved ones at any future date. Whether a parent wants their voice heard on a child's wedding day, a grandparent wishes to share wisdom on a grandchild's 18th birthday, or a person simply wants to ensure their family has something tangible to hold onto after they are gone, Solace Life makes it possible. The product sits at the intersection of digital legacy, estate planning, and emotional wellness — a market that is large, underserved, and deeply human.</w:t>
      </w:r>
    </w:p>
    <w:p>
      <w:pPr>
        <w:spacing w:after="120" w:before="80"/>
      </w:pPr>
      <w:r>
        <w:rPr>
          <w:rFonts w:ascii="Arial" w:cs="Arial" w:eastAsia="Arial" w:hAnsi="Arial"/>
          <w:color w:val="1A1A1A"/>
          <w:sz w:val="24"/>
          <w:szCs w:val="24"/>
        </w:rPr>
        <w:t xml:space="preserve">The digital legacy market represents a $15 billion-plus global opportunity, growing at over 15 percent annually. Ten thousand Baby Boomers turn 65 every single day in North America. Despite this demographic wave, no dominant consumer application exists to help people capture and preserve their voice, their stories, or their love — on their own terms, on their own timeline. Solace Life fills that gap with a beautifully designed mobile experience that any family can use: record a memory today, schedule it for delivery years from now, and know it will arrive exactly when it matters most.</w:t>
      </w:r>
    </w:p>
    <w:p>
      <w:pPr>
        <w:spacing w:after="120" w:before="80"/>
      </w:pPr>
      <w:r>
        <w:rPr>
          <w:rFonts w:ascii="Arial" w:cs="Arial" w:eastAsia="Arial" w:hAnsi="Arial"/>
          <w:color w:val="1A1A1A"/>
          <w:sz w:val="24"/>
          <w:szCs w:val="24"/>
        </w:rPr>
        <w:t xml:space="preserve">We have built a full-featured MVP: a React Native application for iOS and Android, a secure Supabase backend with AES-256 encryption, a scheduled delivery engine, an emergency contact system accessible from the phone lock screen, Stripe payment integration, and a live landing page at solacelife.ca. A founding member waitlist is active. A ten-person world-class advisory team — the A Team — has been assembled with expertise spanning engineering, product design, growth, behavioral economics, legal compliance, and financial strategy. We are raising $750,000 in pre-seed capital to execute a proven zero-to-one launch playbook, acquire the first ten thousand paying families, and position Solace Life for a Series A in eighteen months.</w:t>
      </w:r>
    </w:p>
    <w:p>
      <w:pPr>
        <w:spacing w:after="120" w:before="0"/>
      </w:pPr>
      <w:r>
        <w:t xml:space="preserve"/>
      </w:r>
    </w:p>
    <w:p>
      <w:pPr>
        <w:pStyle w:val="Heading1"/>
        <w:spacing w:after="120" w:before="360"/>
      </w:pPr>
      <w:r>
        <w:rPr>
          <w:rFonts w:ascii="Arial" w:cs="Arial" w:eastAsia="Arial" w:hAnsi="Arial"/>
          <w:b/>
          <w:bCs/>
          <w:color w:val="A0264A"/>
          <w:sz w:val="36"/>
          <w:szCs w:val="36"/>
        </w:rPr>
        <w:t xml:space="preserve">2. The Problem</w:t>
      </w:r>
    </w:p>
    <w:p>
      <w:pPr>
        <w:spacing w:after="120" w:before="80"/>
      </w:pPr>
      <w:r>
        <w:rPr>
          <w:rFonts w:ascii="Arial" w:cs="Arial" w:eastAsia="Arial" w:hAnsi="Arial"/>
          <w:color w:val="1A1A1A"/>
          <w:sz w:val="24"/>
          <w:szCs w:val="24"/>
        </w:rPr>
        <w:t xml:space="preserve">The gap between what people intend to leave behind and what actually gets preserved is staggering. Seventy percent of adults will leave no voice recording, no video message, and no written letter for their family. Not because they do not want to — but because no tool has ever made it easy, accessible, and emotionally safe to do so. The average person thinks about recording a message for their children or grandchildren many times over the course of their life and never does it. There is no reminder, no occasion, no simple interface that meets them where they are.</w:t>
      </w:r>
    </w:p>
    <w:p>
      <w:pPr>
        <w:spacing w:after="120" w:before="80"/>
      </w:pPr>
      <w:r>
        <w:rPr>
          <w:rFonts w:ascii="Arial" w:cs="Arial" w:eastAsia="Arial" w:hAnsi="Arial"/>
          <w:color w:val="1A1A1A"/>
          <w:sz w:val="24"/>
          <w:szCs w:val="24"/>
        </w:rPr>
        <w:t xml:space="preserve">The financial dimension of this problem is equally acute. An estimated 3.8 trillion dollars in personal assets are lost, disputed, or mismanaged every year in the United States and Canada because no clear plan or documentation exists. Estate attorneys describe a consistent pattern: families arrive in crisis, grieving and disoriented, with no record of their loved one's wishes, no accessible emergency contacts, and no understanding of the digital accounts, insurance policies, or assets left behind. The tools that exist — wills, estate plans, safety deposit boxes — are expensive, inaccessible, and completely disconnected from the emotional layer of a person's legacy.</w:t>
      </w:r>
    </w:p>
    <w:p>
      <w:pPr>
        <w:spacing w:after="120" w:before="80"/>
      </w:pPr>
      <w:r>
        <w:rPr>
          <w:rFonts w:ascii="Arial" w:cs="Arial" w:eastAsia="Arial" w:hAnsi="Arial"/>
          <w:color w:val="1A1A1A"/>
          <w:sz w:val="24"/>
          <w:szCs w:val="24"/>
        </w:rPr>
        <w:t xml:space="preserve">There is also the emergency gap. The majority of people have no accessible emergency contact information on their smartphone. If you are incapacitated in an accident, the person who picks up your phone cannot reach your family without unlocking the device. Solace Life solves this directly with a lock screen emergency contact feature — no unlock required. This is not a minor convenience; it is potentially life-saving, and it serves as one of the most powerful top-of-funnel acquisition features the product offers.</w:t>
      </w:r>
    </w:p>
    <w:p>
      <w:pPr>
        <w:spacing w:after="120" w:before="80"/>
      </w:pPr>
      <w:r>
        <w:rPr>
          <w:rFonts w:ascii="Arial" w:cs="Arial" w:eastAsia="Arial" w:hAnsi="Arial"/>
          <w:color w:val="1A1A1A"/>
          <w:sz w:val="24"/>
          <w:szCs w:val="24"/>
        </w:rPr>
        <w:t xml:space="preserve">Finally, there is the grief gap: the invisible, unspoken regret that settles over families after a loss. People want to leave something behind. They want to be remembered as they truly were — not as a name on a headstone or a photo on a shelf. They simply were never given the right tool at the right moment. Solace Life is that tool.</w:t>
      </w:r>
    </w:p>
    <w:p>
      <w:pPr>
        <w:spacing w:after="120" w:before="0"/>
      </w:pPr>
      <w:r>
        <w:t xml:space="preserve"/>
      </w:r>
    </w:p>
    <w:p>
      <w:r>
        <w:br w:type="page"/>
      </w:r>
    </w:p>
    <w:p>
      <w:pPr>
        <w:pStyle w:val="Heading1"/>
        <w:spacing w:after="120" w:before="360"/>
      </w:pPr>
      <w:r>
        <w:rPr>
          <w:rFonts w:ascii="Arial" w:cs="Arial" w:eastAsia="Arial" w:hAnsi="Arial"/>
          <w:b/>
          <w:bCs/>
          <w:color w:val="A0264A"/>
          <w:sz w:val="36"/>
          <w:szCs w:val="36"/>
        </w:rPr>
        <w:t xml:space="preserve">3. The Solution</w:t>
      </w:r>
    </w:p>
    <w:p>
      <w:pPr>
        <w:spacing w:after="120" w:before="80"/>
      </w:pPr>
      <w:r>
        <w:rPr>
          <w:rFonts w:ascii="Arial" w:cs="Arial" w:eastAsia="Arial" w:hAnsi="Arial"/>
          <w:color w:val="1A1A1A"/>
          <w:sz w:val="24"/>
          <w:szCs w:val="24"/>
        </w:rPr>
        <w:t xml:space="preserve">Solace Life is built around three pillars: Record, Protect, and Deliver.</w:t>
      </w:r>
    </w:p>
    <w:p>
      <w:pPr>
        <w:pStyle w:val="Heading2"/>
        <w:spacing w:after="80" w:before="240"/>
      </w:pPr>
      <w:r>
        <w:rPr>
          <w:rFonts w:ascii="Arial" w:cs="Arial" w:eastAsia="Arial" w:hAnsi="Arial"/>
          <w:b/>
          <w:bCs/>
          <w:color w:val="C0406A"/>
          <w:sz w:val="28"/>
          <w:szCs w:val="28"/>
        </w:rPr>
        <w:t xml:space="preserve">Record</w:t>
      </w:r>
    </w:p>
    <w:p>
      <w:pPr>
        <w:spacing w:after="120" w:before="80"/>
      </w:pPr>
      <w:r>
        <w:rPr>
          <w:rFonts w:ascii="Arial" w:cs="Arial" w:eastAsia="Arial" w:hAnsi="Arial"/>
          <w:color w:val="1A1A1A"/>
          <w:sz w:val="24"/>
          <w:szCs w:val="24"/>
        </w:rPr>
        <w:t xml:space="preserve">Users capture memories in any format that feels natural — a voice memo recorded at the kitchen table, a video message filmed on a Sunday afternoon, a letter typed late at night, or a photo album assembled from a lifetime of moments. The interface is warm, unhurried, and designed for emotional resonance. There is no clinical form to fill out. There is no legal jargon. There is simply a prompt, a record button, and the space to say what needs to be said.</w:t>
      </w:r>
    </w:p>
    <w:p>
      <w:pPr>
        <w:pStyle w:val="Heading2"/>
        <w:spacing w:after="80" w:before="240"/>
      </w:pPr>
      <w:r>
        <w:rPr>
          <w:rFonts w:ascii="Arial" w:cs="Arial" w:eastAsia="Arial" w:hAnsi="Arial"/>
          <w:b/>
          <w:bCs/>
          <w:color w:val="C0406A"/>
          <w:sz w:val="28"/>
          <w:szCs w:val="28"/>
        </w:rPr>
        <w:t xml:space="preserve">Protect</w:t>
      </w:r>
    </w:p>
    <w:p>
      <w:pPr>
        <w:spacing w:after="120" w:before="80"/>
      </w:pPr>
      <w:r>
        <w:rPr>
          <w:rFonts w:ascii="Arial" w:cs="Arial" w:eastAsia="Arial" w:hAnsi="Arial"/>
          <w:color w:val="1A1A1A"/>
          <w:sz w:val="24"/>
          <w:szCs w:val="24"/>
        </w:rPr>
        <w:t xml:space="preserve">Every memory in the vault is encrypted with AES-256 and stored securely in the cloud. Row-level security ensures that no one — not even the Solace Life team — can access a user's vault without authorization. Users control exactly who receives what, and when. The vault is a permanent home for a person's most important words.</w:t>
      </w:r>
    </w:p>
    <w:p>
      <w:pPr>
        <w:pStyle w:val="Heading2"/>
        <w:spacing w:after="80" w:before="240"/>
      </w:pPr>
      <w:r>
        <w:rPr>
          <w:rFonts w:ascii="Arial" w:cs="Arial" w:eastAsia="Arial" w:hAnsi="Arial"/>
          <w:b/>
          <w:bCs/>
          <w:color w:val="C0406A"/>
          <w:sz w:val="28"/>
          <w:szCs w:val="28"/>
        </w:rPr>
        <w:t xml:space="preserve">Deliver</w:t>
      </w:r>
    </w:p>
    <w:p>
      <w:pPr>
        <w:spacing w:after="120" w:before="80"/>
      </w:pPr>
      <w:r>
        <w:rPr>
          <w:rFonts w:ascii="Arial" w:cs="Arial" w:eastAsia="Arial" w:hAnsi="Arial"/>
          <w:color w:val="1A1A1A"/>
          <w:sz w:val="24"/>
          <w:szCs w:val="24"/>
        </w:rPr>
        <w:t xml:space="preserve">This is the feature that makes Solace Life unique in the market. Users can schedule any message for delivery on any future date: a birthday ten years from now, an anniversary, a graduation, a wedding day, or after passing. The scheduled delivery engine runs reliably in the background, ensuring that messages arrive exactly when they were intended — even years after they were recorded. No other consumer application offers this capability.</w:t>
      </w:r>
    </w:p>
    <w:p>
      <w:pPr>
        <w:pStyle w:val="Heading2"/>
        <w:spacing w:after="80" w:before="240"/>
      </w:pPr>
      <w:r>
        <w:rPr>
          <w:rFonts w:ascii="Arial" w:cs="Arial" w:eastAsia="Arial" w:hAnsi="Arial"/>
          <w:b/>
          <w:bCs/>
          <w:color w:val="C0406A"/>
          <w:sz w:val="28"/>
          <w:szCs w:val="28"/>
        </w:rPr>
        <w:t xml:space="preserve">Emergency Contact — Lock Screen Access</w:t>
      </w:r>
    </w:p>
    <w:p>
      <w:pPr>
        <w:spacing w:after="120" w:before="80"/>
      </w:pPr>
      <w:r>
        <w:rPr>
          <w:rFonts w:ascii="Arial" w:cs="Arial" w:eastAsia="Arial" w:hAnsi="Arial"/>
          <w:color w:val="1A1A1A"/>
          <w:sz w:val="24"/>
          <w:szCs w:val="24"/>
        </w:rPr>
        <w:t xml:space="preserve">Solace Life's emergency contact feature allows designated contacts to appear on the phone's lock screen without requiring the device to be unlocked. The scenario this solves plays out every day: an older adult is incapacitated in public. A bystander or first responder picks up their phone — it is locked. There is no way to access contacts, no way to reach the family. Precious time is lost. With Solace Life, the emergency contact's name and phone number are visible on the first screen, no passcode required. This feature alone — simple, practical, and potentially life-saving — creates a powerful acquisition hook and a deep reason to keep the app installed permanently.</w:t>
      </w:r>
    </w:p>
    <w:p>
      <w:pPr>
        <w:spacing w:after="120" w:before="0"/>
      </w:pPr>
      <w:r>
        <w:t xml:space="preserve"/>
      </w:r>
    </w:p>
    <w:p>
      <w:r>
        <w:br w:type="page"/>
      </w:r>
    </w:p>
    <w:p>
      <w:pPr>
        <w:pStyle w:val="Heading1"/>
        <w:spacing w:after="120" w:before="360"/>
      </w:pPr>
      <w:r>
        <w:rPr>
          <w:rFonts w:ascii="Arial" w:cs="Arial" w:eastAsia="Arial" w:hAnsi="Arial"/>
          <w:b/>
          <w:bCs/>
          <w:color w:val="A0264A"/>
          <w:sz w:val="36"/>
          <w:szCs w:val="36"/>
        </w:rPr>
        <w:t xml:space="preserve">4. Market Opportunity</w:t>
      </w:r>
    </w:p>
    <w:p>
      <w:pPr>
        <w:spacing w:after="120" w:before="80"/>
      </w:pPr>
      <w:r>
        <w:rPr>
          <w:rFonts w:ascii="Arial" w:cs="Arial" w:eastAsia="Arial" w:hAnsi="Arial"/>
          <w:color w:val="1A1A1A"/>
          <w:sz w:val="24"/>
          <w:szCs w:val="24"/>
        </w:rPr>
        <w:t xml:space="preserve">The digital legacy market sits at the intersection of three massive, converging trends: the aging of the Baby Boomer generation, the mainstreaming of digital wellness applications, and the growing public conversation about end-of-life planning. The result is a structural market opportunity that is both large and, importantly, unoccupied.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Metric</w:t>
            </w:r>
          </w:p>
        </w:tc>
        <w:tc>
          <w:tcPr>
            <w:tcW w:type="dxa" w:w="220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Figure</w:t>
            </w:r>
          </w:p>
        </w:tc>
        <w:tc>
          <w:tcPr>
            <w:tcW w:type="dxa" w:w="516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Context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TAM</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$15B+</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Global digital legacy and estate planning market</w:t>
            </w:r>
          </w:p>
        </w:tc>
      </w:tr>
      <w:tr>
        <w:tc>
          <w:tcPr>
            <w:tcW w:type="dxa" w:w="20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bCs/>
                <w:color w:val="1A1A1A"/>
                <w:sz w:val="22"/>
                <w:szCs w:val="22"/>
              </w:rPr>
              <w:t xml:space="preserve">SAM</w:t>
            </w:r>
          </w:p>
        </w:tc>
        <w:tc>
          <w:tcPr>
            <w:tcW w:type="dxa" w:w="22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120M users</w:t>
            </w:r>
          </w:p>
        </w:tc>
        <w:tc>
          <w:tcPr>
            <w:tcW w:type="dxa" w:w="516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North American adults aged 35–75 with smartphones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SOM</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600K users</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Solace Life Year 3 target user base</w:t>
            </w:r>
          </w:p>
        </w:tc>
      </w:tr>
    </w:tbl>
    <w:p>
      <w:pPr>
        <w:spacing w:after="120" w:before="0"/>
      </w:pPr>
      <w:r>
        <w:t xml:space="preserve"/>
      </w:r>
    </w:p>
    <w:p>
      <w:pPr>
        <w:spacing w:after="120" w:before="80"/>
      </w:pPr>
      <w:r>
        <w:rPr>
          <w:rFonts w:ascii="Arial" w:cs="Arial" w:eastAsia="Arial" w:hAnsi="Arial"/>
          <w:color w:val="1A1A1A"/>
          <w:sz w:val="24"/>
          <w:szCs w:val="24"/>
        </w:rPr>
        <w:t xml:space="preserve">Ten thousand Baby Boomers turn 65 every day in the United States alone. The death care industry is a $20 billion market in North America. The digital estate planning segment is growing at over 15 percent CAGR, driven by increasing smartphone penetration among the 55-plus demographic and a cultural shift toward proactive legacy planning. Despite this growth, no single consumer application has captured even one percent of this market. The space is fragmented between expensive attorney-led services, generic cloud storage, and niche journaling apps — none of which offer scheduled delivery, family networking, and emergency contact management in a single, emotionally intelligent experience.</w:t>
      </w:r>
    </w:p>
    <w:p>
      <w:pPr>
        <w:spacing w:after="120" w:before="80"/>
      </w:pPr>
      <w:r>
        <w:rPr>
          <w:rFonts w:ascii="Arial" w:cs="Arial" w:eastAsia="Arial" w:hAnsi="Arial"/>
          <w:color w:val="1A1A1A"/>
          <w:sz w:val="24"/>
          <w:szCs w:val="24"/>
        </w:rPr>
        <w:t xml:space="preserve">Solace Life is positioned to be the first brand that people think of when they think about preserving what matters most.</w:t>
      </w:r>
    </w:p>
    <w:p>
      <w:pPr>
        <w:spacing w:after="120" w:before="0"/>
      </w:pPr>
      <w:r>
        <w:t xml:space="preserve"/>
      </w:r>
    </w:p>
    <w:p>
      <w:pPr>
        <w:pStyle w:val="Heading1"/>
        <w:spacing w:after="120" w:before="360"/>
      </w:pPr>
      <w:r>
        <w:rPr>
          <w:rFonts w:ascii="Arial" w:cs="Arial" w:eastAsia="Arial" w:hAnsi="Arial"/>
          <w:b/>
          <w:bCs/>
          <w:color w:val="A0264A"/>
          <w:sz w:val="36"/>
          <w:szCs w:val="36"/>
        </w:rPr>
        <w:t xml:space="preserve">5. Business Model</w:t>
      </w:r>
    </w:p>
    <w:p>
      <w:pPr>
        <w:spacing w:after="120" w:before="80"/>
      </w:pPr>
      <w:r>
        <w:rPr>
          <w:rFonts w:ascii="Arial" w:cs="Arial" w:eastAsia="Arial" w:hAnsi="Arial"/>
          <w:color w:val="1A1A1A"/>
          <w:sz w:val="24"/>
          <w:szCs w:val="24"/>
        </w:rPr>
        <w:t xml:space="preserve">Solace Life operates on a freemium subscription model with two paid tiers. The free tier serves as the acquisition engine — it is generous enough to create real emotional attachment to the product, and intentionally limited to create a natural upgrade trigger.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Tier</w:t>
            </w:r>
          </w:p>
        </w:tc>
        <w:tc>
          <w:tcPr>
            <w:tcW w:type="dxa" w:w="180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Price</w:t>
            </w:r>
          </w:p>
        </w:tc>
        <w:tc>
          <w:tcPr>
            <w:tcW w:type="dxa" w:w="556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Features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Free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$0</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Core vault, up to 5 memories, emergency contact, 1 recipient</w:t>
            </w:r>
          </w:p>
        </w:tc>
      </w:tr>
      <w:tr>
        <w:tc>
          <w:tcPr>
            <w:tcW w:type="dxa" w:w="20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bCs/>
                <w:color w:val="1A1A1A"/>
                <w:sz w:val="22"/>
                <w:szCs w:val="22"/>
              </w:rPr>
              <w:t xml:space="preserve">Annual</w:t>
            </w:r>
          </w:p>
        </w:tc>
        <w:tc>
          <w:tcPr>
            <w:tcW w:type="dxa" w:w="18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$79/yr</w:t>
            </w:r>
          </w:p>
        </w:tc>
        <w:tc>
          <w:tcPr>
            <w:tcW w:type="dxa" w:w="556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Unlimited memories, unlimited recipients, scheduled delivery, occasion suggestions, priority support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Legacy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$199/yr</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Everything in Annual plus estate planning tools, professional services marketplace, priority vault backup, and concierge onboarding</w:t>
            </w:r>
          </w:p>
        </w:tc>
      </w:tr>
    </w:tbl>
    <w:p>
      <w:pPr>
        <w:spacing w:after="120" w:before="0"/>
      </w:pPr>
      <w:r>
        <w:t xml:space="preserve"/>
      </w:r>
    </w:p>
    <w:p>
      <w:pPr>
        <w:spacing w:after="120" w:before="80"/>
      </w:pPr>
      <w:r>
        <w:rPr>
          <w:rFonts w:ascii="Arial" w:cs="Arial" w:eastAsia="Arial" w:hAnsi="Arial"/>
          <w:color w:val="1A1A1A"/>
          <w:sz w:val="24"/>
          <w:szCs w:val="24"/>
        </w:rPr>
        <w:t xml:space="preserve">Conversion assumptions are based on comparable freemium wellness and legacy apps: 20 percent of users convert to a paid tier. Of those, we model a 60/40 split between Annual and Legacy, yielding a blended ARPU of approximately $111 per year. Lifetime value at a conservative 4-year retention rate is approximately $444, with a target CAC below $50 across organic and paid channels — a LTV:CAC ratio of over 8:1.</w:t>
      </w:r>
    </w:p>
    <w:p>
      <w:pPr>
        <w:spacing w:after="120" w:before="0"/>
      </w:pPr>
      <w:r>
        <w:t xml:space="preserve"/>
      </w:r>
    </w:p>
    <w:p>
      <w:pPr>
        <w:pStyle w:val="Heading2"/>
        <w:spacing w:after="80" w:before="240"/>
      </w:pPr>
      <w:r>
        <w:rPr>
          <w:rFonts w:ascii="Arial" w:cs="Arial" w:eastAsia="Arial" w:hAnsi="Arial"/>
          <w:b/>
          <w:bCs/>
          <w:color w:val="C0406A"/>
          <w:sz w:val="28"/>
          <w:szCs w:val="28"/>
        </w:rPr>
        <w:t xml:space="preserve">Revenue Projections</w:t>
      </w:r>
    </w:p>
    <w:tbl>
      <w:tblPr>
        <w:tblW w:type="dxa" w:w="9360"/>
        <w:tblBorders>
          <w:top w:val="single" w:color="auto" w:sz="4"/>
          <w:left w:val="single" w:color="auto" w:sz="4"/>
          <w:bottom w:val="single" w:color="auto" w:sz="4"/>
          <w:right w:val="single" w:color="auto" w:sz="4"/>
          <w:insideH w:val="single" w:color="DDDDDD" w:sz="1"/>
          <w:insideV w:val="single" w:color="DDDDDD" w:sz="1"/>
        </w:tblBorders>
        <w:tblCellMar>
          <w:top w:type="dxa" w:w="80"/>
          <w:bottom w:type="dxa" w:w="80"/>
        </w:tblCellMar>
      </w:tblPr>
      <w:tblGrid>
        <w:gridCol w:w="1500"/>
        <w:gridCol w:w="1500"/>
        <w:gridCol w:w="2000"/>
        <w:gridCol w:w="2000"/>
        <w:gridCol w:w="2360"/>
      </w:tblGrid>
      <w:tr>
        <w:trPr>
          <w:tblHeader/>
        </w:trPr>
        <w:tc>
          <w:tcPr>
            <w:tcW w:type="dxa" w:w="1500"/>
            <w:tcBorders>
              <w:top w:val="single" w:color="auto" w:sz="4"/>
              <w:left w:val="single" w:color="auto" w:sz="4"/>
              <w:bottom w:val="single" w:color="auto" w:sz="4"/>
              <w:right w:val="single" w:color="auto" w:sz="4"/>
            </w:tcBorders>
            <w:shd w:fill="3D1020" w:val="clear"/>
            <w:tcMar>
              <w:top w:type="dxa" w:w="100"/>
              <w:left w:type="dxa" w:w="140"/>
              <w:bottom w:type="dxa" w:w="100"/>
              <w:right w:type="dxa" w:w="140"/>
            </w:tcMar>
            <w:vAlign w:val="center"/>
          </w:tcPr>
          <w:p>
            <w:r>
              <w:rPr>
                <w:rFonts w:ascii="Arial" w:cs="Arial" w:eastAsia="Arial" w:hAnsi="Arial"/>
                <w:b/>
                <w:bCs/>
                <w:color w:val="FFFFFF"/>
                <w:sz w:val="22"/>
                <w:szCs w:val="22"/>
              </w:rPr>
              <w:t xml:space="preserve">Period</w:t>
            </w:r>
          </w:p>
        </w:tc>
        <w:tc>
          <w:tcPr>
            <w:tcW w:type="dxa" w:w="1500"/>
            <w:tcBorders>
              <w:top w:val="single" w:color="auto" w:sz="4"/>
              <w:left w:val="single" w:color="auto" w:sz="4"/>
              <w:bottom w:val="single" w:color="auto" w:sz="4"/>
              <w:right w:val="single" w:color="auto" w:sz="4"/>
            </w:tcBorders>
            <w:shd w:fill="3D1020" w:val="clear"/>
            <w:tcMar>
              <w:top w:type="dxa" w:w="100"/>
              <w:left w:type="dxa" w:w="140"/>
              <w:bottom w:type="dxa" w:w="100"/>
              <w:right w:type="dxa" w:w="140"/>
            </w:tcMar>
            <w:vAlign w:val="center"/>
          </w:tcPr>
          <w:p>
            <w:r>
              <w:rPr>
                <w:rFonts w:ascii="Arial" w:cs="Arial" w:eastAsia="Arial" w:hAnsi="Arial"/>
                <w:b/>
                <w:bCs/>
                <w:color w:val="FFFFFF"/>
                <w:sz w:val="22"/>
                <w:szCs w:val="22"/>
              </w:rPr>
              <w:t xml:space="preserve">Paying Users</w:t>
            </w:r>
          </w:p>
        </w:tc>
        <w:tc>
          <w:tcPr>
            <w:tcW w:type="dxa" w:w="2000"/>
            <w:tcBorders>
              <w:top w:val="single" w:color="auto" w:sz="4"/>
              <w:left w:val="single" w:color="auto" w:sz="4"/>
              <w:bottom w:val="single" w:color="auto" w:sz="4"/>
              <w:right w:val="single" w:color="auto" w:sz="4"/>
            </w:tcBorders>
            <w:shd w:fill="3D1020" w:val="clear"/>
            <w:tcMar>
              <w:top w:type="dxa" w:w="100"/>
              <w:left w:type="dxa" w:w="140"/>
              <w:bottom w:type="dxa" w:w="100"/>
              <w:right w:type="dxa" w:w="140"/>
            </w:tcMar>
            <w:vAlign w:val="center"/>
          </w:tcPr>
          <w:p>
            <w:r>
              <w:rPr>
                <w:rFonts w:ascii="Arial" w:cs="Arial" w:eastAsia="Arial" w:hAnsi="Arial"/>
                <w:b/>
                <w:bCs/>
                <w:color w:val="FFFFFF"/>
                <w:sz w:val="22"/>
                <w:szCs w:val="22"/>
              </w:rPr>
              <w:t xml:space="preserve">Subscription ARR</w:t>
            </w:r>
          </w:p>
        </w:tc>
        <w:tc>
          <w:tcPr>
            <w:tcW w:type="dxa" w:w="2000"/>
            <w:tcBorders>
              <w:top w:val="single" w:color="auto" w:sz="4"/>
              <w:left w:val="single" w:color="auto" w:sz="4"/>
              <w:bottom w:val="single" w:color="auto" w:sz="4"/>
              <w:right w:val="single" w:color="auto" w:sz="4"/>
            </w:tcBorders>
            <w:shd w:fill="3D1020" w:val="clear"/>
            <w:tcMar>
              <w:top w:type="dxa" w:w="100"/>
              <w:left w:type="dxa" w:w="140"/>
              <w:bottom w:type="dxa" w:w="100"/>
              <w:right w:type="dxa" w:w="140"/>
            </w:tcMar>
            <w:vAlign w:val="center"/>
          </w:tcPr>
          <w:p>
            <w:r>
              <w:rPr>
                <w:rFonts w:ascii="Arial" w:cs="Arial" w:eastAsia="Arial" w:hAnsi="Arial"/>
                <w:b/>
                <w:bCs/>
                <w:color w:val="FFFFFF"/>
                <w:sz w:val="22"/>
                <w:szCs w:val="22"/>
              </w:rPr>
              <w:t xml:space="preserve">Partner Revenue</w:t>
            </w:r>
          </w:p>
        </w:tc>
        <w:tc>
          <w:tcPr>
            <w:tcW w:type="dxa" w:w="2360"/>
            <w:tcBorders>
              <w:top w:val="single" w:color="auto" w:sz="4"/>
              <w:left w:val="single" w:color="auto" w:sz="4"/>
              <w:bottom w:val="single" w:color="auto" w:sz="4"/>
              <w:right w:val="single" w:color="auto" w:sz="4"/>
            </w:tcBorders>
            <w:shd w:fill="3D1020" w:val="clear"/>
            <w:tcMar>
              <w:top w:type="dxa" w:w="100"/>
              <w:left w:type="dxa" w:w="140"/>
              <w:bottom w:type="dxa" w:w="100"/>
              <w:right w:type="dxa" w:w="140"/>
            </w:tcMar>
            <w:vAlign w:val="center"/>
          </w:tcPr>
          <w:p>
            <w:r>
              <w:rPr>
                <w:rFonts w:ascii="Arial" w:cs="Arial" w:eastAsia="Arial" w:hAnsi="Arial"/>
                <w:b/>
                <w:bCs/>
                <w:color w:val="FFFFFF"/>
                <w:sz w:val="22"/>
                <w:szCs w:val="22"/>
              </w:rPr>
              <w:t xml:space="preserve">Combined Revenue</w:t>
            </w:r>
          </w:p>
        </w:tc>
      </w:tr>
      <w:tr>
        <w:tc>
          <w:tcPr>
            <w:tcW w:type="dxa" w:w="15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3D1020"/>
                <w:sz w:val="22"/>
                <w:szCs w:val="22"/>
              </w:rPr>
              <w:t xml:space="preserve">Year 1</w:t>
            </w:r>
          </w:p>
        </w:tc>
        <w:tc>
          <w:tcPr>
            <w:tcW w:type="dxa" w:w="15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~10,000</w:t>
            </w:r>
          </w:p>
        </w:tc>
        <w:tc>
          <w:tcPr>
            <w:tcW w:type="dxa" w:w="2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1A1A1A"/>
                <w:sz w:val="22"/>
                <w:szCs w:val="22"/>
              </w:rPr>
              <w:t xml:space="preserve">~$1.1M</w:t>
            </w:r>
          </w:p>
        </w:tc>
        <w:tc>
          <w:tcPr>
            <w:tcW w:type="dxa" w:w="2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C0406A"/>
                <w:sz w:val="22"/>
                <w:szCs w:val="22"/>
              </w:rPr>
              <w:t xml:space="preserve">~$270K</w:t>
            </w:r>
          </w:p>
        </w:tc>
        <w:tc>
          <w:tcPr>
            <w:tcW w:type="dxa" w:w="236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3D1020"/>
                <w:sz w:val="22"/>
                <w:szCs w:val="22"/>
              </w:rPr>
              <w:t xml:space="preserve">~$1.37M</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3D1020"/>
                <w:sz w:val="22"/>
                <w:szCs w:val="22"/>
              </w:rPr>
              <w:t xml:space="preserve">Year 2</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~30,000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~$3.3M</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C0406A"/>
                <w:sz w:val="22"/>
                <w:szCs w:val="22"/>
              </w:rPr>
              <w:t xml:space="preserve">~$1.17M</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3D1020"/>
                <w:sz w:val="22"/>
                <w:szCs w:val="22"/>
              </w:rPr>
              <w:t xml:space="preserve">~$4.47M</w:t>
            </w:r>
          </w:p>
        </w:tc>
      </w:tr>
      <w:tr>
        <w:tc>
          <w:tcPr>
            <w:tcW w:type="dxa" w:w="15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3D1020"/>
                <w:sz w:val="22"/>
                <w:szCs w:val="22"/>
              </w:rPr>
              <w:t xml:space="preserve">Year 3</w:t>
            </w:r>
          </w:p>
        </w:tc>
        <w:tc>
          <w:tcPr>
            <w:tcW w:type="dxa" w:w="15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~80,000</w:t>
            </w:r>
          </w:p>
        </w:tc>
        <w:tc>
          <w:tcPr>
            <w:tcW w:type="dxa" w:w="2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1A1A1A"/>
                <w:sz w:val="22"/>
                <w:szCs w:val="22"/>
              </w:rPr>
              <w:t xml:space="preserve">~$8.8M</w:t>
            </w:r>
          </w:p>
        </w:tc>
        <w:tc>
          <w:tcPr>
            <w:tcW w:type="dxa" w:w="2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C0406A"/>
                <w:sz w:val="22"/>
                <w:szCs w:val="22"/>
              </w:rPr>
              <w:t xml:space="preserve">~$3.8M</w:t>
            </w:r>
          </w:p>
        </w:tc>
        <w:tc>
          <w:tcPr>
            <w:tcW w:type="dxa" w:w="236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3D1020"/>
                <w:sz w:val="22"/>
                <w:szCs w:val="22"/>
              </w:rPr>
              <w:t xml:space="preserve">~$12.6M</w:t>
            </w:r>
          </w:p>
        </w:tc>
      </w:tr>
    </w:tbl>
    <w:p>
      <w:pPr>
        <w:spacing w:after="120" w:before="0"/>
      </w:pPr>
      <w:r>
        <w:t xml:space="preserve"/>
      </w:r>
    </w:p>
    <w:p>
      <w:pPr>
        <w:spacing w:after="120" w:before="80"/>
      </w:pPr>
      <w:r>
        <w:rPr>
          <w:rFonts w:ascii="Arial" w:cs="Arial" w:eastAsia="Arial" w:hAnsi="Arial"/>
          <w:color w:val="1A1A1A"/>
          <w:sz w:val="24"/>
          <w:szCs w:val="24"/>
        </w:rPr>
        <w:t xml:space="preserve">Gross margins on the subscription business are expected to exceed 90 percent. Infrastructure costs (Supabase, Resend, Stripe fees) scale linearly and remain a small fraction of revenue. The largest unit cost at scale is video storage, which is mitigated by compression and tiered retention policies.</w:t>
      </w:r>
    </w:p>
    <w:p>
      <w:pPr>
        <w:pStyle w:val="Heading2"/>
        <w:spacing w:after="80" w:before="240"/>
      </w:pPr>
      <w:r>
        <w:rPr>
          <w:rFonts w:ascii="Arial" w:cs="Arial" w:eastAsia="Arial" w:hAnsi="Arial"/>
          <w:b/>
          <w:bCs/>
          <w:color w:val="C0406A"/>
          <w:sz w:val="28"/>
          <w:szCs w:val="28"/>
        </w:rPr>
        <w:t xml:space="preserve">Phase 3 B2B Upside</w:t>
      </w:r>
    </w:p>
    <w:p>
      <w:pPr>
        <w:spacing w:after="120" w:before="80"/>
      </w:pPr>
      <w:r>
        <w:rPr>
          <w:rFonts w:ascii="Arial" w:cs="Arial" w:eastAsia="Arial" w:hAnsi="Arial"/>
          <w:color w:val="1A1A1A"/>
          <w:sz w:val="24"/>
          <w:szCs w:val="24"/>
        </w:rPr>
        <w:t xml:space="preserve">Beginning in Month 10, Solace Life will pursue B2B distribution partnerships. Funeral home chains, estate attorney networks, hospice organizations, and HR benefit programs represent a distribution channel with near-zero CAC and high conversion. An HR benefit offering — where employers provide Solace Life as a workplace wellness benefit — could add tens of thousands of users per enterprise deal. This channel is not modeled in base-case projections and represents meaningful upside.</w:t>
      </w:r>
    </w:p>
    <w:p>
      <w:pPr>
        <w:spacing w:after="120" w:before="0"/>
      </w:pPr>
      <w:r>
        <w:t xml:space="preserve"/>
      </w:r>
    </w:p>
    <w:p>
      <w:pPr>
        <w:spacing w:after="120" w:before="240"/>
      </w:pPr>
      <w:r>
        <w:rPr>
          <w:rFonts w:ascii="Arial" w:cs="Arial" w:eastAsia="Arial" w:hAnsi="Arial"/>
          <w:b/>
          <w:bCs/>
          <w:color w:val="C0406A"/>
          <w:sz w:val="28"/>
          <w:szCs w:val="28"/>
        </w:rPr>
        <w:t xml:space="preserve">Partner Referral Revenue — The Second Income Stream</w:t>
      </w:r>
    </w:p>
    <w:p>
      <w:pPr>
        <w:spacing w:after="120" w:before="80"/>
      </w:pPr>
      <w:r>
        <w:rPr>
          <w:rFonts w:ascii="Arial" w:cs="Arial" w:eastAsia="Arial" w:hAnsi="Arial"/>
          <w:color w:val="1A1A1A"/>
          <w:sz w:val="24"/>
          <w:szCs w:val="24"/>
        </w:rPr>
        <w:t xml:space="preserve">In parallel with subscription revenue, Solace Life operates a structured partner referral program that converts the platform’s uniquely positioned user base into a scalable, high-margin revenue stream. Solace Life users are warm, self-identified leads for five professional service categories: estate and wills lawyers, financial planners, realtors, senior living communities, and tax professionals. These are the same professionals families need most when they begin confronting questions of legacy, estate, and transition — and Solace Life users are actively engaged with those questions.</w:t>
      </w:r>
    </w:p>
    <w:p>
      <w:pPr>
        <w:spacing w:after="120" w:before="80"/>
      </w:pPr>
      <w:r>
        <w:rPr>
          <w:rFonts w:ascii="Arial" w:cs="Arial" w:eastAsia="Arial" w:hAnsi="Arial"/>
          <w:color w:val="1A1A1A"/>
          <w:sz w:val="24"/>
          <w:szCs w:val="24"/>
        </w:rPr>
        <w:t xml:space="preserve">The referral model operates on a percentage-of-first-engagement fee with a $300 minimum floor. Solace Life earns a share of the partner’s first engagement revenue when a referred user retains them. The realtor vertical is the primary driver of outperformance: a single home sale generates $3,500 for Solace Life vs. a flat $800 under any fixed-fee alternative. As Solace Life scales into major markets — Toronto, Vancouver, Calgary — this gap widens further.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DDDDDD" w:sz="1"/>
          <w:insideV w:val="single" w:color="DDDDDD" w:sz="1"/>
        </w:tblBorders>
        <w:tblCellMar>
          <w:top w:type="dxa" w:w="80"/>
          <w:bottom w:type="dxa" w:w="80"/>
        </w:tblCellMar>
      </w:tblPr>
      <w:tblGrid>
        <w:gridCol w:w="2000"/>
        <w:gridCol w:w="1000"/>
        <w:gridCol w:w="2200"/>
        <w:gridCol w:w="2000"/>
        <w:gridCol w:w="2160"/>
      </w:tblGrid>
      <w:tr>
        <w:trPr>
          <w:tblHeader/>
        </w:trPr>
        <w:tc>
          <w:tcPr>
            <w:tcW w:type="dxa" w:w="2000"/>
            <w:tcBorders>
              <w:top w:val="single" w:color="auto" w:sz="4"/>
              <w:left w:val="single" w:color="auto" w:sz="4"/>
              <w:bottom w:val="single" w:color="auto" w:sz="4"/>
              <w:right w:val="single" w:color="auto" w:sz="4"/>
            </w:tcBorders>
            <w:shd w:fill="3D1020" w:val="clear"/>
            <w:tcMar>
              <w:top w:type="dxa" w:w="100"/>
              <w:left w:type="dxa" w:w="140"/>
              <w:bottom w:type="dxa" w:w="100"/>
              <w:right w:type="dxa" w:w="140"/>
            </w:tcMar>
            <w:vAlign w:val="center"/>
          </w:tcPr>
          <w:p>
            <w:r>
              <w:rPr>
                <w:rFonts w:ascii="Arial" w:cs="Arial" w:eastAsia="Arial" w:hAnsi="Arial"/>
                <w:b/>
                <w:bCs/>
                <w:color w:val="FFFFFF"/>
                <w:sz w:val="22"/>
                <w:szCs w:val="22"/>
              </w:rPr>
              <w:t xml:space="preserve">Partner Type</w:t>
            </w:r>
          </w:p>
        </w:tc>
        <w:tc>
          <w:tcPr>
            <w:tcW w:type="dxa" w:w="1000"/>
            <w:tcBorders>
              <w:top w:val="single" w:color="auto" w:sz="4"/>
              <w:left w:val="single" w:color="auto" w:sz="4"/>
              <w:bottom w:val="single" w:color="auto" w:sz="4"/>
              <w:right w:val="single" w:color="auto" w:sz="4"/>
            </w:tcBorders>
            <w:shd w:fill="3D1020" w:val="clear"/>
            <w:tcMar>
              <w:top w:type="dxa" w:w="100"/>
              <w:left w:type="dxa" w:w="140"/>
              <w:bottom w:type="dxa" w:w="100"/>
              <w:right w:type="dxa" w:w="140"/>
            </w:tcMar>
            <w:vAlign w:val="center"/>
          </w:tcPr>
          <w:p>
            <w:r>
              <w:rPr>
                <w:rFonts w:ascii="Arial" w:cs="Arial" w:eastAsia="Arial" w:hAnsi="Arial"/>
                <w:b/>
                <w:bCs/>
                <w:color w:val="FFFFFF"/>
                <w:sz w:val="22"/>
                <w:szCs w:val="22"/>
              </w:rPr>
              <w:t xml:space="preserve">Solace Fee</w:t>
            </w:r>
          </w:p>
        </w:tc>
        <w:tc>
          <w:tcPr>
            <w:tcW w:type="dxa" w:w="2200"/>
            <w:tcBorders>
              <w:top w:val="single" w:color="auto" w:sz="4"/>
              <w:left w:val="single" w:color="auto" w:sz="4"/>
              <w:bottom w:val="single" w:color="auto" w:sz="4"/>
              <w:right w:val="single" w:color="auto" w:sz="4"/>
            </w:tcBorders>
            <w:shd w:fill="3D1020" w:val="clear"/>
            <w:tcMar>
              <w:top w:type="dxa" w:w="100"/>
              <w:left w:type="dxa" w:w="140"/>
              <w:bottom w:type="dxa" w:w="100"/>
              <w:right w:type="dxa" w:w="140"/>
            </w:tcMar>
            <w:vAlign w:val="center"/>
          </w:tcPr>
          <w:p>
            <w:r>
              <w:rPr>
                <w:rFonts w:ascii="Arial" w:cs="Arial" w:eastAsia="Arial" w:hAnsi="Arial"/>
                <w:b/>
                <w:bCs/>
                <w:color w:val="FFFFFF"/>
                <w:sz w:val="22"/>
                <w:szCs w:val="22"/>
              </w:rPr>
              <w:t xml:space="preserve">Avg First Engagement</w:t>
            </w:r>
          </w:p>
        </w:tc>
        <w:tc>
          <w:tcPr>
            <w:tcW w:type="dxa" w:w="2000"/>
            <w:tcBorders>
              <w:top w:val="single" w:color="auto" w:sz="4"/>
              <w:left w:val="single" w:color="auto" w:sz="4"/>
              <w:bottom w:val="single" w:color="auto" w:sz="4"/>
              <w:right w:val="single" w:color="auto" w:sz="4"/>
            </w:tcBorders>
            <w:shd w:fill="3D1020" w:val="clear"/>
            <w:tcMar>
              <w:top w:type="dxa" w:w="100"/>
              <w:left w:type="dxa" w:w="140"/>
              <w:bottom w:type="dxa" w:w="100"/>
              <w:right w:type="dxa" w:w="140"/>
            </w:tcMar>
            <w:vAlign w:val="center"/>
          </w:tcPr>
          <w:p>
            <w:r>
              <w:rPr>
                <w:rFonts w:ascii="Arial" w:cs="Arial" w:eastAsia="Arial" w:hAnsi="Arial"/>
                <w:b/>
                <w:bCs/>
                <w:color w:val="FFFFFF"/>
                <w:sz w:val="22"/>
                <w:szCs w:val="22"/>
              </w:rPr>
              <w:t xml:space="preserve">Avg Earn Per Close</w:t>
            </w:r>
          </w:p>
        </w:tc>
        <w:tc>
          <w:tcPr>
            <w:tcW w:type="dxa" w:w="2160"/>
            <w:tcBorders>
              <w:top w:val="single" w:color="auto" w:sz="4"/>
              <w:left w:val="single" w:color="auto" w:sz="4"/>
              <w:bottom w:val="single" w:color="auto" w:sz="4"/>
              <w:right w:val="single" w:color="auto" w:sz="4"/>
            </w:tcBorders>
            <w:shd w:fill="3D1020" w:val="clear"/>
            <w:tcMar>
              <w:top w:type="dxa" w:w="100"/>
              <w:left w:type="dxa" w:w="140"/>
              <w:bottom w:type="dxa" w:w="100"/>
              <w:right w:type="dxa" w:w="140"/>
            </w:tcMar>
            <w:vAlign w:val="center"/>
          </w:tcPr>
          <w:p>
            <w:r>
              <w:rPr>
                <w:rFonts w:ascii="Arial" w:cs="Arial" w:eastAsia="Arial" w:hAnsi="Arial"/>
                <w:b/>
                <w:bCs/>
                <w:color w:val="FFFFFF"/>
                <w:sz w:val="22"/>
                <w:szCs w:val="22"/>
              </w:rPr>
              <w:t xml:space="preserve">Year 2 Revenue Est.</w:t>
            </w:r>
          </w:p>
        </w:tc>
      </w:tr>
      <w:tr>
        <w:tc>
          <w:tcPr>
            <w:tcW w:type="dxa" w:w="2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1A1A1A"/>
                <w:sz w:val="22"/>
                <w:szCs w:val="22"/>
              </w:rPr>
              <w:t xml:space="preserve">Estate &amp; Wills Lawyer</w:t>
            </w:r>
          </w:p>
        </w:tc>
        <w:tc>
          <w:tcPr>
            <w:tcW w:type="dxa" w:w="1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C0406A"/>
                <w:sz w:val="22"/>
                <w:szCs w:val="22"/>
              </w:rPr>
              <w:t xml:space="preserve">15%</w:t>
            </w:r>
          </w:p>
        </w:tc>
        <w:tc>
          <w:tcPr>
            <w:tcW w:type="dxa" w:w="22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$3,000</w:t>
            </w:r>
          </w:p>
        </w:tc>
        <w:tc>
          <w:tcPr>
            <w:tcW w:type="dxa" w:w="2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1A1A1A"/>
                <w:sz w:val="22"/>
                <w:szCs w:val="22"/>
              </w:rPr>
              <w:t xml:space="preserve">$450</w:t>
            </w:r>
          </w:p>
        </w:tc>
        <w:tc>
          <w:tcPr>
            <w:tcW w:type="dxa" w:w="216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3D1020"/>
                <w:sz w:val="22"/>
                <w:szCs w:val="22"/>
              </w:rPr>
              <w:t xml:space="preserve">~$88K</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Financial Planner</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C0406A"/>
                <w:sz w:val="22"/>
                <w:szCs w:val="22"/>
              </w:rPr>
              <w:t xml:space="preserve">12%</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$3,500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$420</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3D1020"/>
                <w:sz w:val="22"/>
                <w:szCs w:val="22"/>
              </w:rPr>
              <w:t xml:space="preserve">~$82K</w:t>
            </w:r>
          </w:p>
        </w:tc>
      </w:tr>
      <w:tr>
        <w:tc>
          <w:tcPr>
            <w:tcW w:type="dxa" w:w="2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1A1A1A"/>
                <w:sz w:val="22"/>
                <w:szCs w:val="22"/>
              </w:rPr>
              <w:t xml:space="preserve">Realtor</w:t>
            </w:r>
          </w:p>
        </w:tc>
        <w:tc>
          <w:tcPr>
            <w:tcW w:type="dxa" w:w="1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C0406A"/>
                <w:sz w:val="22"/>
                <w:szCs w:val="22"/>
              </w:rPr>
              <w:t xml:space="preserve">20%</w:t>
            </w:r>
          </w:p>
        </w:tc>
        <w:tc>
          <w:tcPr>
            <w:tcW w:type="dxa" w:w="22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$17,500 gross commission</w:t>
            </w:r>
          </w:p>
        </w:tc>
        <w:tc>
          <w:tcPr>
            <w:tcW w:type="dxa" w:w="2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1A1A1A"/>
                <w:sz w:val="22"/>
                <w:szCs w:val="22"/>
              </w:rPr>
              <w:t xml:space="preserve">$3,500</w:t>
            </w:r>
          </w:p>
        </w:tc>
        <w:tc>
          <w:tcPr>
            <w:tcW w:type="dxa" w:w="216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3D1020"/>
                <w:sz w:val="22"/>
                <w:szCs w:val="22"/>
              </w:rPr>
              <w:t xml:space="preserve">~$894K</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Senior Living</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C0406A"/>
                <w:sz w:val="22"/>
                <w:szCs w:val="22"/>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$4,500 (first month)</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$675</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3D1020"/>
                <w:sz w:val="22"/>
                <w:szCs w:val="22"/>
              </w:rPr>
              <w:t xml:space="preserve">~$47K</w:t>
            </w:r>
          </w:p>
        </w:tc>
      </w:tr>
      <w:tr>
        <w:tc>
          <w:tcPr>
            <w:tcW w:type="dxa" w:w="2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1A1A1A"/>
                <w:sz w:val="22"/>
                <w:szCs w:val="22"/>
              </w:rPr>
              <w:t xml:space="preserve">CPA / Tax</w:t>
            </w:r>
          </w:p>
        </w:tc>
        <w:tc>
          <w:tcPr>
            <w:tcW w:type="dxa" w:w="1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C0406A"/>
                <w:sz w:val="22"/>
                <w:szCs w:val="22"/>
              </w:rPr>
              <w:t xml:space="preserve">15%</w:t>
            </w:r>
          </w:p>
        </w:tc>
        <w:tc>
          <w:tcPr>
            <w:tcW w:type="dxa" w:w="22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$1,500</w:t>
            </w:r>
          </w:p>
        </w:tc>
        <w:tc>
          <w:tcPr>
            <w:tcW w:type="dxa" w:w="2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1A1A1A"/>
                <w:sz w:val="22"/>
                <w:szCs w:val="22"/>
              </w:rPr>
              <w:t xml:space="preserve">$225</w:t>
            </w:r>
          </w:p>
        </w:tc>
        <w:tc>
          <w:tcPr>
            <w:tcW w:type="dxa" w:w="216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3D1020"/>
                <w:sz w:val="22"/>
                <w:szCs w:val="22"/>
              </w:rPr>
              <w:t xml:space="preserve">~$53K</w:t>
            </w:r>
          </w:p>
        </w:tc>
      </w:tr>
    </w:tbl>
    <w:p>
      <w:pPr>
        <w:spacing w:after="120" w:before="0"/>
      </w:pPr>
      <w:r>
        <w:t xml:space="preserve"/>
      </w:r>
    </w:p>
    <w:p>
      <w:pPr>
        <w:spacing w:after="120" w:before="80"/>
      </w:pPr>
      <w:r>
        <w:rPr>
          <w:rFonts w:ascii="Arial" w:cs="Arial" w:eastAsia="Arial" w:hAnsi="Arial"/>
          <w:color w:val="1A1A1A"/>
          <w:sz w:val="24"/>
          <w:szCs w:val="24"/>
        </w:rPr>
        <w:t xml:space="preserve">* Based on Canadian average home price of $700,000 × 2.5% realtor commission = $17,500 gross commission. Minimum $300 floor applies per referral regardless of deal size.</w:t>
      </w:r>
    </w:p>
    <w:p>
      <w:pPr>
        <w:spacing w:after="120" w:before="80"/>
      </w:pPr>
      <w:r>
        <w:rPr>
          <w:rFonts w:ascii="Arial" w:cs="Arial" w:eastAsia="Arial" w:hAnsi="Arial"/>
          <w:color w:val="1A1A1A"/>
          <w:sz w:val="24"/>
          <w:szCs w:val="24"/>
        </w:rPr>
        <w:t xml:space="preserve">Partner revenue grows proportionally with the user base. At 25% of paid users generating at least one professional service inquiry per year, and close rates improving from 30% to 40% as the partner scoring system matures, projected partner revenue reaches $1.17M in Year 2 and approximately $3.8M in Year 3.</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DDDDDD" w:sz="1"/>
          <w:insideV w:val="single" w:color="DDDDDD" w:sz="1"/>
        </w:tblBorders>
        <w:tblCellMar>
          <w:top w:type="dxa" w:w="80"/>
          <w:bottom w:type="dxa" w:w="80"/>
        </w:tblCellMar>
      </w:tblPr>
      <w:tblGrid>
        <w:gridCol w:w="1500"/>
        <w:gridCol w:w="1500"/>
        <w:gridCol w:w="2000"/>
        <w:gridCol w:w="2000"/>
        <w:gridCol w:w="2360"/>
      </w:tblGrid>
      <w:tr>
        <w:trPr>
          <w:tblHeader/>
        </w:trPr>
        <w:tc>
          <w:tcPr>
            <w:tcW w:type="dxa" w:w="1500"/>
            <w:tcBorders>
              <w:top w:val="single" w:color="auto" w:sz="4"/>
              <w:left w:val="single" w:color="auto" w:sz="4"/>
              <w:bottom w:val="single" w:color="auto" w:sz="4"/>
              <w:right w:val="single" w:color="auto" w:sz="4"/>
            </w:tcBorders>
            <w:shd w:fill="3D1020" w:val="clear"/>
            <w:tcMar>
              <w:top w:type="dxa" w:w="100"/>
              <w:left w:type="dxa" w:w="140"/>
              <w:bottom w:type="dxa" w:w="100"/>
              <w:right w:type="dxa" w:w="140"/>
            </w:tcMar>
            <w:vAlign w:val="center"/>
          </w:tcPr>
          <w:p>
            <w:r>
              <w:rPr>
                <w:rFonts w:ascii="Arial" w:cs="Arial" w:eastAsia="Arial" w:hAnsi="Arial"/>
                <w:b/>
                <w:bCs/>
                <w:color w:val="FFFFFF"/>
                <w:sz w:val="22"/>
                <w:szCs w:val="22"/>
              </w:rPr>
              <w:t xml:space="preserve">Period</w:t>
            </w:r>
          </w:p>
        </w:tc>
        <w:tc>
          <w:tcPr>
            <w:tcW w:type="dxa" w:w="1500"/>
            <w:tcBorders>
              <w:top w:val="single" w:color="auto" w:sz="4"/>
              <w:left w:val="single" w:color="auto" w:sz="4"/>
              <w:bottom w:val="single" w:color="auto" w:sz="4"/>
              <w:right w:val="single" w:color="auto" w:sz="4"/>
            </w:tcBorders>
            <w:shd w:fill="3D1020" w:val="clear"/>
            <w:tcMar>
              <w:top w:type="dxa" w:w="100"/>
              <w:left w:type="dxa" w:w="140"/>
              <w:bottom w:type="dxa" w:w="100"/>
              <w:right w:type="dxa" w:w="140"/>
            </w:tcMar>
            <w:vAlign w:val="center"/>
          </w:tcPr>
          <w:p>
            <w:r>
              <w:rPr>
                <w:rFonts w:ascii="Arial" w:cs="Arial" w:eastAsia="Arial" w:hAnsi="Arial"/>
                <w:b/>
                <w:bCs/>
                <w:color w:val="FFFFFF"/>
                <w:sz w:val="22"/>
                <w:szCs w:val="22"/>
              </w:rPr>
              <w:t xml:space="preserve">Paid Users</w:t>
            </w:r>
          </w:p>
        </w:tc>
        <w:tc>
          <w:tcPr>
            <w:tcW w:type="dxa" w:w="2000"/>
            <w:tcBorders>
              <w:top w:val="single" w:color="auto" w:sz="4"/>
              <w:left w:val="single" w:color="auto" w:sz="4"/>
              <w:bottom w:val="single" w:color="auto" w:sz="4"/>
              <w:right w:val="single" w:color="auto" w:sz="4"/>
            </w:tcBorders>
            <w:shd w:fill="3D1020" w:val="clear"/>
            <w:tcMar>
              <w:top w:type="dxa" w:w="100"/>
              <w:left w:type="dxa" w:w="140"/>
              <w:bottom w:type="dxa" w:w="100"/>
              <w:right w:type="dxa" w:w="140"/>
            </w:tcMar>
            <w:vAlign w:val="center"/>
          </w:tcPr>
          <w:p>
            <w:r>
              <w:rPr>
                <w:rFonts w:ascii="Arial" w:cs="Arial" w:eastAsia="Arial" w:hAnsi="Arial"/>
                <w:b/>
                <w:bCs/>
                <w:color w:val="FFFFFF"/>
                <w:sz w:val="22"/>
                <w:szCs w:val="22"/>
              </w:rPr>
              <w:t xml:space="preserve">Referral Leads</w:t>
            </w:r>
          </w:p>
        </w:tc>
        <w:tc>
          <w:tcPr>
            <w:tcW w:type="dxa" w:w="2000"/>
            <w:tcBorders>
              <w:top w:val="single" w:color="auto" w:sz="4"/>
              <w:left w:val="single" w:color="auto" w:sz="4"/>
              <w:bottom w:val="single" w:color="auto" w:sz="4"/>
              <w:right w:val="single" w:color="auto" w:sz="4"/>
            </w:tcBorders>
            <w:shd w:fill="3D1020" w:val="clear"/>
            <w:tcMar>
              <w:top w:type="dxa" w:w="100"/>
              <w:left w:type="dxa" w:w="140"/>
              <w:bottom w:type="dxa" w:w="100"/>
              <w:right w:type="dxa" w:w="140"/>
            </w:tcMar>
            <w:vAlign w:val="center"/>
          </w:tcPr>
          <w:p>
            <w:r>
              <w:rPr>
                <w:rFonts w:ascii="Arial" w:cs="Arial" w:eastAsia="Arial" w:hAnsi="Arial"/>
                <w:b/>
                <w:bCs/>
                <w:color w:val="FFFFFF"/>
                <w:sz w:val="22"/>
                <w:szCs w:val="22"/>
              </w:rPr>
              <w:t xml:space="preserve">Closed Referrals</w:t>
            </w:r>
          </w:p>
        </w:tc>
        <w:tc>
          <w:tcPr>
            <w:tcW w:type="dxa" w:w="2360"/>
            <w:tcBorders>
              <w:top w:val="single" w:color="auto" w:sz="4"/>
              <w:left w:val="single" w:color="auto" w:sz="4"/>
              <w:bottom w:val="single" w:color="auto" w:sz="4"/>
              <w:right w:val="single" w:color="auto" w:sz="4"/>
            </w:tcBorders>
            <w:shd w:fill="3D1020" w:val="clear"/>
            <w:tcMar>
              <w:top w:type="dxa" w:w="100"/>
              <w:left w:type="dxa" w:w="140"/>
              <w:bottom w:type="dxa" w:w="100"/>
              <w:right w:type="dxa" w:w="140"/>
            </w:tcMar>
            <w:vAlign w:val="center"/>
          </w:tcPr>
          <w:p>
            <w:r>
              <w:rPr>
                <w:rFonts w:ascii="Arial" w:cs="Arial" w:eastAsia="Arial" w:hAnsi="Arial"/>
                <w:b/>
                <w:bCs/>
                <w:color w:val="FFFFFF"/>
                <w:sz w:val="22"/>
                <w:szCs w:val="22"/>
              </w:rPr>
              <w:t xml:space="preserve">Partner Revenue</w:t>
            </w:r>
          </w:p>
        </w:tc>
      </w:tr>
      <w:tr>
        <w:tc>
          <w:tcPr>
            <w:tcW w:type="dxa" w:w="15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3D1020"/>
                <w:sz w:val="22"/>
                <w:szCs w:val="22"/>
              </w:rPr>
              <w:t xml:space="preserve">Month 6</w:t>
            </w:r>
          </w:p>
        </w:tc>
        <w:tc>
          <w:tcPr>
            <w:tcW w:type="dxa" w:w="15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~800</w:t>
            </w:r>
          </w:p>
        </w:tc>
        <w:tc>
          <w:tcPr>
            <w:tcW w:type="dxa" w:w="2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~100</w:t>
            </w:r>
          </w:p>
        </w:tc>
        <w:tc>
          <w:tcPr>
            <w:tcW w:type="dxa" w:w="2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~40</w:t>
            </w:r>
          </w:p>
        </w:tc>
        <w:tc>
          <w:tcPr>
            <w:tcW w:type="dxa" w:w="236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C0406A"/>
                <w:sz w:val="22"/>
                <w:szCs w:val="22"/>
              </w:rPr>
              <w:t xml:space="preserve">~$44K</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3D1020"/>
                <w:sz w:val="22"/>
                <w:szCs w:val="22"/>
              </w:rPr>
              <w:t xml:space="preserve">Year 1</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~2,500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~625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~215</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C0406A"/>
                <w:sz w:val="22"/>
                <w:szCs w:val="22"/>
              </w:rPr>
              <w:t xml:space="preserve">~$270K</w:t>
            </w:r>
          </w:p>
        </w:tc>
      </w:tr>
      <w:tr>
        <w:tc>
          <w:tcPr>
            <w:tcW w:type="dxa" w:w="15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3D1020"/>
                <w:sz w:val="22"/>
                <w:szCs w:val="22"/>
              </w:rPr>
              <w:t xml:space="preserve">Year 2</w:t>
            </w:r>
          </w:p>
        </w:tc>
        <w:tc>
          <w:tcPr>
            <w:tcW w:type="dxa" w:w="15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~9,500</w:t>
            </w:r>
          </w:p>
        </w:tc>
        <w:tc>
          <w:tcPr>
            <w:tcW w:type="dxa" w:w="2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~2,375</w:t>
            </w:r>
          </w:p>
        </w:tc>
        <w:tc>
          <w:tcPr>
            <w:tcW w:type="dxa" w:w="200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~933</w:t>
            </w:r>
          </w:p>
        </w:tc>
        <w:tc>
          <w:tcPr>
            <w:tcW w:type="dxa" w:w="2360"/>
            <w:tcBorders>
              <w:top w:val="single" w:color="DDDDDD" w:sz="1"/>
              <w:left w:val="single" w:color="DDDDDD" w:sz="1"/>
              <w:bottom w:val="single" w:color="DDDDDD" w:sz="1"/>
              <w:right w:val="single" w:color="DDDDDD" w:sz="1"/>
            </w:tcBorders>
            <w:shd w:fill="F9F3F5" w:val="clear"/>
            <w:tcMar>
              <w:top w:type="dxa" w:w="100"/>
              <w:left w:type="dxa" w:w="140"/>
              <w:bottom w:type="dxa" w:w="100"/>
              <w:right w:type="dxa" w:w="140"/>
            </w:tcMar>
            <w:vAlign w:val="center"/>
          </w:tcPr>
          <w:p>
            <w:r>
              <w:rPr>
                <w:rFonts w:ascii="Arial" w:cs="Arial" w:eastAsia="Arial" w:hAnsi="Arial"/>
                <w:b/>
                <w:bCs/>
                <w:color w:val="C0406A"/>
                <w:sz w:val="22"/>
                <w:szCs w:val="22"/>
              </w:rPr>
              <w:t xml:space="preserve">~$1.17M</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3D1020"/>
                <w:sz w:val="22"/>
                <w:szCs w:val="22"/>
              </w:rPr>
              <w:t xml:space="preserve">Year 3</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~30,000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~7,500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~3,000</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C0406A"/>
                <w:sz w:val="22"/>
                <w:szCs w:val="22"/>
              </w:rPr>
              <w:t xml:space="preserve">~$3.8M</w:t>
            </w:r>
          </w:p>
        </w:tc>
      </w:tr>
    </w:tbl>
    <w:p>
      <w:pPr>
        <w:spacing w:after="120" w:before="0"/>
      </w:pPr>
      <w:r>
        <w:t xml:space="preserve"/>
      </w:r>
    </w:p>
    <w:p>
      <w:pPr>
        <w:spacing w:after="120" w:before="80"/>
      </w:pPr>
      <w:r>
        <w:rPr>
          <w:rFonts w:ascii="Arial" w:cs="Arial" w:eastAsia="Arial" w:hAnsi="Arial"/>
          <w:color w:val="1A1A1A"/>
          <w:sz w:val="24"/>
          <w:szCs w:val="24"/>
        </w:rPr>
        <w:t xml:space="preserve">The partner program is operationally low-cost: no direct sales force, no inventory, and near-zero marginal cost per referral routed. The partner scoring system (weighted across transaction completion, user satisfaction, response time, and recommendation rate) ensures leads are automatically routed to the highest-performing partners — improving user experience and Solace Life revenue simultaneously. At full maturity, partner referral revenue is projected to represent 30% of total platform revenue, making Solace Life a dual-engine business with both subscription and marketplace income.</w:t>
      </w:r>
    </w:p>
    <w:p>
      <w:pPr>
        <w:spacing w:after="120" w:before="0"/>
      </w:pPr>
      <w:r>
        <w:t xml:space="preserve"/>
      </w:r>
    </w:p>
    <w:p>
      <w:r>
        <w:br w:type="page"/>
      </w:r>
    </w:p>
    <w:p>
      <w:pPr>
        <w:pStyle w:val="Heading1"/>
        <w:spacing w:after="120" w:before="360"/>
      </w:pPr>
      <w:r>
        <w:rPr>
          <w:rFonts w:ascii="Arial" w:cs="Arial" w:eastAsia="Arial" w:hAnsi="Arial"/>
          <w:b/>
          <w:bCs/>
          <w:color w:val="A0264A"/>
          <w:sz w:val="36"/>
          <w:szCs w:val="36"/>
        </w:rPr>
        <w:t xml:space="preserve">6. Traction &amp; Product</w:t>
      </w:r>
    </w:p>
    <w:p>
      <w:pPr>
        <w:spacing w:after="120" w:before="80"/>
      </w:pPr>
      <w:r>
        <w:rPr>
          <w:rFonts w:ascii="Arial" w:cs="Arial" w:eastAsia="Arial" w:hAnsi="Arial"/>
          <w:color w:val="1A1A1A"/>
          <w:sz w:val="24"/>
          <w:szCs w:val="24"/>
        </w:rPr>
        <w:t xml:space="preserve">Solace Life has been built from the ground up with production-grade architecture and is ready for user acquisition. The following capabilities are live today:</w:t>
      </w:r>
    </w:p>
    <w:p>
      <w:pPr>
        <w:pStyle w:val="ListParagraph"/>
        <w:numPr>
          <w:ilvl w:val="0"/>
          <w:numId w:val="2"/>
        </w:numPr>
        <w:spacing w:after="40" w:before="40"/>
      </w:pPr>
      <w:r>
        <w:rPr>
          <w:rFonts w:ascii="Arial" w:cs="Arial" w:eastAsia="Arial" w:hAnsi="Arial"/>
          <w:color w:val="1A1A1A"/>
          <w:sz w:val="24"/>
          <w:szCs w:val="24"/>
        </w:rPr>
        <w:t xml:space="preserve">Full React Native mobile application (Expo) for iOS and Android</w:t>
      </w:r>
    </w:p>
    <w:p>
      <w:pPr>
        <w:pStyle w:val="ListParagraph"/>
        <w:numPr>
          <w:ilvl w:val="0"/>
          <w:numId w:val="2"/>
        </w:numPr>
        <w:spacing w:after="40" w:before="40"/>
      </w:pPr>
      <w:r>
        <w:rPr>
          <w:rFonts w:ascii="Arial" w:cs="Arial" w:eastAsia="Arial" w:hAnsi="Arial"/>
          <w:color w:val="1A1A1A"/>
          <w:sz w:val="24"/>
          <w:szCs w:val="24"/>
        </w:rPr>
        <w:t xml:space="preserve">Supabase backend with AES-256 encryption and row-level security</w:t>
      </w:r>
    </w:p>
    <w:p>
      <w:pPr>
        <w:pStyle w:val="ListParagraph"/>
        <w:numPr>
          <w:ilvl w:val="0"/>
          <w:numId w:val="2"/>
        </w:numPr>
        <w:spacing w:after="40" w:before="40"/>
      </w:pPr>
      <w:r>
        <w:rPr>
          <w:rFonts w:ascii="Arial" w:cs="Arial" w:eastAsia="Arial" w:hAnsi="Arial"/>
          <w:color w:val="1A1A1A"/>
          <w:sz w:val="24"/>
          <w:szCs w:val="24"/>
        </w:rPr>
        <w:t xml:space="preserve">Scheduled delivery engine — messages delivered on any future date, including after passing</w:t>
      </w:r>
    </w:p>
    <w:p>
      <w:pPr>
        <w:pStyle w:val="ListParagraph"/>
        <w:numPr>
          <w:ilvl w:val="0"/>
          <w:numId w:val="2"/>
        </w:numPr>
        <w:spacing w:after="40" w:before="40"/>
      </w:pPr>
      <w:r>
        <w:rPr>
          <w:rFonts w:ascii="Arial" w:cs="Arial" w:eastAsia="Arial" w:hAnsi="Arial"/>
          <w:color w:val="1A1A1A"/>
          <w:sz w:val="24"/>
          <w:szCs w:val="24"/>
        </w:rPr>
        <w:t xml:space="preserve">Emergency contact system — designated contacts visible on phone lock screen without unlocking</w:t>
      </w:r>
    </w:p>
    <w:p>
      <w:pPr>
        <w:pStyle w:val="ListParagraph"/>
        <w:numPr>
          <w:ilvl w:val="0"/>
          <w:numId w:val="2"/>
        </w:numPr>
        <w:spacing w:after="40" w:before="40"/>
      </w:pPr>
      <w:r>
        <w:rPr>
          <w:rFonts w:ascii="Arial" w:cs="Arial" w:eastAsia="Arial" w:hAnsi="Arial"/>
          <w:color w:val="1A1A1A"/>
          <w:sz w:val="24"/>
          <w:szCs w:val="24"/>
        </w:rPr>
        <w:t xml:space="preserve">Family network — invite recipients via email, role-based access (sender / recipient / both)</w:t>
      </w:r>
    </w:p>
    <w:p>
      <w:pPr>
        <w:pStyle w:val="ListParagraph"/>
        <w:numPr>
          <w:ilvl w:val="0"/>
          <w:numId w:val="2"/>
        </w:numPr>
        <w:spacing w:after="40" w:before="40"/>
      </w:pPr>
      <w:r>
        <w:rPr>
          <w:rFonts w:ascii="Arial" w:cs="Arial" w:eastAsia="Arial" w:hAnsi="Arial"/>
          <w:color w:val="1A1A1A"/>
          <w:sz w:val="24"/>
          <w:szCs w:val="24"/>
        </w:rPr>
        <w:t xml:space="preserve">Occasion suggestions — smart recommendations by relationship type and upcoming dates</w:t>
      </w:r>
    </w:p>
    <w:p>
      <w:pPr>
        <w:pStyle w:val="ListParagraph"/>
        <w:numPr>
          <w:ilvl w:val="0"/>
          <w:numId w:val="2"/>
        </w:numPr>
        <w:spacing w:after="40" w:before="40"/>
      </w:pPr>
      <w:r>
        <w:rPr>
          <w:rFonts w:ascii="Arial" w:cs="Arial" w:eastAsia="Arial" w:hAnsi="Arial"/>
          <w:color w:val="1A1A1A"/>
          <w:sz w:val="24"/>
          <w:szCs w:val="24"/>
        </w:rPr>
        <w:t xml:space="preserve">Memory Vault — supports voice memos, video, written letters, and photos</w:t>
      </w:r>
    </w:p>
    <w:p>
      <w:pPr>
        <w:pStyle w:val="ListParagraph"/>
        <w:numPr>
          <w:ilvl w:val="0"/>
          <w:numId w:val="2"/>
        </w:numPr>
        <w:spacing w:after="40" w:before="40"/>
      </w:pPr>
      <w:r>
        <w:rPr>
          <w:rFonts w:ascii="Arial" w:cs="Arial" w:eastAsia="Arial" w:hAnsi="Arial"/>
          <w:color w:val="1A1A1A"/>
          <w:sz w:val="24"/>
          <w:szCs w:val="24"/>
        </w:rPr>
        <w:t xml:space="preserve">Email delivery integration via Resend</w:t>
      </w:r>
    </w:p>
    <w:p>
      <w:pPr>
        <w:pStyle w:val="ListParagraph"/>
        <w:numPr>
          <w:ilvl w:val="0"/>
          <w:numId w:val="2"/>
        </w:numPr>
        <w:spacing w:after="40" w:before="40"/>
      </w:pPr>
      <w:r>
        <w:rPr>
          <w:rFonts w:ascii="Arial" w:cs="Arial" w:eastAsia="Arial" w:hAnsi="Arial"/>
          <w:color w:val="1A1A1A"/>
          <w:sz w:val="24"/>
          <w:szCs w:val="24"/>
        </w:rPr>
        <w:t xml:space="preserve">Payment integration via Stripe — Free, Annual ($79/yr), and Legacy ($199/yr) tiers live</w:t>
      </w:r>
    </w:p>
    <w:p>
      <w:pPr>
        <w:pStyle w:val="ListParagraph"/>
        <w:numPr>
          <w:ilvl w:val="0"/>
          <w:numId w:val="2"/>
        </w:numPr>
        <w:spacing w:after="40" w:before="40"/>
      </w:pPr>
      <w:r>
        <w:rPr>
          <w:rFonts w:ascii="Arial" w:cs="Arial" w:eastAsia="Arial" w:hAnsi="Arial"/>
          <w:color w:val="1A1A1A"/>
          <w:sz w:val="24"/>
          <w:szCs w:val="24"/>
        </w:rPr>
        <w:t xml:space="preserve">Live landing page at solacelife.ca with founding member program</w:t>
      </w:r>
    </w:p>
    <w:p>
      <w:pPr>
        <w:pStyle w:val="ListParagraph"/>
        <w:numPr>
          <w:ilvl w:val="0"/>
          <w:numId w:val="2"/>
        </w:numPr>
        <w:spacing w:after="40" w:before="40"/>
      </w:pPr>
      <w:r>
        <w:rPr>
          <w:rFonts w:ascii="Arial" w:cs="Arial" w:eastAsia="Arial" w:hAnsi="Arial"/>
          <w:color w:val="1A1A1A"/>
          <w:sz w:val="24"/>
          <w:szCs w:val="24"/>
        </w:rPr>
        <w:t xml:space="preserve">Professional services marketplace — will preparation, estate planning, funeral pre-planning</w:t>
      </w:r>
    </w:p>
    <w:p>
      <w:pPr>
        <w:spacing w:after="120" w:before="0"/>
      </w:pPr>
      <w:r>
        <w:t xml:space="preserve"/>
      </w:r>
    </w:p>
    <w:p>
      <w:pPr>
        <w:spacing w:after="120" w:before="80"/>
      </w:pPr>
      <w:r>
        <w:rPr>
          <w:rFonts w:ascii="Arial" w:cs="Arial" w:eastAsia="Arial" w:hAnsi="Arial"/>
          <w:color w:val="1A1A1A"/>
          <w:sz w:val="24"/>
          <w:szCs w:val="24"/>
        </w:rPr>
        <w:t xml:space="preserve">A founding member waitlist is active. Early signups have been acquired entirely through organic channels with zero paid acquisition spend, validating demand before capital deployment. The ten-person A Team advisory group is fully assembled and operationally engaged.</w:t>
      </w:r>
    </w:p>
    <w:p>
      <w:pPr>
        <w:spacing w:after="120" w:before="0"/>
      </w:pPr>
      <w:r>
        <w:t xml:space="preserve"/>
      </w:r>
    </w:p>
    <w:p>
      <w:pPr>
        <w:pStyle w:val="Heading1"/>
        <w:spacing w:after="120" w:before="360"/>
      </w:pPr>
      <w:r>
        <w:rPr>
          <w:rFonts w:ascii="Arial" w:cs="Arial" w:eastAsia="Arial" w:hAnsi="Arial"/>
          <w:b/>
          <w:bCs/>
          <w:color w:val="A0264A"/>
          <w:sz w:val="36"/>
          <w:szCs w:val="36"/>
        </w:rPr>
        <w:t xml:space="preserve">7. Go-To-Market Strategy</w:t>
      </w:r>
    </w:p>
    <w:p>
      <w:pPr>
        <w:spacing w:after="120" w:before="80"/>
      </w:pPr>
      <w:r>
        <w:rPr>
          <w:rFonts w:ascii="Arial" w:cs="Arial" w:eastAsia="Arial" w:hAnsi="Arial"/>
          <w:color w:val="1A1A1A"/>
          <w:sz w:val="24"/>
          <w:szCs w:val="24"/>
        </w:rPr>
        <w:t xml:space="preserve">The go-to-market plan follows the zero-to-one launch playbook developed by Jordan Park and refined across multiple successful consumer app launches. It is structured in three phases, each building on the foundation of the last.</w:t>
      </w:r>
    </w:p>
    <w:p>
      <w:pPr>
        <w:pStyle w:val="Heading2"/>
        <w:spacing w:after="80" w:before="240"/>
      </w:pPr>
      <w:r>
        <w:rPr>
          <w:rFonts w:ascii="Arial" w:cs="Arial" w:eastAsia="Arial" w:hAnsi="Arial"/>
          <w:b/>
          <w:bCs/>
          <w:color w:val="C0406A"/>
          <w:sz w:val="28"/>
          <w:szCs w:val="28"/>
        </w:rPr>
        <w:t xml:space="preserve">Phase 1 (Months 1–3): 100 Founding Families</w:t>
      </w:r>
    </w:p>
    <w:p>
      <w:pPr>
        <w:spacing w:after="120" w:before="80"/>
      </w:pPr>
      <w:r>
        <w:rPr>
          <w:rFonts w:ascii="Arial" w:cs="Arial" w:eastAsia="Arial" w:hAnsi="Arial"/>
          <w:color w:val="1A1A1A"/>
          <w:sz w:val="24"/>
          <w:szCs w:val="24"/>
        </w:rPr>
        <w:t xml:space="preserve">The single objective of Phase 1 is depth, not breadth. We recruit 100 founding families — people who will record real memories, experience the emotional power of the product, and become the testimonial engine that makes everything else possible. These families receive lifetime founding member pricing, white-glove onboarding, and direct access to the founding team. In return, they generate the authentic social proof — video testimonials, App Store reviews, and word-of-mouth referrals — that paid advertising cannot buy. A product like Solace Life, which asks people to record their most personal moments, cannot be sold with banner ads. It must be felt. The founding 100 model creates that feeling at scale.</w:t>
      </w:r>
    </w:p>
    <w:p>
      <w:pPr>
        <w:pStyle w:val="Heading2"/>
        <w:spacing w:after="80" w:before="240"/>
      </w:pPr>
      <w:r>
        <w:rPr>
          <w:rFonts w:ascii="Arial" w:cs="Arial" w:eastAsia="Arial" w:hAnsi="Arial"/>
          <w:b/>
          <w:bCs/>
          <w:color w:val="C0406A"/>
          <w:sz w:val="28"/>
          <w:szCs w:val="28"/>
        </w:rPr>
        <w:t xml:space="preserve">Phase 2 (Months 4–9): ASO and Organic Growth</w:t>
      </w:r>
    </w:p>
    <w:p>
      <w:pPr>
        <w:spacing w:after="120" w:before="80"/>
      </w:pPr>
      <w:r>
        <w:rPr>
          <w:rFonts w:ascii="Arial" w:cs="Arial" w:eastAsia="Arial" w:hAnsi="Arial"/>
          <w:color w:val="1A1A1A"/>
          <w:sz w:val="24"/>
          <w:szCs w:val="24"/>
        </w:rPr>
        <w:t xml:space="preserve">Phase 2 deploys Jordan Park's App Store Optimization playbook against the keywords most relevant to Solace Life's core use cases: grief, legacy, family memories, emergency contact, record a message for my kids, letters to my children, and memory vault. The App Store listing will be engineered with a screenshot sequence that leads with emotional benefit, not feature description. Concurrently, a content marketing program targets the most searched grief and legacy queries on Google and YouTube — queries like 'how to record a message for your children' that generate millions of impressions annually and are completely uncontested by any brand. This organic content strategy has a long tail that compounds over time and lowers blended CAC as the channel matures.</w:t>
      </w:r>
    </w:p>
    <w:p>
      <w:pPr>
        <w:pStyle w:val="Heading2"/>
        <w:spacing w:after="80" w:before="240"/>
      </w:pPr>
      <w:r>
        <w:rPr>
          <w:rFonts w:ascii="Arial" w:cs="Arial" w:eastAsia="Arial" w:hAnsi="Arial"/>
          <w:b/>
          <w:bCs/>
          <w:color w:val="C0406A"/>
          <w:sz w:val="28"/>
          <w:szCs w:val="28"/>
        </w:rPr>
        <w:t xml:space="preserve">Phase 3 (Months 10–18): B2B Distribution</w:t>
      </w:r>
    </w:p>
    <w:p>
      <w:pPr>
        <w:spacing w:after="120" w:before="80"/>
      </w:pPr>
      <w:r>
        <w:rPr>
          <w:rFonts w:ascii="Arial" w:cs="Arial" w:eastAsia="Arial" w:hAnsi="Arial"/>
          <w:color w:val="1A1A1A"/>
          <w:sz w:val="24"/>
          <w:szCs w:val="24"/>
        </w:rPr>
        <w:t xml:space="preserve">Phase 3 opens B2B distribution channels that most consumer founders either ignore or arrive at too late. Funeral home chains, estate attorney networks, hospice organizations, grief counselors, and HR benefit programs are all potential distribution partners who serve the exact demographic Solace Life targets — and who have a professional incentive to offer their clients a dignified, beautiful legacy tool. A single enterprise HR deal can add thousands of users at near-zero CAC. This channel does not require a large sales team; it requires a compelling partner deck, a white-label capability, and the testimonial base built in Phase 1.</w:t>
      </w:r>
    </w:p>
    <w:p>
      <w:pPr>
        <w:spacing w:after="120" w:before="0"/>
      </w:pPr>
      <w:r>
        <w:t xml:space="preserve"/>
      </w:r>
    </w:p>
    <w:p>
      <w:r>
        <w:br w:type="page"/>
      </w:r>
    </w:p>
    <w:p>
      <w:pPr>
        <w:pStyle w:val="Heading1"/>
        <w:spacing w:after="120" w:before="360"/>
      </w:pPr>
      <w:r>
        <w:rPr>
          <w:rFonts w:ascii="Arial" w:cs="Arial" w:eastAsia="Arial" w:hAnsi="Arial"/>
          <w:b/>
          <w:bCs/>
          <w:color w:val="A0264A"/>
          <w:sz w:val="36"/>
          <w:szCs w:val="36"/>
        </w:rPr>
        <w:t xml:space="preserve">8. Competitive Analysis</w:t>
      </w:r>
    </w:p>
    <w:p>
      <w:pPr>
        <w:spacing w:after="120" w:before="80"/>
      </w:pPr>
      <w:r>
        <w:rPr>
          <w:rFonts w:ascii="Arial" w:cs="Arial" w:eastAsia="Arial" w:hAnsi="Arial"/>
          <w:color w:val="1A1A1A"/>
          <w:sz w:val="24"/>
          <w:szCs w:val="24"/>
        </w:rPr>
        <w:t xml:space="preserve">The digital legacy space has several adjacent players, but none combines the full set of capabilities that Solace Life offers. The table below maps the competitive landscape against the five features that define Solace Life's differentiated position.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60"/>
        <w:gridCol w:w="1300"/>
        <w:gridCol w:w="1500"/>
      </w:tblGrid>
      <w:tr>
        <w:trPr>
          <w:tblHeader/>
        </w:trPr>
        <w:tc>
          <w:tcPr>
            <w:tcW w:type="dxa" w:w="200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Product</w:t>
            </w:r>
          </w:p>
        </w:tc>
        <w:tc>
          <w:tcPr>
            <w:tcW w:type="dxa" w:w="150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Scheduled Delivery</w:t>
            </w:r>
          </w:p>
        </w:tc>
        <w:tc>
          <w:tcPr>
            <w:tcW w:type="dxa" w:w="150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Lock Screen Emergency</w:t>
            </w:r>
          </w:p>
        </w:tc>
        <w:tc>
          <w:tcPr>
            <w:tcW w:type="dxa" w:w="156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Family Vault</w:t>
            </w:r>
          </w:p>
        </w:tc>
        <w:tc>
          <w:tcPr>
            <w:tcW w:type="dxa" w:w="130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Occasion AI</w:t>
            </w:r>
          </w:p>
        </w:tc>
        <w:tc>
          <w:tcPr>
            <w:tcW w:type="dxa" w:w="150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Pro Services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Solace Life</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3A"/>
                <w:sz w:val="22"/>
                <w:szCs w:val="22"/>
              </w:rPr>
              <w:t xml:space="preserve">Yes</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3A"/>
                <w:sz w:val="22"/>
                <w:szCs w:val="22"/>
              </w:rPr>
              <w:t xml:space="preserve">Yes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3A"/>
                <w:sz w:val="22"/>
                <w:szCs w:val="22"/>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3A"/>
                <w:sz w:val="22"/>
                <w:szCs w:val="22"/>
              </w:rPr>
              <w:t xml:space="preserve">Yes</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3A"/>
                <w:sz w:val="22"/>
                <w:szCs w:val="22"/>
              </w:rPr>
              <w:t xml:space="preserve">Yes</w:t>
            </w:r>
          </w:p>
        </w:tc>
      </w:tr>
      <w:tr>
        <w:tc>
          <w:tcPr>
            <w:tcW w:type="dxa" w:w="20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StoryWorth</w:t>
            </w:r>
          </w:p>
        </w:tc>
        <w:tc>
          <w:tcPr>
            <w:tcW w:type="dxa" w:w="15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c>
          <w:tcPr>
            <w:tcW w:type="dxa" w:w="15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c>
          <w:tcPr>
            <w:tcW w:type="dxa" w:w="156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c>
          <w:tcPr>
            <w:tcW w:type="dxa" w:w="13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c>
          <w:tcPr>
            <w:tcW w:type="dxa" w:w="15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Everplans</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B87A00"/>
                <w:sz w:val="22"/>
                <w:szCs w:val="22"/>
              </w:rPr>
              <w:t xml:space="preserve">Partial</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r>
      <w:tr>
        <w:tc>
          <w:tcPr>
            <w:tcW w:type="dxa" w:w="20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Google Drive/Photos</w:t>
            </w:r>
          </w:p>
        </w:tc>
        <w:tc>
          <w:tcPr>
            <w:tcW w:type="dxa" w:w="15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c>
          <w:tcPr>
            <w:tcW w:type="dxa" w:w="15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c>
          <w:tcPr>
            <w:tcW w:type="dxa" w:w="156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c>
          <w:tcPr>
            <w:tcW w:type="dxa" w:w="13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c>
          <w:tcPr>
            <w:tcW w:type="dxa" w:w="15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After (app)</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7A3A"/>
                <w:sz w:val="22"/>
                <w:szCs w:val="22"/>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AA2222"/>
                <w:sz w:val="22"/>
                <w:szCs w:val="22"/>
              </w:rPr>
              <w:t xml:space="preserve">No</w:t>
            </w:r>
          </w:p>
        </w:tc>
      </w:tr>
    </w:tbl>
    <w:p>
      <w:pPr>
        <w:spacing w:after="120" w:before="0"/>
      </w:pPr>
      <w:r>
        <w:t xml:space="preserve"/>
      </w:r>
    </w:p>
    <w:p>
      <w:pPr>
        <w:spacing w:after="120" w:before="80"/>
      </w:pPr>
      <w:r>
        <w:rPr>
          <w:rFonts w:ascii="Arial" w:cs="Arial" w:eastAsia="Arial" w:hAnsi="Arial"/>
          <w:color w:val="1A1A1A"/>
          <w:sz w:val="24"/>
          <w:szCs w:val="24"/>
        </w:rPr>
        <w:t xml:space="preserve">StoryWorth lets families record stories through a weekly email prompt — but there is no scheduling, no delivery engine, no emergency contact, and no family vault. It is a journaling subscription, not a legacy delivery platform. Everplans offers document storage and estate planning, but is clinical, expensive, and attorney-facing — not a consumer mobile experience. Google Drive and Photos provide storage but zero intelligence, scheduling, or emotional design. After is the closest analog in terms of scheduled delivery, but lacks the emergency contact feature, occasion suggestions, family networking, and professional services ecosystem that distinguish Solace Life.</w:t>
      </w:r>
    </w:p>
    <w:p>
      <w:pPr>
        <w:spacing w:after="120" w:before="80"/>
      </w:pPr>
      <w:r>
        <w:rPr>
          <w:rFonts w:ascii="Arial" w:cs="Arial" w:eastAsia="Arial" w:hAnsi="Arial"/>
          <w:color w:val="1A1A1A"/>
          <w:sz w:val="24"/>
          <w:szCs w:val="24"/>
        </w:rPr>
        <w:t xml:space="preserve">The competitive moat Solace Life is building is not any single feature — it is the combination of all five, wrapped in the most emotionally resonant design in the category, with a distribution strategy that creates network effects through family invitations.</w:t>
      </w:r>
    </w:p>
    <w:p>
      <w:pPr>
        <w:spacing w:after="120" w:before="0"/>
      </w:pPr>
      <w:r>
        <w:t xml:space="preserve"/>
      </w:r>
    </w:p>
    <w:p>
      <w:r>
        <w:br w:type="page"/>
      </w:r>
    </w:p>
    <w:p>
      <w:pPr>
        <w:pStyle w:val="Heading1"/>
        <w:spacing w:after="120" w:before="360"/>
      </w:pPr>
      <w:r>
        <w:rPr>
          <w:rFonts w:ascii="Arial" w:cs="Arial" w:eastAsia="Arial" w:hAnsi="Arial"/>
          <w:b/>
          <w:bCs/>
          <w:color w:val="A0264A"/>
          <w:sz w:val="36"/>
          <w:szCs w:val="36"/>
        </w:rPr>
        <w:t xml:space="preserve">9. A Team Advisory — Meeting Notes</w:t>
      </w:r>
    </w:p>
    <w:p>
      <w:pPr>
        <w:spacing w:after="120" w:before="80"/>
      </w:pPr>
      <w:r>
        <w:rPr>
          <w:rFonts w:ascii="Arial" w:cs="Arial" w:eastAsia="Arial" w:hAnsi="Arial"/>
          <w:color w:val="1A1A1A"/>
          <w:sz w:val="24"/>
          <w:szCs w:val="24"/>
        </w:rPr>
        <w:t xml:space="preserve">The following notes reflect the consolidated advisory input of the Solace Life A Team, assembled from sessions conducted in April and May 2026. All ten advisors participated actively. Notes are organized by advisor and capture each member's substantive strategic perspective.</w:t>
      </w:r>
    </w:p>
    <w:p>
      <w:pPr>
        <w:spacing w:after="120" w:before="0"/>
      </w:pPr>
      <w:r>
        <w:t xml:space="preserve"/>
      </w:r>
    </w:p>
    <w:p>
      <w:pPr>
        <w:pStyle w:val="Heading2"/>
        <w:spacing w:after="80" w:before="240"/>
      </w:pPr>
      <w:r>
        <w:rPr>
          <w:rFonts w:ascii="Arial" w:cs="Arial" w:eastAsia="Arial" w:hAnsi="Arial"/>
          <w:b/>
          <w:bCs/>
          <w:color w:val="C0406A"/>
          <w:sz w:val="28"/>
          <w:szCs w:val="28"/>
        </w:rPr>
        <w:t xml:space="preserve">Jordan Park</w:t>
      </w:r>
    </w:p>
    <w:p>
      <w:pPr>
        <w:spacing w:after="100" w:before="40"/>
      </w:pPr>
      <w:r>
        <w:rPr>
          <w:rFonts w:ascii="Arial" w:cs="Arial" w:eastAsia="Arial" w:hAnsi="Arial"/>
          <w:i/>
          <w:iCs/>
          <w:color w:val="555555"/>
          <w:sz w:val="22"/>
          <w:szCs w:val="22"/>
        </w:rPr>
        <w:t xml:space="preserve">Growth &amp; Deployment Strategist  ·  Serial consumer app founder · Raised angel, pre-seed &amp; Series A · ASO expert · MVP discipline, launch sequencing, B2B distribution</w:t>
      </w:r>
    </w:p>
    <w:p>
      <w:pPr>
        <w:spacing w:after="120" w:before="80"/>
      </w:pPr>
      <w:r>
        <w:rPr>
          <w:rFonts w:ascii="Arial" w:cs="Arial" w:eastAsia="Arial" w:hAnsi="Arial"/>
          <w:color w:val="1A1A1A"/>
          <w:sz w:val="24"/>
          <w:szCs w:val="24"/>
        </w:rPr>
        <w:t xml:space="preserve">The founding 100 model is not a compromise — it is the single most important strategic decision Solace Life has made. When you are building a product that asks people to record their most intimate moments — messages for their children, their last words to a spouse — you cannot acquire those users with a Facebook ad and a landing page. You need trust before you need traffic. The founding family cohort creates that trust. Each of those 100 families becomes a living case study, a testimonial, and a word-of-mouth engine. When a grandmother records a message for her grandson's 18th birthday and cries while doing it, and then tells her daughter, and her daughter tells a friend — that is the acquisition motion that scales. It costs almost nothing and it converts at a rate no paid channel can match. We build the testimonial engine first. Everything else follows.</w:t>
      </w:r>
    </w:p>
    <w:p>
      <w:pPr>
        <w:spacing w:after="120" w:before="80"/>
      </w:pPr>
      <w:r>
        <w:rPr>
          <w:rFonts w:ascii="Arial" w:cs="Arial" w:eastAsia="Arial" w:hAnsi="Arial"/>
          <w:color w:val="1A1A1A"/>
          <w:sz w:val="24"/>
          <w:szCs w:val="24"/>
        </w:rPr>
        <w:t xml:space="preserve">On App Store Optimization: the keywords that will define Solace Life's organic reach are not abstract — they are the phrases people type when they are sitting with grief, or when a close call makes them realize they have not told their family what they need to hear. 'Record a message for my kids.' 'Letters to my children after I die.' 'Family memory vault.' 'Emergency contact lock screen.' These are high-intent, low-competition queries where a well-executed listing can own the top three results within 90 days. The screenshot sequence matters as much as the keywords: screenshot one must show a real emotional moment — a parent recording a message for a child — not a feature tour. The conversion rate difference between an emotional hook and a feature screenshot is typically 30 to 50 percent in this category. We will get this right before we spend a dollar on paid acquisition.</w:t>
      </w:r>
    </w:p>
    <w:p>
      <w:pPr>
        <w:spacing w:after="120" w:before="80"/>
      </w:pPr>
      <w:r>
        <w:rPr>
          <w:rFonts w:ascii="Arial" w:cs="Arial" w:eastAsia="Arial" w:hAnsi="Arial"/>
          <w:color w:val="1A1A1A"/>
          <w:sz w:val="24"/>
          <w:szCs w:val="24"/>
        </w:rPr>
        <w:t xml:space="preserve">The B2B angle is the channel that most consumer founders discover too late. Funeral homes, estate attorneys, hospice organizations, and grief counselors are not just partners — they are distribution infrastructure. Every funeral home director who recommends Solace Life to a family that has just lost someone is acquiring a user with a lifetime intent to preserve memories. The timing is perfect. The emotional state is primed. And the funeral home director becomes a trusted third-party endorsement that no advertisement can replicate. A single partnership with a national funeral home chain — SCI, Dignity Memorial, or Park Lawn — could add tens of thousands of users in the first year. This is Phase 3 of the launch plan, but the conversation should start in Phase 1. The investor writing a check today needs to understand that the B2B channel is not speculative upside — it is a predictable, proven distribution motion that consumer app founders systematically underinvest in.</w:t>
      </w:r>
    </w:p>
    <w:p>
      <w:pPr>
        <w:spacing w:after="120" w:before="80"/>
      </w:pPr>
      <w:r>
        <w:rPr>
          <w:rFonts w:ascii="Arial" w:cs="Arial" w:eastAsia="Arial" w:hAnsi="Arial"/>
          <w:color w:val="1A1A1A"/>
          <w:sz w:val="24"/>
          <w:szCs w:val="24"/>
        </w:rPr>
        <w:t xml:space="preserve">On pricing and the founding member program: the founding member discount creates urgency without permanently devaluing the product. The mechanism is time-gating, not discount permanence. Founding members get a preferred rate locked for life in exchange for early adoption and testimonial participation — but the public price remains $79 and $199. This is exactly how you preserve pricing power while incentivizing early action. Investors at the pre-seed stage are looking for four things: a real problem, a differentiated product, evidence of early demand, and a team that knows how to execute. Solace Life has all four. The product is live. The waitlist is real. The advisory team is world-class. The launch plan is proven. The check writes itself.</w:t>
      </w:r>
    </w:p>
    <w:p>
      <w:pPr>
        <w:spacing w:after="120" w:before="0"/>
      </w:pPr>
      <w:r>
        <w:t xml:space="preserve"/>
      </w:r>
    </w:p>
    <w:p>
      <w:pPr>
        <w:pStyle w:val="Heading2"/>
        <w:spacing w:after="80" w:before="240"/>
      </w:pPr>
      <w:r>
        <w:rPr>
          <w:rFonts w:ascii="Arial" w:cs="Arial" w:eastAsia="Arial" w:hAnsi="Arial"/>
          <w:b/>
          <w:bCs/>
          <w:color w:val="C0406A"/>
          <w:sz w:val="28"/>
          <w:szCs w:val="28"/>
        </w:rPr>
        <w:t xml:space="preserve">Dr. Marcus Webb</w:t>
      </w:r>
    </w:p>
    <w:p>
      <w:pPr>
        <w:spacing w:after="100" w:before="40"/>
      </w:pPr>
      <w:r>
        <w:rPr>
          <w:rFonts w:ascii="Arial" w:cs="Arial" w:eastAsia="Arial" w:hAnsi="Arial"/>
          <w:i/>
          <w:iCs/>
          <w:color w:val="555555"/>
          <w:sz w:val="22"/>
          <w:szCs w:val="22"/>
        </w:rPr>
        <w:t xml:space="preserve">Behavioral Economist  ·  PhD London School of Economics</w:t>
      </w:r>
    </w:p>
    <w:p>
      <w:pPr>
        <w:spacing w:after="120" w:before="80"/>
      </w:pPr>
      <w:r>
        <w:rPr>
          <w:rFonts w:ascii="Arial" w:cs="Arial" w:eastAsia="Arial" w:hAnsi="Arial"/>
          <w:color w:val="1A1A1A"/>
          <w:sz w:val="24"/>
          <w:szCs w:val="24"/>
        </w:rPr>
        <w:t xml:space="preserve">The behavioral dynamics underlying Solace Life's retention profile are exceptionally favorable. Grief and legacy are among the strongest behavioral triggers in consumer psychology — they activate deep loss aversion, the fundamental human fear of being forgotten and of failing to protect the people we love. Products that address these triggers do not need to manufacture engagement; the emotional stakes do the work. Once a user has recorded their first memory, a powerful psychological process begins: the vault becomes an extension of their identity. It holds something irreplaceable.</w:t>
      </w:r>
    </w:p>
    <w:p>
      <w:pPr>
        <w:spacing w:after="120" w:before="80"/>
      </w:pPr>
      <w:r>
        <w:rPr>
          <w:rFonts w:ascii="Arial" w:cs="Arial" w:eastAsia="Arial" w:hAnsi="Arial"/>
          <w:color w:val="1A1A1A"/>
          <w:sz w:val="24"/>
          <w:szCs w:val="24"/>
        </w:rPr>
        <w:t xml:space="preserve">The endowment effect is critical here. Research consistently shows that once people have invested emotional energy in creating something — particularly something as personal as a recorded message for a child — the psychological value of that object far exceeds its objective creation cost. A user who has recorded three or more memories in their Solace Life vault has a psychological attachment to that vault that makes churn almost irrational. They are not paying $79 a year to keep a subscription active; they are paying $79 a year to protect something they cannot replace. This is the behavioral foundation of best-in-class retention in the legacy category.</w:t>
      </w:r>
    </w:p>
    <w:p>
      <w:pPr>
        <w:spacing w:after="120" w:before="80"/>
      </w:pPr>
      <w:r>
        <w:rPr>
          <w:rFonts w:ascii="Arial" w:cs="Arial" w:eastAsia="Arial" w:hAnsi="Arial"/>
          <w:color w:val="1A1A1A"/>
          <w:sz w:val="24"/>
          <w:szCs w:val="24"/>
        </w:rPr>
        <w:t xml:space="preserve">The annual subscription model is exactly right for this product. Monthly billing creates a recurring cognitive reminder of payment — a friction point that can trigger cancellation especially in months when the user is not actively recording. Annual billing, by contrast, removes the payment decision from the emotional rhythm of the product. The user pays once, in a moment of intention, and then experiences the product for a full year without the intrusion of a billing cycle. Given that many of Solace Life's most emotionally active moments — the anniversaries, the birthdays, the scheduled deliveries — occur throughout the year, annual billing aligns payment timing with activation events rather than competing with them. Regret aversion is the final lever: the most powerful acquisition message Solace Life can deploy is not about features — it is the question 'What if something happened tomorrow and you had not recorded anything yet?'</w:t>
      </w:r>
    </w:p>
    <w:p>
      <w:pPr>
        <w:spacing w:after="120" w:before="0"/>
      </w:pPr>
      <w:r>
        <w:t xml:space="preserve"/>
      </w:r>
    </w:p>
    <w:p>
      <w:pPr>
        <w:pStyle w:val="Heading2"/>
        <w:spacing w:after="80" w:before="240"/>
      </w:pPr>
      <w:r>
        <w:rPr>
          <w:rFonts w:ascii="Arial" w:cs="Arial" w:eastAsia="Arial" w:hAnsi="Arial"/>
          <w:b/>
          <w:bCs/>
          <w:color w:val="C0406A"/>
          <w:sz w:val="28"/>
          <w:szCs w:val="28"/>
        </w:rPr>
        <w:t xml:space="preserve">Dr. Sarah Kim</w:t>
      </w:r>
    </w:p>
    <w:p>
      <w:pPr>
        <w:spacing w:after="100" w:before="40"/>
      </w:pPr>
      <w:r>
        <w:rPr>
          <w:rFonts w:ascii="Arial" w:cs="Arial" w:eastAsia="Arial" w:hAnsi="Arial"/>
          <w:i/>
          <w:iCs/>
          <w:color w:val="555555"/>
          <w:sz w:val="22"/>
          <w:szCs w:val="22"/>
        </w:rPr>
        <w:t xml:space="preserve">Market Research &amp; Consumer Psychology  ·  PhD Stanford University</w:t>
      </w:r>
    </w:p>
    <w:p>
      <w:pPr>
        <w:spacing w:after="120" w:before="80"/>
      </w:pPr>
      <w:r>
        <w:rPr>
          <w:rFonts w:ascii="Arial" w:cs="Arial" w:eastAsia="Arial" w:hAnsi="Arial"/>
          <w:color w:val="1A1A1A"/>
          <w:sz w:val="24"/>
          <w:szCs w:val="24"/>
        </w:rPr>
        <w:t xml:space="preserve">My primary research into the digital legacy space identifies three distinct user cohorts for Solace Life, each with a different emotional driver and a different usage pattern. The first and fastest-growing cohort is the caregiver segment: adults aged 45 to 65 who have an aging parent and who are beginning to confront, often for the first time, the reality of loss. These users come to Solace Life with a specific anxiety — they have not recorded their parent's stories, their voice, their wisdom — and the window is closing. This cohort converts immediately, uses the product intensely in the first 30 days, and becomes the most vocal advocate for the product in their peer network.</w:t>
      </w:r>
    </w:p>
    <w:p>
      <w:pPr>
        <w:spacing w:after="120" w:before="80"/>
      </w:pPr>
      <w:r>
        <w:rPr>
          <w:rFonts w:ascii="Arial" w:cs="Arial" w:eastAsia="Arial" w:hAnsi="Arial"/>
          <w:color w:val="1A1A1A"/>
          <w:sz w:val="24"/>
          <w:szCs w:val="24"/>
        </w:rPr>
        <w:t xml:space="preserve">The second cohort is legacy builders: people who are thinking proactively about what they will leave behind. This group skews slightly older (55 to 75), is highly motivated by scheduled delivery capabilities, and represents the highest LTV segment. They are often prompted by a health event — a diagnosis, a surgery, a close call — that creates a sudden urgency to get their affairs in order emotionally, not just financially. The third cohort is gift givers: people recording memories for others, not for after their own passing, but as a living gift. A parent recording a message for a child's graduation day. A couple capturing their story for their wedding anniversary. This cohort is the youngest and most viral — they share, they invite, they bring new users into the family network.</w:t>
      </w:r>
    </w:p>
    <w:p>
      <w:pPr>
        <w:spacing w:after="120" w:before="80"/>
      </w:pPr>
      <w:r>
        <w:rPr>
          <w:rFonts w:ascii="Arial" w:cs="Arial" w:eastAsia="Arial" w:hAnsi="Arial"/>
          <w:color w:val="1A1A1A"/>
          <w:sz w:val="24"/>
          <w:szCs w:val="24"/>
        </w:rPr>
        <w:t xml:space="preserve">The design implication of this research is critical: the app must feel warm, not clinical. Users in all three cohorts are processing grief, anticipatory loss, or emotional vulnerability while using it. Any design element that feels bureaucratic, formal, or medical will trigger disengagement. The WARM color palette and the gentle, unhurried onboarding flow that Solace Life has implemented are not aesthetic choices — they are clinically informed retention decisions. The first five minutes of the user experience must make the user feel emotionally safe. If they feel safe, they record. If they record, they stay.</w:t>
      </w:r>
    </w:p>
    <w:p>
      <w:pPr>
        <w:spacing w:after="120" w:before="0"/>
      </w:pPr>
      <w:r>
        <w:t xml:space="preserve"/>
      </w:r>
    </w:p>
    <w:p>
      <w:pPr>
        <w:pStyle w:val="Heading2"/>
        <w:spacing w:after="80" w:before="240"/>
      </w:pPr>
      <w:r>
        <w:rPr>
          <w:rFonts w:ascii="Arial" w:cs="Arial" w:eastAsia="Arial" w:hAnsi="Arial"/>
          <w:b/>
          <w:bCs/>
          <w:color w:val="C0406A"/>
          <w:sz w:val="28"/>
          <w:szCs w:val="28"/>
        </w:rPr>
        <w:t xml:space="preserve">Maya Torres</w:t>
      </w:r>
    </w:p>
    <w:p>
      <w:pPr>
        <w:spacing w:after="100" w:before="40"/>
      </w:pPr>
      <w:r>
        <w:rPr>
          <w:rFonts w:ascii="Arial" w:cs="Arial" w:eastAsia="Arial" w:hAnsi="Arial"/>
          <w:i/>
          <w:iCs/>
          <w:color w:val="555555"/>
          <w:sz w:val="22"/>
          <w:szCs w:val="22"/>
        </w:rPr>
        <w:t xml:space="preserve">Head of Product &amp; UX  ·  MFA Royal College of Art · Ex-Calm, Ex-Headspace</w:t>
      </w:r>
    </w:p>
    <w:p>
      <w:pPr>
        <w:spacing w:after="120" w:before="80"/>
      </w:pPr>
      <w:r>
        <w:rPr>
          <w:rFonts w:ascii="Arial" w:cs="Arial" w:eastAsia="Arial" w:hAnsi="Arial"/>
          <w:color w:val="1A1A1A"/>
          <w:sz w:val="24"/>
          <w:szCs w:val="24"/>
        </w:rPr>
        <w:t xml:space="preserve">Having worked on the product design of two of the most beloved wellness applications in the world, I can say with confidence that Solace Life's UI is a genuine competitive moat. Every grief and legacy application currently on the market looks like it was designed by an estate attorney. They are gray, formal, and clinical — they communicate obligation, not love. Solace Life communicates love. The warm gradient, the rounded corners, the deliberate use of soft typography and generous white space — these are not cosmetic choices. They are the product. When you ask someone to record their last words for their children, the design of the interface is part of the emotional permission structure that makes it possible.</w:t>
      </w:r>
    </w:p>
    <w:p>
      <w:pPr>
        <w:spacing w:after="120" w:before="80"/>
      </w:pPr>
      <w:r>
        <w:rPr>
          <w:rFonts w:ascii="Arial" w:cs="Arial" w:eastAsia="Arial" w:hAnsi="Arial"/>
          <w:color w:val="1A1A1A"/>
          <w:sz w:val="24"/>
          <w:szCs w:val="24"/>
        </w:rPr>
        <w:t xml:space="preserve">The activation event that determines whether a user stays or churns is recording their first memory. Everything in the onboarding flow must be optimized for that single moment. Based on my experience at Calm and Headspace, the benchmark for an emotional wellness application is getting a user to their first meaningful action within five minutes of install. Solace Life's onboarding achieves this: the flow guides the user from account creation through their first memory recording in under four minutes, using occasion suggestions to lower the cognitive barrier of 'what do I record?' The moment a user hears their own voice played back from the vault, the product becomes real. That is the activation event. That is what the entire onboarding architecture must protect.</w:t>
      </w:r>
    </w:p>
    <w:p>
      <w:pPr>
        <w:spacing w:after="120" w:before="80"/>
      </w:pPr>
      <w:r>
        <w:rPr>
          <w:rFonts w:ascii="Arial" w:cs="Arial" w:eastAsia="Arial" w:hAnsi="Arial"/>
          <w:color w:val="1A1A1A"/>
          <w:sz w:val="24"/>
          <w:szCs w:val="24"/>
        </w:rPr>
        <w:t xml:space="preserve">Accessibility for the 55-plus demographic is not optional — it is table stakes for this market. Touch targets must be a minimum of 48 by 48 points. Font sizes must be readable without glasses. Color contrast must exceed WCAG AA standards. The icon language must be immediately legible to someone who did not grow up with smartphone metaphors. These are not edge-case considerations; they describe the core user. Every new screen that ships should pass a senior-friendly accessibility review before it reaches production.</w:t>
      </w:r>
    </w:p>
    <w:p>
      <w:pPr>
        <w:spacing w:after="120" w:before="0"/>
      </w:pPr>
      <w:r>
        <w:t xml:space="preserve"/>
      </w:r>
    </w:p>
    <w:p>
      <w:pPr>
        <w:pStyle w:val="Heading2"/>
        <w:spacing w:after="80" w:before="240"/>
      </w:pPr>
      <w:r>
        <w:rPr>
          <w:rFonts w:ascii="Arial" w:cs="Arial" w:eastAsia="Arial" w:hAnsi="Arial"/>
          <w:b/>
          <w:bCs/>
          <w:color w:val="C0406A"/>
          <w:sz w:val="28"/>
          <w:szCs w:val="28"/>
        </w:rPr>
        <w:t xml:space="preserve">Alex Chen</w:t>
      </w:r>
    </w:p>
    <w:p>
      <w:pPr>
        <w:spacing w:after="100" w:before="40"/>
      </w:pPr>
      <w:r>
        <w:rPr>
          <w:rFonts w:ascii="Arial" w:cs="Arial" w:eastAsia="Arial" w:hAnsi="Arial"/>
          <w:i/>
          <w:iCs/>
          <w:color w:val="555555"/>
          <w:sz w:val="22"/>
          <w:szCs w:val="22"/>
        </w:rPr>
        <w:t xml:space="preserve">Lead Engineer / CTO  ·  M.Sc. Computer Science, MIT · Ex-Staff Engineer, Stripe</w:t>
      </w:r>
    </w:p>
    <w:p>
      <w:pPr>
        <w:spacing w:after="120" w:before="80"/>
      </w:pPr>
      <w:r>
        <w:rPr>
          <w:rFonts w:ascii="Arial" w:cs="Arial" w:eastAsia="Arial" w:hAnsi="Arial"/>
          <w:color w:val="1A1A1A"/>
          <w:sz w:val="24"/>
          <w:szCs w:val="24"/>
        </w:rPr>
        <w:t xml:space="preserve">The architectural decisions made in Solace Life's MVP are sound and will scale well into the Series A stage. React Native with Expo provides a single codebase for iOS and Android that does not sacrifice performance — critical for a media-heavy application where voice and video recording must feel native. Supabase provides a PostgreSQL foundation with built-in row-level security that enforces the data isolation requirements of a vault product at the database layer, not just the application layer. This is the right way to build security for a product handling sensitive personal data. AES-256 encryption at rest, combined with RLS policies, gives us an investor-grade security posture that most consumer apps at this stage do not have.</w:t>
      </w:r>
    </w:p>
    <w:p>
      <w:pPr>
        <w:spacing w:after="120" w:before="80"/>
      </w:pPr>
      <w:r>
        <w:rPr>
          <w:rFonts w:ascii="Arial" w:cs="Arial" w:eastAsia="Arial" w:hAnsi="Arial"/>
          <w:color w:val="1A1A1A"/>
          <w:sz w:val="24"/>
          <w:szCs w:val="24"/>
        </w:rPr>
        <w:t xml:space="preserve">The next phase of engineering investment has three priorities. First, a push notification delivery system that reliably triggers scheduled message deliveries — this is the core promise of the product and must be bulletproof across iOS and Android, including edge cases like long-dormant tokens and app reinstalls. Second, a video compression pipeline that reduces upload size and storage cost while preserving the emotional quality of recorded messages — this is the biggest infrastructure cost driver at scale. Third, a web vault for recipients — family members who receive delivered memories should be able to access them on desktop as well as mobile, which requires a companion web application built on the same Supabase backend.</w:t>
      </w:r>
    </w:p>
    <w:p>
      <w:pPr>
        <w:spacing w:after="120" w:before="80"/>
      </w:pPr>
      <w:r>
        <w:rPr>
          <w:rFonts w:ascii="Arial" w:cs="Arial" w:eastAsia="Arial" w:hAnsi="Arial"/>
          <w:color w:val="1A1A1A"/>
          <w:sz w:val="24"/>
          <w:szCs w:val="24"/>
        </w:rPr>
        <w:t xml:space="preserve">From a security posture perspective, the current implementation is appropriate for pre-seed and early growth stages. Before a Series A, we should conduct an independent security audit, implement formal penetration testing, and establish a vulnerability disclosure policy. These steps are increasingly expected by institutional investors in the health-tech and consumer data space, and they de-risk the diligence process considerably.</w:t>
      </w:r>
    </w:p>
    <w:p>
      <w:pPr>
        <w:spacing w:after="120" w:before="0"/>
      </w:pPr>
      <w:r>
        <w:t xml:space="preserve"/>
      </w:r>
    </w:p>
    <w:p>
      <w:pPr>
        <w:pStyle w:val="Heading2"/>
        <w:spacing w:after="80" w:before="240"/>
      </w:pPr>
      <w:r>
        <w:rPr>
          <w:rFonts w:ascii="Arial" w:cs="Arial" w:eastAsia="Arial" w:hAnsi="Arial"/>
          <w:b/>
          <w:bCs/>
          <w:color w:val="C0406A"/>
          <w:sz w:val="28"/>
          <w:szCs w:val="28"/>
        </w:rPr>
        <w:t xml:space="preserve">James Okafor</w:t>
      </w:r>
    </w:p>
    <w:p>
      <w:pPr>
        <w:spacing w:after="100" w:before="40"/>
      </w:pPr>
      <w:r>
        <w:rPr>
          <w:rFonts w:ascii="Arial" w:cs="Arial" w:eastAsia="Arial" w:hAnsi="Arial"/>
          <w:i/>
          <w:iCs/>
          <w:color w:val="555555"/>
          <w:sz w:val="22"/>
          <w:szCs w:val="22"/>
        </w:rPr>
        <w:t xml:space="preserve">Growth &amp; Marketing  ·  MBA Wharton · Ex-VP Growth, Everplans</w:t>
      </w:r>
    </w:p>
    <w:p>
      <w:pPr>
        <w:spacing w:after="120" w:before="80"/>
      </w:pPr>
      <w:r>
        <w:rPr>
          <w:rFonts w:ascii="Arial" w:cs="Arial" w:eastAsia="Arial" w:hAnsi="Arial"/>
          <w:color w:val="1A1A1A"/>
          <w:sz w:val="24"/>
          <w:szCs w:val="24"/>
        </w:rPr>
        <w:t xml:space="preserve">Having spent several years as VP of Growth at Everplans, I have a clear view of where the digital estate planning market fails to acquire consumers and why. Everplans built a strong B2B distribution network — financial advisors, estate attorneys, HR programs — but never solved the consumer acquisition problem at the top of the funnel. Solace Life's approach is the inverse: build a deeply loved consumer product first, then layer in B2B distribution once the testimonials exist to support it. That sequence is exactly right.</w:t>
      </w:r>
    </w:p>
    <w:p>
      <w:pPr>
        <w:spacing w:after="120" w:before="80"/>
      </w:pPr>
      <w:r>
        <w:rPr>
          <w:rFonts w:ascii="Arial" w:cs="Arial" w:eastAsia="Arial" w:hAnsi="Arial"/>
          <w:color w:val="1A1A1A"/>
          <w:sz w:val="24"/>
          <w:szCs w:val="24"/>
        </w:rPr>
        <w:t xml:space="preserve">The content marketing opportunity in the grief and legacy space is enormous and almost entirely uncontested. The query 'how to record a message for your kids' gets searched thousands of times per month on Google with essentially zero quality content addressing it. 'Letters to my children after I die,' 'how to preserve family memories,' 'what to say to your kids in a video message' — these are high-intent, emotionally loaded queries where a single well-produced piece of content can rank in the top three results and generate leads at near-zero CAC for years. This is the content moat that Solace Life should begin building immediately, before paid acquisition becomes necessary.</w:t>
      </w:r>
    </w:p>
    <w:p>
      <w:pPr>
        <w:spacing w:after="120" w:before="80"/>
      </w:pPr>
      <w:r>
        <w:rPr>
          <w:rFonts w:ascii="Arial" w:cs="Arial" w:eastAsia="Arial" w:hAnsi="Arial"/>
          <w:color w:val="1A1A1A"/>
          <w:sz w:val="24"/>
          <w:szCs w:val="24"/>
        </w:rPr>
        <w:t xml:space="preserve">The referral mechanic embedded in the product is underappreciated. Every recipient who receives a delivered memory — a voice message from a parent, a letter from a grandparent — is a warm lead. They have just experienced the product's most emotional moment: the delivery. They did not choose Solace Life; it chose them. And they are now emotionally primed to become a sender themselves. A simple in-app prompt at the moment of delivery receipt — 'Would you like to record something for someone you love?' — is the most efficient referral mechanic in the product. The conversion rate on that prompt, properly designed, will be exceptionally high. Partnerships with AARP, funeral home chains, and hospice networks should follow the consumer flywheel, not precede it.</w:t>
      </w:r>
    </w:p>
    <w:p>
      <w:pPr>
        <w:spacing w:after="120" w:before="0"/>
      </w:pPr>
      <w:r>
        <w:t xml:space="preserve"/>
      </w:r>
    </w:p>
    <w:p>
      <w:pPr>
        <w:pStyle w:val="Heading2"/>
        <w:spacing w:after="80" w:before="240"/>
      </w:pPr>
      <w:r>
        <w:rPr>
          <w:rFonts w:ascii="Arial" w:cs="Arial" w:eastAsia="Arial" w:hAnsi="Arial"/>
          <w:b/>
          <w:bCs/>
          <w:color w:val="C0406A"/>
          <w:sz w:val="28"/>
          <w:szCs w:val="28"/>
        </w:rPr>
        <w:t xml:space="preserve">Diana Lowe</w:t>
      </w:r>
    </w:p>
    <w:p>
      <w:pPr>
        <w:spacing w:after="100" w:before="40"/>
      </w:pPr>
      <w:r>
        <w:rPr>
          <w:rFonts w:ascii="Arial" w:cs="Arial" w:eastAsia="Arial" w:hAnsi="Arial"/>
          <w:i/>
          <w:iCs/>
          <w:color w:val="555555"/>
          <w:sz w:val="22"/>
          <w:szCs w:val="22"/>
        </w:rPr>
        <w:t xml:space="preserve">Co-Founder &amp; Chief Strategy Officer  ·  MBA Harvard Business School · Ex-COO digital estate startup acquired by LegalZoom</w:t>
      </w:r>
    </w:p>
    <w:p>
      <w:pPr>
        <w:spacing w:after="120" w:before="80"/>
      </w:pPr>
      <w:r>
        <w:rPr>
          <w:rFonts w:ascii="Arial" w:cs="Arial" w:eastAsia="Arial" w:hAnsi="Arial"/>
          <w:color w:val="1A1A1A"/>
          <w:sz w:val="24"/>
          <w:szCs w:val="24"/>
        </w:rPr>
        <w:t xml:space="preserve">I have been through exactly one exit in this category — a digital estate startup that was acquired by LegalZoom — and the pattern of that acquisition is directly relevant to Solace Life's strategic positioning. The acquirers who move first in the digital legacy space are insurance companies, legal services platforms, and financial planning institutions. Prudential, Northwestern Mutual, and New York Life all have strategic rationales for owning a consumer legacy platform: it deepens the policyholder relationship, creates touchpoints across the estate planning lifecycle, and generates data that is valuable for actuarial and product purposes. LegalZoom, Everplans, and Trust &amp; Will have the same calculus from the legal services side.</w:t>
      </w:r>
    </w:p>
    <w:p>
      <w:pPr>
        <w:spacing w:after="120" w:before="80"/>
      </w:pPr>
      <w:r>
        <w:rPr>
          <w:rFonts w:ascii="Arial" w:cs="Arial" w:eastAsia="Arial" w:hAnsi="Arial"/>
          <w:color w:val="1A1A1A"/>
          <w:sz w:val="24"/>
          <w:szCs w:val="24"/>
        </w:rPr>
        <w:t xml:space="preserve">The path to that acquisition — or to a strong Series A that precedes it — runs through specific milestones. By Month 18, Solace Life needs to demonstrate three things to institutional investors: a user base with measurable emotional engagement (memory recording rates, scheduled delivery counts, recipient activations), a B2B distribution proof-of-concept in at least one vertical, and a retention profile that validates the LTV model. Hitting those three milestones with the $750K pre-seed positions Solace Life for a $4 to $6 million Series A at a $20 to $30 million valuation, which is consistent with where comparable consumer wellness apps have priced their Series A rounds in recent cycles.</w:t>
      </w:r>
    </w:p>
    <w:p>
      <w:pPr>
        <w:spacing w:after="120" w:before="80"/>
      </w:pPr>
      <w:r>
        <w:rPr>
          <w:rFonts w:ascii="Arial" w:cs="Arial" w:eastAsia="Arial" w:hAnsi="Arial"/>
          <w:color w:val="1A1A1A"/>
          <w:sz w:val="24"/>
          <w:szCs w:val="24"/>
        </w:rPr>
        <w:t xml:space="preserve">The founding team should also be thinking about the strategic value of the professional services marketplace from day one. The ability to connect families with will preparation, estate planning, and funeral pre-planning services creates a revenue share opportunity and, more importantly, a data relationship with professional service providers who are natural B2B partners. That marketplace is a strategic asset that acquirers will value — it is not just a revenue line, it is a distribution moat.</w:t>
      </w:r>
    </w:p>
    <w:p>
      <w:pPr>
        <w:spacing w:after="120" w:before="0"/>
      </w:pPr>
      <w:r>
        <w:t xml:space="preserve"/>
      </w:r>
    </w:p>
    <w:p>
      <w:pPr>
        <w:pStyle w:val="Heading2"/>
        <w:spacing w:after="80" w:before="240"/>
      </w:pPr>
      <w:r>
        <w:rPr>
          <w:rFonts w:ascii="Arial" w:cs="Arial" w:eastAsia="Arial" w:hAnsi="Arial"/>
          <w:b/>
          <w:bCs/>
          <w:color w:val="C0406A"/>
          <w:sz w:val="28"/>
          <w:szCs w:val="28"/>
        </w:rPr>
        <w:t xml:space="preserve">Michael Reeves</w:t>
      </w:r>
    </w:p>
    <w:p>
      <w:pPr>
        <w:spacing w:after="100" w:before="40"/>
      </w:pPr>
      <w:r>
        <w:rPr>
          <w:rFonts w:ascii="Arial" w:cs="Arial" w:eastAsia="Arial" w:hAnsi="Arial"/>
          <w:i/>
          <w:iCs/>
          <w:color w:val="555555"/>
          <w:sz w:val="22"/>
          <w:szCs w:val="22"/>
        </w:rPr>
        <w:t xml:space="preserve">Financial Analyst  ·  CFA · Ex-Director FP&amp;A, Series B health-tech</w:t>
      </w:r>
    </w:p>
    <w:p>
      <w:pPr>
        <w:spacing w:after="120" w:before="80"/>
      </w:pPr>
      <w:r>
        <w:rPr>
          <w:rFonts w:ascii="Arial" w:cs="Arial" w:eastAsia="Arial" w:hAnsi="Arial"/>
          <w:color w:val="1A1A1A"/>
          <w:sz w:val="24"/>
          <w:szCs w:val="24"/>
        </w:rPr>
        <w:t xml:space="preserve">The unit economics of Solace Life are genuinely attractive, and I want to ground that claim in specifics. Blended CAC across organic channels in the first 12 months should be achievable at under $30 per acquired user, given Jordan's content marketing and ASO strategy. At a 20 percent paid conversion rate and a blended ARPU of $111, the LTV on a converted user — assuming a 4-year average retention, which is conservative for a product with this level of emotional lock-in — is approximately $444. That is a LTV:CAC ratio of roughly 15:1, which is exceptional by any benchmark. Even if CAC runs 50 percent over plan, the ratio remains above 8:1, which is the threshold most institutional investors look for in consumer subscription businesses.</w:t>
      </w:r>
    </w:p>
    <w:p>
      <w:pPr>
        <w:spacing w:after="120" w:before="80"/>
      </w:pPr>
      <w:r>
        <w:rPr>
          <w:rFonts w:ascii="Arial" w:cs="Arial" w:eastAsia="Arial" w:hAnsi="Arial"/>
          <w:color w:val="1A1A1A"/>
          <w:sz w:val="24"/>
          <w:szCs w:val="24"/>
        </w:rPr>
        <w:t xml:space="preserve">Gross margins will exceed 90 percent once the initial infrastructure is provisioned, because the marginal cost of serving an additional subscriber is essentially the variable cost of storage and email delivery — both of which are fractions of a cent per user per month at current Supabase and Resend pricing. The one variable cost that scales non-linearly is video storage: a user who records 20 hours of video will cost meaningfully more to serve than a user who records 5. A tiered storage policy — compressing or moving older recordings to cold storage after 12 months — keeps this cost manageable while maintaining the user experience promise.</w:t>
      </w:r>
    </w:p>
    <w:p>
      <w:pPr>
        <w:spacing w:after="120" w:before="80"/>
      </w:pPr>
      <w:r>
        <w:rPr>
          <w:rFonts w:ascii="Arial" w:cs="Arial" w:eastAsia="Arial" w:hAnsi="Arial"/>
          <w:color w:val="1A1A1A"/>
          <w:sz w:val="24"/>
          <w:szCs w:val="24"/>
        </w:rPr>
        <w:t xml:space="preserve">The $750,000 ask is precisely right-sized for the pre-seed stage. It buys 18 months of runway at a lean operating structure, funds the three critical engineering investments Alex outlined, and deploys Jordan's launch playbook with enough capital to run meaningful paid acquisition tests in Phase 2 without burning the runway. The milestone target — $3 million ARR at Series A — requires approximately 27,000 paying users at blended ARPU, which is achievable at the growth rates this plan projects. I have modeled the downside case at 60 percent of plan and the pre-seed runway still holds with capital to spare.</w:t>
      </w:r>
    </w:p>
    <w:p>
      <w:pPr>
        <w:spacing w:after="120" w:before="0"/>
      </w:pPr>
      <w:r>
        <w:t xml:space="preserve"/>
      </w:r>
    </w:p>
    <w:p>
      <w:pPr>
        <w:pStyle w:val="Heading2"/>
        <w:spacing w:after="80" w:before="240"/>
      </w:pPr>
      <w:r>
        <w:rPr>
          <w:rFonts w:ascii="Arial" w:cs="Arial" w:eastAsia="Arial" w:hAnsi="Arial"/>
          <w:b/>
          <w:bCs/>
          <w:color w:val="C0406A"/>
          <w:sz w:val="28"/>
          <w:szCs w:val="28"/>
        </w:rPr>
        <w:t xml:space="preserve">Robert Chang</w:t>
      </w:r>
    </w:p>
    <w:p>
      <w:pPr>
        <w:spacing w:after="100" w:before="40"/>
      </w:pPr>
      <w:r>
        <w:rPr>
          <w:rFonts w:ascii="Arial" w:cs="Arial" w:eastAsia="Arial" w:hAnsi="Arial"/>
          <w:i/>
          <w:iCs/>
          <w:color w:val="555555"/>
          <w:sz w:val="22"/>
          <w:szCs w:val="22"/>
        </w:rPr>
        <w:t xml:space="preserve">Chief Financial Advisor  ·  CPA · Ex-Partner KPMG</w:t>
      </w:r>
    </w:p>
    <w:p>
      <w:pPr>
        <w:spacing w:after="120" w:before="80"/>
      </w:pPr>
      <w:r>
        <w:rPr>
          <w:rFonts w:ascii="Arial" w:cs="Arial" w:eastAsia="Arial" w:hAnsi="Arial"/>
          <w:color w:val="1A1A1A"/>
          <w:sz w:val="24"/>
          <w:szCs w:val="24"/>
        </w:rPr>
        <w:t xml:space="preserve">There are several financial and structural matters that the founding team should address in parallel with fundraising. On corporate structure: Solace Life is operating under a Canadian domain and the founding team is Canada-based, which makes a Canadian incorporation appropriate for early operations. However, institutional investors — particularly US-based angels and pre-seed funds — often prefer a Delaware C-Corp at the holding level, with the Canadian operating entity as a wholly-owned subsidiary. This structure provides investors with familiar governance mechanics, clean pro-rata rights, and straightforward SAFEs or convertible notes. I recommend establishing this structure before the close of the pre-seed round.</w:t>
      </w:r>
    </w:p>
    <w:p>
      <w:pPr>
        <w:spacing w:after="120" w:before="80"/>
      </w:pPr>
      <w:r>
        <w:rPr>
          <w:rFonts w:ascii="Arial" w:cs="Arial" w:eastAsia="Arial" w:hAnsi="Arial"/>
          <w:color w:val="1A1A1A"/>
          <w:sz w:val="24"/>
          <w:szCs w:val="24"/>
        </w:rPr>
        <w:t xml:space="preserve">On tax: the Canadian Scientific Research and Experimental Development (SR&amp;ED) tax credit program provides a 35 percent refundable credit on qualifying R&amp;D expenditures for Canadian-controlled private corporations. At a $750,000 raise with $300,000 allocated to product and engineering, the qualifying SR&amp;ED expenditures could generate a refundable credit of $70,000 to $90,000 — effectively extending the runway by two to three months at no dilution cost. This is a meaningful benefit that many early-stage founders leave on the table simply because they are not aware of it. We should be tracking eligible expenditures from day one.</w:t>
      </w:r>
    </w:p>
    <w:p>
      <w:pPr>
        <w:spacing w:after="120" w:before="80"/>
      </w:pPr>
      <w:r>
        <w:rPr>
          <w:rFonts w:ascii="Arial" w:cs="Arial" w:eastAsia="Arial" w:hAnsi="Arial"/>
          <w:color w:val="1A1A1A"/>
          <w:sz w:val="24"/>
          <w:szCs w:val="24"/>
        </w:rPr>
        <w:t xml:space="preserve">On cap table: before institutional money arrives, the cap table should be clean and simple — founders, advisors on standard 2-year vest with 1-year cliff, and a reserved option pool of 10 to 15 percent. Advisory equity should be granted on a vesting schedule tied to active contribution, not simply on a rolling time basis. A clean cap table signals operational maturity to investors and removes a common source of friction in Series A diligence.</w:t>
      </w:r>
    </w:p>
    <w:p>
      <w:pPr>
        <w:spacing w:after="120" w:before="0"/>
      </w:pPr>
      <w:r>
        <w:t xml:space="preserve"/>
      </w:r>
    </w:p>
    <w:p>
      <w:pPr>
        <w:pStyle w:val="Heading2"/>
        <w:spacing w:after="80" w:before="240"/>
      </w:pPr>
      <w:r>
        <w:rPr>
          <w:rFonts w:ascii="Arial" w:cs="Arial" w:eastAsia="Arial" w:hAnsi="Arial"/>
          <w:b/>
          <w:bCs/>
          <w:color w:val="C0406A"/>
          <w:sz w:val="28"/>
          <w:szCs w:val="28"/>
        </w:rPr>
        <w:t xml:space="preserve">Emma Walsh</w:t>
      </w:r>
    </w:p>
    <w:p>
      <w:pPr>
        <w:spacing w:after="100" w:before="40"/>
      </w:pPr>
      <w:r>
        <w:rPr>
          <w:rFonts w:ascii="Arial" w:cs="Arial" w:eastAsia="Arial" w:hAnsi="Arial"/>
          <w:i/>
          <w:iCs/>
          <w:color w:val="555555"/>
          <w:sz w:val="22"/>
          <w:szCs w:val="22"/>
        </w:rPr>
        <w:t xml:space="preserve">Legal &amp; Compliance  ·  JD Osgoode Hall Law School · Digital estate law &amp; biometric privacy</w:t>
      </w:r>
    </w:p>
    <w:p>
      <w:pPr>
        <w:spacing w:after="120" w:before="80"/>
      </w:pPr>
      <w:r>
        <w:rPr>
          <w:rFonts w:ascii="Arial" w:cs="Arial" w:eastAsia="Arial" w:hAnsi="Arial"/>
          <w:color w:val="1A1A1A"/>
          <w:sz w:val="24"/>
          <w:szCs w:val="24"/>
        </w:rPr>
        <w:t xml:space="preserve">Digital estate law is one of the fastest-evolving areas of technology law, and Solace Life needs to be positioned ahead of the regulatory curve, not catching up to it. Three areas require immediate legal attention. First, the Terms of Service must specifically address what happens to a user's vault after their death: who has access, how access is granted, what the process is for a designated recipient to claim the vault, and what happens if no recipient claims it. Most consumer platforms have no coherent answer to this question. Solace Life, by definition, must. Getting this right is both a legal necessity and a product differentiator — families need to trust that the vault will be there when it matters most.</w:t>
      </w:r>
    </w:p>
    <w:p>
      <w:pPr>
        <w:spacing w:after="120" w:before="80"/>
      </w:pPr>
      <w:r>
        <w:rPr>
          <w:rFonts w:ascii="Arial" w:cs="Arial" w:eastAsia="Arial" w:hAnsi="Arial"/>
          <w:color w:val="1A1A1A"/>
          <w:sz w:val="24"/>
          <w:szCs w:val="24"/>
        </w:rPr>
        <w:t xml:space="preserve">Second, voice recordings and video recordings may qualify as biometric data under an expanding range of state and provincial privacy laws — including Illinois BIPA, Texas CUBI, and Canadian PIPEDA. Solace Life's privacy policy and data processing agreements must explicitly address consent, retention limits, and deletion rights for biometric data. This is not a future concern; it is a current legal exposure that must be managed proactively. The company should obtain explicit, informed consent for biometric data collection at the point of recording, with clear language that is not buried in a terms of service accordion.</w:t>
      </w:r>
    </w:p>
    <w:p>
      <w:pPr>
        <w:spacing w:after="120" w:before="80"/>
      </w:pPr>
      <w:r>
        <w:rPr>
          <w:rFonts w:ascii="Arial" w:cs="Arial" w:eastAsia="Arial" w:hAnsi="Arial"/>
          <w:color w:val="1A1A1A"/>
          <w:sz w:val="24"/>
          <w:szCs w:val="24"/>
        </w:rPr>
        <w:t xml:space="preserve">Third, for Canadian operations, PIPEDA compliance requires a formal privacy program including a designated privacy officer, a privacy impact assessment for new features, and a breach notification protocol. GDPR compliance will be required if the product is available to European users. I recommend engaging privacy counsel before the product launches publicly, not after the first regulatory inquiry arrives. The good news is that Solace Life's business model — a consumer product where data protection is the core value proposition — makes privacy compliance a marketing asset, not just a legal obligation. 'Your memories are yours, always' is both a legal commitment and a brand promise.</w:t>
      </w:r>
    </w:p>
    <w:p>
      <w:pPr>
        <w:spacing w:after="120" w:before="0"/>
      </w:pPr>
      <w:r>
        <w:t xml:space="preserve"/>
      </w:r>
    </w:p>
    <w:p>
      <w:r>
        <w:br w:type="page"/>
      </w:r>
    </w:p>
    <w:p>
      <w:pPr>
        <w:pStyle w:val="Heading1"/>
        <w:spacing w:after="120" w:before="360"/>
      </w:pPr>
      <w:r>
        <w:rPr>
          <w:rFonts w:ascii="Arial" w:cs="Arial" w:eastAsia="Arial" w:hAnsi="Arial"/>
          <w:b/>
          <w:bCs/>
          <w:color w:val="A0264A"/>
          <w:sz w:val="36"/>
          <w:szCs w:val="36"/>
        </w:rPr>
        <w:t xml:space="preserve">10. Use of Funds</w:t>
      </w:r>
    </w:p>
    <w:p>
      <w:pPr>
        <w:spacing w:after="120" w:before="80"/>
      </w:pPr>
      <w:r>
        <w:rPr>
          <w:rFonts w:ascii="Arial" w:cs="Arial" w:eastAsia="Arial" w:hAnsi="Arial"/>
          <w:color w:val="1A1A1A"/>
          <w:sz w:val="24"/>
          <w:szCs w:val="24"/>
        </w:rPr>
        <w:t xml:space="preserve">The $750,000 pre-seed raise is sized to deliver 18 months of runway and achieve the specific milestones required for a Series A. Capital is allocated across four categories: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560"/>
        <w:gridCol w:w="3600"/>
      </w:tblGrid>
      <w:tr>
        <w:trPr>
          <w:tblHeader/>
        </w:trPr>
        <w:tc>
          <w:tcPr>
            <w:tcW w:type="dxa" w:w="260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Category</w:t>
            </w:r>
          </w:p>
        </w:tc>
        <w:tc>
          <w:tcPr>
            <w:tcW w:type="dxa" w:w="160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Amount</w:t>
            </w:r>
          </w:p>
        </w:tc>
        <w:tc>
          <w:tcPr>
            <w:tcW w:type="dxa" w:w="156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Allocation</w:t>
            </w:r>
          </w:p>
        </w:tc>
        <w:tc>
          <w:tcPr>
            <w:tcW w:type="dxa" w:w="3600"/>
            <w:tcBorders>
              <w:top w:val="single" w:color="DDDDDD" w:sz="1"/>
              <w:left w:val="single" w:color="DDDDDD" w:sz="1"/>
              <w:bottom w:val="single" w:color="DDDDDD" w:sz="1"/>
              <w:right w:val="single" w:color="DDDDDD" w:sz="1"/>
            </w:tcBorders>
            <w:shd w:fill="A0264A" w:val="clear"/>
            <w:tcMar>
              <w:top w:type="dxa" w:w="100"/>
              <w:left w:type="dxa" w:w="140"/>
              <w:bottom w:type="dxa" w:w="100"/>
              <w:right w:type="dxa" w:w="140"/>
            </w:tcMar>
            <w:vAlign w:val="center"/>
          </w:tcPr>
          <w:p>
            <w:r>
              <w:rPr>
                <w:rFonts w:ascii="Arial" w:cs="Arial" w:eastAsia="Arial" w:hAnsi="Arial"/>
                <w:b/>
                <w:bCs/>
                <w:color w:val="FFFFFF"/>
                <w:sz w:val="22"/>
                <w:szCs w:val="22"/>
              </w:rPr>
              <w:t xml:space="preserve">Detail</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Product &amp; Engineering</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$300,000</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40%</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CTO engagement (Alex Chen), 18-month development roadmap, video compression pipeline, push notification delivery, web vault for recipients</w:t>
            </w:r>
          </w:p>
        </w:tc>
      </w:tr>
      <w:tr>
        <w:tc>
          <w:tcPr>
            <w:tcW w:type="dxa" w:w="26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bCs/>
                <w:color w:val="1A1A1A"/>
                <w:sz w:val="22"/>
                <w:szCs w:val="22"/>
              </w:rPr>
              <w:t xml:space="preserve">Growth &amp; Marketing</w:t>
            </w:r>
          </w:p>
        </w:tc>
        <w:tc>
          <w:tcPr>
            <w:tcW w:type="dxa" w:w="16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$187,500</w:t>
            </w:r>
          </w:p>
        </w:tc>
        <w:tc>
          <w:tcPr>
            <w:tcW w:type="dxa" w:w="156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25%</w:t>
            </w:r>
          </w:p>
        </w:tc>
        <w:tc>
          <w:tcPr>
            <w:tcW w:type="dxa" w:w="36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Jordan Park's launch playbook, App Store Optimization, content marketing program, Phase 2 paid acquisition tests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Legal &amp; Compliance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$150,000</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20%</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Emma Walsh engagement, digital estate TOS and privacy policy, PIPEDA compliance program, IP filing, Delaware C-Corp structure</w:t>
            </w:r>
          </w:p>
        </w:tc>
      </w:tr>
      <w:tr>
        <w:tc>
          <w:tcPr>
            <w:tcW w:type="dxa" w:w="26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bCs/>
                <w:color w:val="1A1A1A"/>
                <w:sz w:val="22"/>
                <w:szCs w:val="22"/>
              </w:rPr>
              <w:t xml:space="preserve">Operations &amp; Reserve</w:t>
            </w:r>
          </w:p>
        </w:tc>
        <w:tc>
          <w:tcPr>
            <w:tcW w:type="dxa" w:w="16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$112,500</w:t>
            </w:r>
          </w:p>
        </w:tc>
        <w:tc>
          <w:tcPr>
            <w:tcW w:type="dxa" w:w="156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15%</w:t>
            </w:r>
          </w:p>
        </w:tc>
        <w:tc>
          <w:tcPr>
            <w:tcW w:type="dxa" w:w="3600"/>
            <w:tcBorders>
              <w:top w:val="single" w:color="DDDDDD" w:sz="1"/>
              <w:left w:val="single" w:color="DDDDDD" w:sz="1"/>
              <w:bottom w:val="single" w:color="DDDDDD" w:sz="1"/>
              <w:right w:val="single" w:color="DDDDDD" w:sz="1"/>
            </w:tcBorders>
            <w:shd w:fill="FDF0F4" w:val="clear"/>
            <w:tcMar>
              <w:top w:type="dxa" w:w="100"/>
              <w:left w:type="dxa" w:w="140"/>
              <w:bottom w:type="dxa" w:w="100"/>
              <w:right w:type="dxa" w:w="140"/>
            </w:tcMar>
            <w:vAlign w:val="center"/>
          </w:tcPr>
          <w:p>
            <w:r>
              <w:rPr>
                <w:rFonts w:ascii="Arial" w:cs="Arial" w:eastAsia="Arial" w:hAnsi="Arial"/>
                <w:b w:val="false"/>
                <w:bCs w:val="false"/>
                <w:color w:val="1A1A1A"/>
                <w:sz w:val="22"/>
                <w:szCs w:val="22"/>
              </w:rPr>
              <w:t xml:space="preserve">Infrastructure costs (Supabase, Resend, Stripe), customer support tooling, founder salary, contingency reserve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TOTAL</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$750,000</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100%</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r>
              <w:rPr>
                <w:rFonts w:ascii="Arial" w:cs="Arial" w:eastAsia="Arial" w:hAnsi="Arial"/>
                <w:b/>
                <w:bCs/>
                <w:color w:val="1A1A1A"/>
                <w:sz w:val="22"/>
                <w:szCs w:val="22"/>
              </w:rPr>
              <w:t xml:space="preserve">18-month runway to Series A metrics</w:t>
            </w:r>
          </w:p>
        </w:tc>
      </w:tr>
    </w:tbl>
    <w:p>
      <w:pPr>
        <w:spacing w:after="120" w:before="0"/>
      </w:pPr>
      <w:r>
        <w:t xml:space="preserve"/>
      </w:r>
    </w:p>
    <w:p>
      <w:pPr>
        <w:spacing w:after="120" w:before="80"/>
      </w:pPr>
      <w:r>
        <w:rPr>
          <w:rFonts w:ascii="Arial" w:cs="Arial" w:eastAsia="Arial" w:hAnsi="Arial"/>
          <w:color w:val="1A1A1A"/>
          <w:sz w:val="24"/>
          <w:szCs w:val="24"/>
        </w:rPr>
        <w:t xml:space="preserve">The single largest allocation — $300,000 to Product and Engineering — reflects the founding team's conviction that the product is the primary driver of retention, referral, and B2B partnership credibility. Jordan Park's growth allocation ($187,500) is deliberately lean in Phase 1, when the founding family model is the primary acquisition mechanism, and scales in Phase 2 as paid channel tests begin. Legal and compliance ($150,000) is a non-negotiable investment given the nature of the data Solace Life handles and the regulatory landscape in which it operates.</w:t>
      </w:r>
    </w:p>
    <w:p>
      <w:pPr>
        <w:spacing w:after="120" w:before="0"/>
      </w:pPr>
      <w:r>
        <w:t xml:space="preserve"/>
      </w:r>
    </w:p>
    <w:p>
      <w:pPr>
        <w:pStyle w:val="Heading1"/>
        <w:spacing w:after="120" w:before="360"/>
      </w:pPr>
      <w:r>
        <w:rPr>
          <w:rFonts w:ascii="Arial" w:cs="Arial" w:eastAsia="Arial" w:hAnsi="Arial"/>
          <w:b/>
          <w:bCs/>
          <w:color w:val="A0264A"/>
          <w:sz w:val="36"/>
          <w:szCs w:val="36"/>
        </w:rPr>
        <w:t xml:space="preserve">11. The Ask</w:t>
      </w:r>
    </w:p>
    <w:p>
      <w:pPr>
        <w:spacing w:after="120" w:before="80"/>
      </w:pPr>
      <w:r>
        <w:rPr>
          <w:rFonts w:ascii="Arial" w:cs="Arial" w:eastAsia="Arial" w:hAnsi="Arial"/>
          <w:color w:val="1A1A1A"/>
          <w:sz w:val="24"/>
          <w:szCs w:val="24"/>
        </w:rPr>
        <w:t xml:space="preserve">Solace Life is raising $750,000 in a pre-seed round structured as a SAFE or convertible note. We are targeting a close within 60 days.</w:t>
      </w:r>
    </w:p>
    <w:p>
      <w:pPr>
        <w:pStyle w:val="Heading2"/>
        <w:spacing w:after="80" w:before="240"/>
      </w:pPr>
      <w:r>
        <w:rPr>
          <w:rFonts w:ascii="Arial" w:cs="Arial" w:eastAsia="Arial" w:hAnsi="Arial"/>
          <w:b/>
          <w:bCs/>
          <w:color w:val="C0406A"/>
          <w:sz w:val="28"/>
          <w:szCs w:val="28"/>
        </w:rPr>
        <w:t xml:space="preserve">Ideal Investor Profile</w:t>
      </w:r>
    </w:p>
    <w:p>
      <w:pPr>
        <w:pStyle w:val="ListParagraph"/>
        <w:numPr>
          <w:ilvl w:val="0"/>
          <w:numId w:val="2"/>
        </w:numPr>
        <w:spacing w:after="40" w:before="40"/>
      </w:pPr>
      <w:r>
        <w:rPr>
          <w:rFonts w:ascii="Arial" w:cs="Arial" w:eastAsia="Arial" w:hAnsi="Arial"/>
          <w:color w:val="1A1A1A"/>
          <w:sz w:val="24"/>
          <w:szCs w:val="24"/>
        </w:rPr>
        <w:t xml:space="preserve">Consumer app experience — understands the freemium-to-subscription conversion model</w:t>
      </w:r>
    </w:p>
    <w:p>
      <w:pPr>
        <w:pStyle w:val="ListParagraph"/>
        <w:numPr>
          <w:ilvl w:val="0"/>
          <w:numId w:val="2"/>
        </w:numPr>
        <w:spacing w:after="40" w:before="40"/>
      </w:pPr>
      <w:r>
        <w:rPr>
          <w:rFonts w:ascii="Arial" w:cs="Arial" w:eastAsia="Arial" w:hAnsi="Arial"/>
          <w:color w:val="1A1A1A"/>
          <w:sz w:val="24"/>
          <w:szCs w:val="24"/>
        </w:rPr>
        <w:t xml:space="preserve">Health, wellness, or legacy/estate adjacent — familiar with the emotional purchase decision</w:t>
      </w:r>
    </w:p>
    <w:p>
      <w:pPr>
        <w:pStyle w:val="ListParagraph"/>
        <w:numPr>
          <w:ilvl w:val="0"/>
          <w:numId w:val="2"/>
        </w:numPr>
        <w:spacing w:after="40" w:before="40"/>
      </w:pPr>
      <w:r>
        <w:rPr>
          <w:rFonts w:ascii="Arial" w:cs="Arial" w:eastAsia="Arial" w:hAnsi="Arial"/>
          <w:color w:val="1A1A1A"/>
          <w:sz w:val="24"/>
          <w:szCs w:val="24"/>
        </w:rPr>
        <w:t xml:space="preserve">Values-aligned — drawn to products that do genuine good in the world</w:t>
      </w:r>
    </w:p>
    <w:p>
      <w:pPr>
        <w:pStyle w:val="ListParagraph"/>
        <w:numPr>
          <w:ilvl w:val="0"/>
          <w:numId w:val="2"/>
        </w:numPr>
        <w:spacing w:after="40" w:before="40"/>
      </w:pPr>
      <w:r>
        <w:rPr>
          <w:rFonts w:ascii="Arial" w:cs="Arial" w:eastAsia="Arial" w:hAnsi="Arial"/>
          <w:color w:val="1A1A1A"/>
          <w:sz w:val="24"/>
          <w:szCs w:val="24"/>
        </w:rPr>
        <w:t xml:space="preserve">Network value — connections in distribution channels: funeral homes, insurance, legal services, HR benefits</w:t>
      </w:r>
    </w:p>
    <w:p>
      <w:pPr>
        <w:spacing w:after="120" w:before="0"/>
      </w:pPr>
      <w:r>
        <w:t xml:space="preserve"/>
      </w:r>
    </w:p>
    <w:p>
      <w:pPr>
        <w:pStyle w:val="Heading2"/>
        <w:spacing w:after="80" w:before="240"/>
      </w:pPr>
      <w:r>
        <w:rPr>
          <w:rFonts w:ascii="Arial" w:cs="Arial" w:eastAsia="Arial" w:hAnsi="Arial"/>
          <w:b/>
          <w:bCs/>
          <w:color w:val="C0406A"/>
          <w:sz w:val="28"/>
          <w:szCs w:val="28"/>
        </w:rPr>
        <w:t xml:space="preserve">Series A Target</w:t>
      </w:r>
    </w:p>
    <w:p>
      <w:pPr>
        <w:spacing w:after="120" w:before="80"/>
      </w:pPr>
      <w:r>
        <w:rPr>
          <w:rFonts w:ascii="Arial" w:cs="Arial" w:eastAsia="Arial" w:hAnsi="Arial"/>
          <w:color w:val="1A1A1A"/>
          <w:sz w:val="24"/>
          <w:szCs w:val="24"/>
        </w:rPr>
        <w:t xml:space="preserve">In 18 months, with $750,000 deployed against the plan described in this document, Solace Life targets: $3 million ARR (approximately 27,000 paying users), a proven B2B distribution proof-of-concept, and an engaged founding member base with documented testimonials. These milestones support a Series A raise of $4 to $6 million at a $20 to $30 million valuation, consistent with comparable consumer subscription companies at this stage.</w:t>
      </w:r>
    </w:p>
    <w:p>
      <w:pPr>
        <w:spacing w:after="120" w:before="0"/>
      </w:pPr>
      <w:r>
        <w:t xml:space="preserve"/>
      </w:r>
    </w:p>
    <w:p>
      <w:pPr>
        <w:pStyle w:val="Heading2"/>
        <w:spacing w:after="80" w:before="240"/>
      </w:pPr>
      <w:r>
        <w:rPr>
          <w:rFonts w:ascii="Arial" w:cs="Arial" w:eastAsia="Arial" w:hAnsi="Arial"/>
          <w:b/>
          <w:bCs/>
          <w:color w:val="C0406A"/>
          <w:sz w:val="28"/>
          <w:szCs w:val="28"/>
        </w:rPr>
        <w:t xml:space="preserve">Contact</w:t>
      </w:r>
    </w:p>
    <w:p>
      <w:pPr>
        <w:spacing w:after="120" w:before="80"/>
      </w:pPr>
      <w:r>
        <w:rPr>
          <w:rFonts w:ascii="Arial" w:cs="Arial" w:eastAsia="Arial" w:hAnsi="Arial"/>
          <w:color w:val="1A1A1A"/>
          <w:sz w:val="24"/>
          <w:szCs w:val="24"/>
        </w:rPr>
        <w:t xml:space="preserve">Sokha Eang, Founder</w:t>
      </w:r>
    </w:p>
    <w:p>
      <w:pPr>
        <w:spacing w:after="120" w:before="80"/>
      </w:pPr>
      <w:r>
        <w:rPr>
          <w:rFonts w:ascii="Arial" w:cs="Arial" w:eastAsia="Arial" w:hAnsi="Arial"/>
          <w:color w:val="1A1A1A"/>
          <w:sz w:val="24"/>
          <w:szCs w:val="24"/>
        </w:rPr>
        <w:t xml:space="preserve">memories@solacelife.ca</w:t>
      </w:r>
    </w:p>
    <w:p>
      <w:pPr>
        <w:spacing w:after="120" w:before="80"/>
      </w:pPr>
      <w:r>
        <w:rPr>
          <w:rFonts w:ascii="Arial" w:cs="Arial" w:eastAsia="Arial" w:hAnsi="Arial"/>
          <w:color w:val="1A1A1A"/>
          <w:sz w:val="24"/>
          <w:szCs w:val="24"/>
        </w:rPr>
        <w:t xml:space="preserve">solacelife.ca</w:t>
      </w:r>
    </w:p>
    <w:p>
      <w:pPr>
        <w:spacing w:after="120" w:before="0"/>
      </w:pPr>
      <w:r>
        <w:t xml:space="preserve"/>
      </w:r>
    </w:p>
    <w:p>
      <w:pPr>
        <w:spacing w:after="120" w:before="80"/>
      </w:pPr>
      <w:r>
        <w:rPr>
          <w:rFonts w:ascii="Arial" w:cs="Arial" w:eastAsia="Arial" w:hAnsi="Arial"/>
          <w:color w:val="1A1A1A"/>
          <w:sz w:val="24"/>
          <w:szCs w:val="24"/>
        </w:rPr>
        <w:t xml:space="preserve">This document is confidential and intended solely for the recipient. It does not constitute an offer or solicitation to sell securities. All financial projections are forward-looking estimates and are subject to change.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Solace Life  ·  Confidential  ·  Pre-Seed 2026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A0264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C0406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2026-05-18T18:20:37.523Z</dcterms:created>
  <dcterms:modified xsi:type="dcterms:W3CDTF">2026-05-18T18:20:37.523Z</dcterms:modified>
</cp:coreProperties>
</file>

<file path=docProps/custom.xml><?xml version="1.0" encoding="utf-8"?>
<Properties xmlns="http://schemas.openxmlformats.org/officeDocument/2006/custom-properties" xmlns:vt="http://schemas.openxmlformats.org/officeDocument/2006/docPropsVTypes"/>
</file>