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0"/>
          <w:szCs w:val="160"/>
        </w:rPr>
        <w:t xml:space="preserve"/>
      </w:r>
    </w:p>
    <w:p>
      <w:pPr>
        <w:spacing w:after="80" w:before="0"/>
        <w:jc w:val="center"/>
      </w:pPr>
      <w:r>
        <w:rPr>
          <w:rFonts w:ascii="Arial" w:cs="Arial" w:eastAsia="Arial" w:hAnsi="Arial"/>
          <w:b/>
          <w:bCs/>
          <w:color w:val="3D1020"/>
          <w:sz w:val="72"/>
          <w:szCs w:val="72"/>
        </w:rPr>
        <w:t xml:space="preserve">Solace Life</w:t>
      </w:r>
    </w:p>
    <w:p>
      <w:pPr>
        <w:spacing w:after="60" w:before="60"/>
        <w:jc w:val="center"/>
      </w:pPr>
      <w:r>
        <w:rPr>
          <w:rFonts w:ascii="Arial" w:cs="Arial" w:eastAsia="Arial" w:hAnsi="Arial"/>
          <w:b/>
          <w:bCs/>
          <w:color w:val="5A1830"/>
          <w:sz w:val="44"/>
          <w:szCs w:val="44"/>
        </w:rPr>
        <w:t xml:space="preserve">Partner Revenue Strategy</w:t>
      </w:r>
    </w:p>
    <w:p>
      <w:pPr>
        <w:spacing w:after="0" w:before="0"/>
      </w:pPr>
      <w:r>
        <w:rPr>
          <w:sz w:val="40"/>
          <w:szCs w:val="40"/>
        </w:rPr>
        <w:t xml:space="preserve"/>
      </w:r>
    </w:p>
    <w:p>
      <w:pPr>
        <w:spacing w:after="0" w:before="0"/>
      </w:pPr>
      <w:r>
        <w:rPr/>
        <w:br w:type="page"/>
      </w:r>
    </w:p>
    <w:p>
      <w:pPr>
        <w:spacing w:after="0" w:before="0"/>
      </w:pPr>
      <w:r>
        <w:rPr>
          <w:sz w:val="12"/>
          <w:szCs w:val="12"/>
        </w:rPr>
        <w:t xml:space="preserve"/>
      </w:r>
    </w:p>
    <w:p>
      <w:pPr>
        <w:pBdr>
          <w:bottom w:val="single" w:color="3D1020" w:sz="8" w:space="4"/>
        </w:pBdr>
        <w:spacing w:after="140" w:before="320"/>
      </w:pPr>
      <w:r>
        <w:rPr>
          <w:rFonts w:ascii="Arial" w:cs="Arial" w:eastAsia="Arial" w:hAnsi="Arial"/>
          <w:b/>
          <w:bCs/>
          <w:color w:val="3D1020"/>
          <w:sz w:val="36"/>
          <w:szCs w:val="36"/>
        </w:rPr>
        <w:t xml:space="preserve">Section 6 — User Survey &amp; Partner Score Tracking</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6.1  Purpose of the User Survey</w:t>
      </w:r>
    </w:p>
    <w:p>
      <w:pPr>
        <w:spacing w:after="100" w:before="60"/>
        <w:jc w:val="left"/>
      </w:pPr>
      <w:r>
        <w:rPr>
          <w:rFonts w:ascii="Arial" w:cs="Arial" w:eastAsia="Arial" w:hAnsi="Arial"/>
          <w:b w:val="false"/>
          <w:bCs w:val="false"/>
          <w:i w:val="false"/>
          <w:iCs w:val="false"/>
          <w:color w:val="333333"/>
          <w:sz w:val="22"/>
          <w:szCs w:val="22"/>
        </w:rPr>
        <w:t xml:space="preserve">The partner scoring system is only as good as the data feeding it. Rather than relying on partner-reported metrics or manual monitoring, the primary source of truth for partner scores is the Solace Life user who experienced the interaction firsthand. After every partner referral interaction, the Solace Life app prompts the user with a short six-question survey. Responses feed directly into the partner’s composite score and drive tier assignment.</w:t>
      </w:r>
    </w:p>
    <w:p>
      <w:pPr>
        <w:spacing w:after="100" w:before="60"/>
        <w:jc w:val="left"/>
      </w:pPr>
      <w:r>
        <w:rPr>
          <w:rFonts w:ascii="Arial" w:cs="Arial" w:eastAsia="Arial" w:hAnsi="Arial"/>
          <w:b w:val="false"/>
          <w:bCs w:val="false"/>
          <w:i w:val="false"/>
          <w:iCs w:val="false"/>
          <w:color w:val="333333"/>
          <w:sz w:val="22"/>
          <w:szCs w:val="22"/>
        </w:rPr>
        <w:t xml:space="preserve">This approach creates a self-improving quality loop: partners who deliver excellent service earn higher scores, receive more leads, and grow their referral business. Partners who underperform see lead allocation reduced — an automatic, data-driven incentive to improve without requiring manual intervention from the Solace Life team.</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6.2  The Six Survey Questions</w:t>
      </w:r>
    </w:p>
    <w:p>
      <w:pPr>
        <w:spacing w:after="100" w:before="60"/>
        <w:jc w:val="left"/>
      </w:pPr>
      <w:r>
        <w:rPr>
          <w:rFonts w:ascii="Arial" w:cs="Arial" w:eastAsia="Arial" w:hAnsi="Arial"/>
          <w:b w:val="false"/>
          <w:bCs w:val="false"/>
          <w:i w:val="false"/>
          <w:iCs w:val="false"/>
          <w:color w:val="333333"/>
          <w:sz w:val="22"/>
          <w:szCs w:val="22"/>
        </w:rPr>
        <w:t xml:space="preserve">The survey is triggered automatically when a user marks a partner introduction as completed in the Solace Life app. All questions use a 1–5 star rating scale. Question 4 (transaction completion) is a Yes / No choice but is scored on the 0–100 scale for formula consistency.</w:t>
      </w:r>
    </w:p>
    <w:p>
      <w:pPr>
        <w:spacing w:after="0" w:before="0"/>
      </w:pPr>
      <w:r>
        <w:rPr>
          <w:sz w:val="12"/>
          <w:szCs w:val="12"/>
        </w:rPr>
        <w:t xml:space="preserve"/>
      </w:r>
    </w:p>
    <w:tbl>
      <w:tblPr>
        <w:tblW w:type="dxa" w:w="8360"/>
        <w:tblBorders>
          <w:insideH w:val="single" w:color="CCCCCC" w:sz="1"/>
          <w:insideV w:val="single" w:color="CCCCCC" w:sz="1"/>
        </w:tblBorders>
        <w:tblCellMar>
          <w:top w:type="dxa" w:w="80"/>
          <w:bottom w:type="dxa" w:w="80"/>
        </w:tblCellMar>
      </w:tblPr>
      <w:tblGrid>
        <w:gridCol w:w="400"/>
        <w:gridCol w:w="4400"/>
        <w:gridCol w:w="2600"/>
        <w:gridCol w:w="960"/>
      </w:tblGrid>
      <w:tr>
        <w:trPr>
          <w:tblHeader/>
        </w:trPr>
        <w:tc>
          <w:tcPr>
            <w:tcW w:type="dxa" w:w="4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Survey Question (shown to Solace Life user)</w:t>
            </w:r>
          </w:p>
        </w:tc>
        <w:tc>
          <w:tcPr>
            <w:tcW w:type="dxa" w:w="26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Scoring Criterion</w:t>
            </w:r>
          </w:p>
        </w:tc>
        <w:tc>
          <w:tcPr>
            <w:tcW w:type="dxa" w:w="9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Weight</w:t>
            </w:r>
          </w:p>
        </w:tc>
      </w:tr>
      <w:tr>
        <w:tc>
          <w:tcPr>
            <w:tcW w:type="dxa" w:w="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Q1</w:t>
            </w:r>
          </w:p>
        </w:tc>
        <w:tc>
          <w:tcPr>
            <w:tcW w:type="dxa" w:w="4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How quickly did [Partner Name] respond to your initial inquiry?</w:t>
            </w:r>
          </w:p>
        </w:tc>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Response Time</w:t>
            </w:r>
          </w:p>
        </w:tc>
        <w:tc>
          <w:tcPr>
            <w:tcW w:type="dxa" w:w="9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20%</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Q2</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How would you rate [Partner Name]’s communication throughout?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Satisfaction</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10%</w:t>
            </w:r>
          </w:p>
        </w:tc>
      </w:tr>
      <w:tr>
        <w:tc>
          <w:tcPr>
            <w:tcW w:type="dxa" w:w="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Q3</w:t>
            </w:r>
          </w:p>
        </w:tc>
        <w:tc>
          <w:tcPr>
            <w:tcW w:type="dxa" w:w="4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Did [Partner Name] take time to understand your specific needs?</w:t>
            </w:r>
          </w:p>
        </w:tc>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Satisfaction</w:t>
            </w:r>
          </w:p>
        </w:tc>
        <w:tc>
          <w:tcPr>
            <w:tcW w:type="dxa" w:w="9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15%</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Q4</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Did you complete a transaction or service engagement with [Partner Name]?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Closing Ratio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30%</w:t>
            </w:r>
          </w:p>
        </w:tc>
      </w:tr>
      <w:tr>
        <w:tc>
          <w:tcPr>
            <w:tcW w:type="dxa" w:w="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Q5</w:t>
            </w:r>
          </w:p>
        </w:tc>
        <w:tc>
          <w:tcPr>
            <w:tcW w:type="dxa" w:w="4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Would you recommend [Partner Name] to another Solace Life member?</w:t>
            </w:r>
          </w:p>
        </w:tc>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Recommendation</w:t>
            </w:r>
          </w:p>
        </w:tc>
        <w:tc>
          <w:tcPr>
            <w:tcW w:type="dxa" w:w="9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25%</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Q6</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Overall, how satisfied are you with your experience with [Partner Name]?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Satisfaction (avg w/ Q2, Q3)</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w:t>
            </w:r>
          </w:p>
        </w:tc>
      </w:tr>
    </w:tbl>
    <w:p>
      <w:pPr>
        <w:spacing w:after="0" w:before="0"/>
      </w:pPr>
      <w:r>
        <w:rPr>
          <w:sz w:val="12"/>
          <w:szCs w:val="12"/>
        </w:rPr>
        <w:t xml:space="preserve"/>
      </w:r>
    </w:p>
    <w:p>
      <w:pPr>
        <w:spacing w:after="100" w:before="60"/>
        <w:jc w:val="left"/>
      </w:pPr>
      <w:r>
        <w:rPr>
          <w:rFonts w:ascii="Arial" w:cs="Arial" w:eastAsia="Arial" w:hAnsi="Arial"/>
          <w:b w:val="false"/>
          <w:bCs w:val="false"/>
          <w:i w:val="false"/>
          <w:iCs w:val="false"/>
          <w:color w:val="333333"/>
          <w:sz w:val="22"/>
          <w:szCs w:val="22"/>
        </w:rPr>
        <w:t xml:space="preserve">Users who do not respond within 7 days receive a single follow-up prompt. Non-responses are excluded from score calculations — only submitted surveys count. A minimum of 3 surveys per quarter is required before a partner’s score is updated. Partners below this threshold retain their previous quarter’s score.</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6.3  Score Conversion — Stars to Points</w:t>
      </w:r>
    </w:p>
    <w:p>
      <w:pPr>
        <w:spacing w:after="100" w:before="60"/>
        <w:jc w:val="left"/>
      </w:pPr>
      <w:r>
        <w:rPr>
          <w:rFonts w:ascii="Arial" w:cs="Arial" w:eastAsia="Arial" w:hAnsi="Arial"/>
          <w:b w:val="false"/>
          <w:bCs w:val="false"/>
          <w:i w:val="false"/>
          <w:iCs w:val="false"/>
          <w:color w:val="333333"/>
          <w:sz w:val="22"/>
          <w:szCs w:val="22"/>
        </w:rPr>
        <w:t xml:space="preserve">Star ratings are converted to a 0–100 point scale using a linear formula: Score = (Stars − 1) ɇ 4 × 100. For Question 4, a Yes converts to 100 points and a No converts to 0 points.</w:t>
      </w:r>
    </w:p>
    <w:p>
      <w:pPr>
        <w:spacing w:after="0" w:before="0"/>
      </w:pPr>
      <w:r>
        <w:rPr>
          <w:sz w:val="12"/>
          <w:szCs w:val="12"/>
        </w:rPr>
        <w:t xml:space="preserve"/>
      </w:r>
    </w:p>
    <w:tbl>
      <w:tblPr>
        <w:tblW w:type="dxa" w:w="9360"/>
        <w:tblBorders>
          <w:insideH w:val="single" w:color="CCCCCC" w:sz="1"/>
          <w:insideV w:val="single" w:color="CCCCCC" w:sz="1"/>
        </w:tblBorders>
        <w:tblCellMar>
          <w:top w:type="dxa" w:w="80"/>
          <w:bottom w:type="dxa" w:w="80"/>
        </w:tblCellMar>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Rating</w:t>
            </w:r>
          </w:p>
        </w:tc>
        <w:tc>
          <w:tcPr>
            <w:tcW w:type="dxa" w:w="15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1 Star</w:t>
            </w:r>
          </w:p>
        </w:tc>
        <w:tc>
          <w:tcPr>
            <w:tcW w:type="dxa" w:w="15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2 Stars</w:t>
            </w:r>
          </w:p>
        </w:tc>
        <w:tc>
          <w:tcPr>
            <w:tcW w:type="dxa" w:w="15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3 Stars</w:t>
            </w:r>
          </w:p>
        </w:tc>
        <w:tc>
          <w:tcPr>
            <w:tcW w:type="dxa" w:w="15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4 Stars</w:t>
            </w:r>
          </w:p>
        </w:tc>
        <w:tc>
          <w:tcPr>
            <w:tcW w:type="dxa" w:w="15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5 Stars</w:t>
            </w:r>
          </w:p>
        </w:tc>
      </w:tr>
      <w:tr>
        <w:tc>
          <w:tcPr>
            <w:tcW w:type="dxa" w:w="15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Score (0–100)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0 pts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25 pts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50 pts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75 pts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100 pts</w:t>
            </w:r>
          </w:p>
        </w:tc>
      </w:tr>
    </w:tbl>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6.4  Updated Composite Score Formula</w:t>
      </w:r>
    </w:p>
    <w:p>
      <w:pPr>
        <w:spacing w:after="100" w:before="60"/>
        <w:jc w:val="left"/>
      </w:pPr>
      <w:r>
        <w:rPr>
          <w:rFonts w:ascii="Arial" w:cs="Arial" w:eastAsia="Arial" w:hAnsi="Arial"/>
          <w:b w:val="false"/>
          <w:bCs w:val="false"/>
          <w:i w:val="false"/>
          <w:iCs w:val="false"/>
          <w:color w:val="333333"/>
          <w:sz w:val="22"/>
          <w:szCs w:val="22"/>
        </w:rPr>
        <w:t xml:space="preserve">The composite score draws from four weighted criteria, all sourced directly from user survey responses. This replaces the earlier internal-metrics model with a fully user-driven scoring system.</w:t>
      </w:r>
    </w:p>
    <w:p>
      <w:pPr>
        <w:spacing w:after="0" w:before="0"/>
      </w:pPr>
      <w:r>
        <w:rPr>
          <w:sz w:val="12"/>
          <w:szCs w:val="12"/>
        </w:rPr>
        <w:t xml:space="preserve"/>
      </w:r>
    </w:p>
    <w:tbl>
      <w:tblPr>
        <w:tblW w:type="dxa" w:w="9360"/>
        <w:tblBorders>
          <w:insideH w:val="single" w:color="CCCCCC" w:sz="1"/>
          <w:insideV w:val="single" w:color="CCCCCC" w:sz="1"/>
        </w:tblBorders>
        <w:tblCellMar>
          <w:top w:type="dxa" w:w="80"/>
          <w:bottom w:type="dxa" w:w="80"/>
        </w:tblCellMar>
      </w:tblPr>
      <w:tblGrid>
        <w:gridCol w:w="2400"/>
        <w:gridCol w:w="760"/>
        <w:gridCol w:w="2000"/>
        <w:gridCol w:w="4200"/>
      </w:tblGrid>
      <w:tr>
        <w:trPr>
          <w:tblHeader/>
        </w:trPr>
        <w:tc>
          <w:tcPr>
            <w:tcW w:type="dxa" w:w="24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Scoring Criterion</w:t>
            </w:r>
          </w:p>
        </w:tc>
        <w:tc>
          <w:tcPr>
            <w:tcW w:type="dxa" w:w="7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Survey Source</w:t>
            </w:r>
          </w:p>
        </w:tc>
        <w:tc>
          <w:tcPr>
            <w:tcW w:type="dxa" w:w="42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How Measured</w:t>
            </w:r>
          </w:p>
        </w:tc>
      </w:tr>
      <w:tr>
        <w:tc>
          <w:tcPr>
            <w:tcW w:type="dxa" w:w="2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Closing Ratio</w:t>
            </w:r>
          </w:p>
        </w:tc>
        <w:tc>
          <w:tcPr>
            <w:tcW w:type="dxa" w:w="7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30%</w:t>
            </w:r>
          </w:p>
        </w:tc>
        <w:tc>
          <w:tcPr>
            <w:tcW w:type="dxa" w:w="20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Q4</w:t>
            </w:r>
          </w:p>
        </w:tc>
        <w:tc>
          <w:tcPr>
            <w:tcW w:type="dxa" w:w="42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Percentage of users who answered Yes to completing a transaction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Recommendation</w:t>
            </w:r>
          </w:p>
        </w:tc>
        <w:tc>
          <w:tcPr>
            <w:tcW w:type="dxa" w:w="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Percentage who rated 4 or 5 stars on Would you recommend?</w:t>
            </w:r>
          </w:p>
        </w:tc>
      </w:tr>
      <w:tr>
        <w:tc>
          <w:tcPr>
            <w:tcW w:type="dxa" w:w="2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Satisfaction</w:t>
            </w:r>
          </w:p>
        </w:tc>
        <w:tc>
          <w:tcPr>
            <w:tcW w:type="dxa" w:w="7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25%</w:t>
            </w:r>
          </w:p>
        </w:tc>
        <w:tc>
          <w:tcPr>
            <w:tcW w:type="dxa" w:w="20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Q2, Q3, Q6</w:t>
            </w:r>
          </w:p>
        </w:tc>
        <w:tc>
          <w:tcPr>
            <w:tcW w:type="dxa" w:w="42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Average of communication, needs understanding, and overall — converted to 0–100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Response Time</w:t>
            </w:r>
          </w:p>
        </w:tc>
        <w:tc>
          <w:tcPr>
            <w:tcW w:type="dxa" w:w="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Q1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Average star rating converted to 0–100 using (Stars − 1) ɇ 4 × 100</w:t>
            </w:r>
          </w:p>
        </w:tc>
      </w:tr>
    </w:tbl>
    <w:p>
      <w:pPr>
        <w:spacing w:after="0" w:before="0"/>
      </w:pPr>
      <w:r>
        <w:rPr>
          <w:sz w:val="12"/>
          <w:szCs w:val="12"/>
        </w:rPr>
        <w:t xml:space="preserve"/>
      </w:r>
    </w:p>
    <w:p>
      <w:pPr>
        <w:spacing w:after="100" w:before="60"/>
        <w:jc w:val="left"/>
      </w:pPr>
      <w:r>
        <w:rPr>
          <w:rFonts w:ascii="Arial" w:cs="Arial" w:eastAsia="Arial" w:hAnsi="Arial"/>
          <w:b w:val="false"/>
          <w:bCs w:val="false"/>
          <w:i w:val="false"/>
          <w:iCs w:val="false"/>
          <w:color w:val="333333"/>
          <w:sz w:val="22"/>
          <w:szCs w:val="22"/>
        </w:rPr>
        <w:t xml:space="preserve">Formula: (Transaction Rate % × 30%) + (Avg Satisfaction → 0–100 × 25%) + (Response Time → 0–100 × 20%) + (Recommendation Rate % × 25%). Transaction Rate and Recommendation Rate are entered as whole-number percentages. Satisfaction and Response Time star averages are auto-converted to 0–100 by formula in the Partner Score Tracker.</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6.5  Partner Score Tracker</w:t>
      </w:r>
    </w:p>
    <w:p>
      <w:pPr>
        <w:spacing w:after="100" w:before="60"/>
        <w:jc w:val="left"/>
      </w:pPr>
      <w:r>
        <w:rPr>
          <w:rFonts w:ascii="Arial" w:cs="Arial" w:eastAsia="Arial" w:hAnsi="Arial"/>
          <w:b w:val="false"/>
          <w:bCs w:val="false"/>
          <w:i w:val="false"/>
          <w:iCs w:val="false"/>
          <w:color w:val="333333"/>
          <w:sz w:val="22"/>
          <w:szCs w:val="22"/>
        </w:rPr>
        <w:t xml:space="preserve">The Partner Score Tracker tab in the Solace Life Partner Revenue Model Excel file provides a quarterly view of every active partner’s score. Blue cells are manual inputs updated each quarter from the survey export. Black cells are auto-calculated — composite score, tier, and quarter-over-quarter trend require no manual entry.</w:t>
      </w:r>
    </w:p>
    <w:p>
      <w:pPr>
        <w:spacing w:after="0" w:before="0"/>
      </w:pPr>
      <w:r>
        <w:rPr>
          <w:sz w:val="12"/>
          <w:szCs w:val="12"/>
        </w:rPr>
        <w:t xml:space="preserve"/>
      </w:r>
    </w:p>
    <w:tbl>
      <w:tblPr>
        <w:tblW w:type="dxa" w:w="9360"/>
        <w:tblBorders>
          <w:insideH w:val="single" w:color="CCCCCC" w:sz="1"/>
          <w:insideV w:val="single" w:color="CCCCCC" w:sz="1"/>
        </w:tblBorders>
        <w:tblCellMar>
          <w:top w:type="dxa" w:w="80"/>
          <w:bottom w:type="dxa" w:w="80"/>
        </w:tblCellMar>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Tracker Column</w:t>
            </w:r>
          </w:p>
        </w:tc>
        <w:tc>
          <w:tcPr>
            <w:tcW w:type="dxa" w:w="140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Input Type</w:t>
            </w:r>
          </w:p>
        </w:tc>
        <w:tc>
          <w:tcPr>
            <w:tcW w:type="dxa" w:w="5360"/>
            <w:tcBorders>
              <w:top w:val="single" w:color="CCCCCC" w:sz="1"/>
              <w:left w:val="single" w:color="CCCCCC" w:sz="1"/>
              <w:bottom w:val="single" w:color="CCCCCC" w:sz="1"/>
              <w:right w:val="single" w:color="CCCCCC" w:sz="1"/>
            </w:tcBorders>
            <w:shd w:fill="3D1020"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Partner Name / Type</w:t>
            </w:r>
          </w:p>
        </w:tc>
        <w:tc>
          <w:tcPr>
            <w:tcW w:type="dxa" w:w="1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0000FF"/>
                <w:sz w:val="20"/>
                <w:szCs w:val="20"/>
              </w:rPr>
              <w:t xml:space="preserve">Manual</w:t>
            </w:r>
          </w:p>
        </w:tc>
        <w:tc>
          <w:tcPr>
            <w:tcW w:type="dxa" w:w="53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Partner name and category (Financial Planner, Realtor, etc.)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Surveys This Quarter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0000FF"/>
                <w:sz w:val="20"/>
                <w:szCs w:val="20"/>
              </w:rPr>
              <w:t xml:space="preserve">Manual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Total survey responses received from Solace Life users this quarter</w:t>
            </w:r>
          </w:p>
        </w:tc>
      </w:tr>
      <w:tr>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Q1 — Response Time</w:t>
            </w:r>
          </w:p>
        </w:tc>
        <w:tc>
          <w:tcPr>
            <w:tcW w:type="dxa" w:w="1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0000FF"/>
                <w:sz w:val="20"/>
                <w:szCs w:val="20"/>
              </w:rPr>
              <w:t xml:space="preserve">Manual</w:t>
            </w:r>
          </w:p>
        </w:tc>
        <w:tc>
          <w:tcPr>
            <w:tcW w:type="dxa" w:w="53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Average star rating (1–5) from Q1 entered as a decimal (e.g. 4.8)</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Q2, Q3, Q6 — Satisfaction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0000FF"/>
                <w:sz w:val="20"/>
                <w:szCs w:val="20"/>
              </w:rPr>
              <w:t xml:space="preserve">Manual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Average star ratings for communication, needs understanding, and overall</w:t>
            </w:r>
          </w:p>
        </w:tc>
      </w:tr>
      <w:tr>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Q4 — Transaction Rate %</w:t>
            </w:r>
          </w:p>
        </w:tc>
        <w:tc>
          <w:tcPr>
            <w:tcW w:type="dxa" w:w="1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0000FF"/>
                <w:sz w:val="20"/>
                <w:szCs w:val="20"/>
              </w:rPr>
              <w:t xml:space="preserve">Manual</w:t>
            </w:r>
          </w:p>
        </w:tc>
        <w:tc>
          <w:tcPr>
            <w:tcW w:type="dxa" w:w="53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Percentage of users who completed a transaction — enter as whole number (e.g. 82)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Q5 — Recommendation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0000FF"/>
                <w:sz w:val="20"/>
                <w:szCs w:val="20"/>
              </w:rPr>
              <w:t xml:space="preserve">Manual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Percentage who rated 4 or 5 stars on recommendation — whole number</w:t>
            </w:r>
          </w:p>
        </w:tc>
      </w:tr>
      <w:tr>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Composite Score</w:t>
            </w:r>
          </w:p>
        </w:tc>
        <w:tc>
          <w:tcPr>
            <w:tcW w:type="dxa" w:w="1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Auto-formula</w:t>
            </w:r>
          </w:p>
        </w:tc>
        <w:tc>
          <w:tcPr>
            <w:tcW w:type="dxa" w:w="53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Calculated from the four weighted criteria — no manual entry required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Tier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Auto-formula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Platinum / Gold / Silver / Bronze / Suspended based on score thresholds</w:t>
            </w:r>
          </w:p>
        </w:tc>
      </w:tr>
      <w:tr>
        <w:tc>
          <w:tcPr>
            <w:tcW w:type="dxa" w:w="26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Trend</w:t>
            </w:r>
          </w:p>
        </w:tc>
        <w:tc>
          <w:tcPr>
            <w:tcW w:type="dxa" w:w="140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bCs/>
                <w:color w:val="3D1020"/>
                <w:sz w:val="20"/>
                <w:szCs w:val="20"/>
              </w:rPr>
              <w:t xml:space="preserve">Auto-formula</w:t>
            </w:r>
          </w:p>
        </w:tc>
        <w:tc>
          <w:tcPr>
            <w:tcW w:type="dxa" w:w="5360"/>
            <w:tcBorders>
              <w:top w:val="single" w:color="CCCCCC" w:sz="1"/>
              <w:left w:val="single" w:color="CCCCCC" w:sz="1"/>
              <w:bottom w:val="single" w:color="CCCCCC" w:sz="1"/>
              <w:right w:val="single" w:color="CCCCCC" w:sz="1"/>
            </w:tcBorders>
            <w:shd w:fill="FDF8F0" w:val="clear"/>
            <w:tcMar>
              <w:top w:type="dxa" w:w="100"/>
              <w:left w:type="dxa" w:w="140"/>
              <w:bottom w:type="dxa" w:w="100"/>
              <w:right w:type="dxa" w:w="140"/>
            </w:tcMar>
            <w:vAlign w:val="center"/>
          </w:tcPr>
          <w:p>
            <w:pPr>
              <w:spacing w:after="0" w:before="0"/>
            </w:pPr>
            <w:r>
              <w:rPr>
                <w:rFonts w:ascii="Arial" w:cs="Arial" w:eastAsia="Arial" w:hAnsi="Arial"/>
                <w:b w:val="false"/>
                <w:bCs w:val="false"/>
                <w:color w:val="333333"/>
                <w:sz w:val="20"/>
                <w:szCs w:val="20"/>
              </w:rPr>
              <w:t xml:space="preserve">Compares current quarter score to previous quarter — up, down, or flat</w:t>
            </w:r>
          </w:p>
        </w:tc>
      </w:tr>
    </w:tbl>
    <w:p>
      <w:pPr>
        <w:spacing w:after="0" w:before="0"/>
      </w:pPr>
      <w:r>
        <w:rPr>
          <w:sz w:val="12"/>
          <w:szCs w:val="12"/>
        </w:rPr>
        <w:t xml:space="preserve"/>
      </w:r>
    </w:p>
    <w:p>
      <w:pPr>
        <w:spacing w:after="100" w:before="60"/>
        <w:jc w:val="left"/>
      </w:pPr>
      <w:r>
        <w:rPr>
          <w:rFonts w:ascii="Arial" w:cs="Arial" w:eastAsia="Arial" w:hAnsi="Arial"/>
          <w:b w:val="false"/>
          <w:bCs w:val="false"/>
          <w:i w:val="false"/>
          <w:iCs w:val="false"/>
          <w:color w:val="333333"/>
          <w:sz w:val="22"/>
          <w:szCs w:val="22"/>
        </w:rPr>
        <w:t xml:space="preserve">Tier colour coding is applied automatically via conditional formatting: Platinum (grey), Gold (yellow), Silver (silver), Bronze (bronze), Suspended (red). The Trend column compares each partner’s current composite score to their previous quarter score, giving an immediate visual signal of momentum without requiring any manual analysis.</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6.6  Operational Process</w:t>
      </w:r>
    </w:p>
    <w:p>
      <w:pPr>
        <w:spacing w:after="100" w:before="60"/>
        <w:jc w:val="left"/>
      </w:pPr>
      <w:r>
        <w:rPr>
          <w:rFonts w:ascii="Arial" w:cs="Arial" w:eastAsia="Arial" w:hAnsi="Arial"/>
          <w:b w:val="false"/>
          <w:bCs w:val="false"/>
          <w:i w:val="false"/>
          <w:iCs w:val="false"/>
          <w:color w:val="333333"/>
          <w:sz w:val="22"/>
          <w:szCs w:val="22"/>
        </w:rPr>
        <w:t xml:space="preserve">At the end of each quarter (March, June, September, December), export survey data from the Solace Life backend and calculate per-partner averages. For Q1–Q3 and Q6, compute the average star rating across all surveys submitted that quarter. For Q4 (Transaction Rate) and Q5 (Recommendation Rate), calculate: (count of Yes / 4–5 star responses) ɇ (total surveys) × 100. Enter these values into the blue cells in the tracker. Composite scores, tiers, and trends update automatically.</w:t>
      </w:r>
    </w:p>
    <w:p>
      <w:pPr>
        <w:spacing w:after="100" w:before="60"/>
        <w:jc w:val="left"/>
      </w:pPr>
      <w:r>
        <w:rPr>
          <w:rFonts w:ascii="Arial" w:cs="Arial" w:eastAsia="Arial" w:hAnsi="Arial"/>
          <w:b w:val="false"/>
          <w:bCs w:val="false"/>
          <w:i w:val="false"/>
          <w:iCs w:val="false"/>
          <w:color w:val="333333"/>
          <w:sz w:val="22"/>
          <w:szCs w:val="22"/>
        </w:rPr>
        <w:t xml:space="preserve">Partners who receive a Suspended composite score should be contacted within 5 business days with a summary of their user feedback. The 60-day remediation window from Section 2.5 applies. Partners who improve to Bronze or above within the remediation period are reinstated at reduced allocation pending the next full quarterly review.</w:t>
      </w:r>
    </w:p>
    <w:p>
      <w:pPr>
        <w:spacing w:after="0" w:before="0"/>
      </w:pPr>
      <w:r>
        <w:rPr>
          <w:sz w:val="12"/>
          <w:szCs w:val="12"/>
        </w:rPr>
        <w:t xml:space="preserve"/>
      </w:r>
    </w:p>
    <w:p>
      <w:pPr>
        <w:pBdr>
          <w:top w:val="single" w:color="C49A3C" w:sz="4" w:space="8"/>
          <w:bottom w:val="single" w:color="C49A3C" w:sz="4" w:space="8"/>
        </w:pBdr>
        <w:spacing w:after="40" w:before="40"/>
        <w:jc w:val="center"/>
      </w:pPr>
      <w:r>
        <w:rPr>
          <w:rFonts w:ascii="Arial" w:cs="Arial" w:eastAsia="Arial" w:hAnsi="Arial"/>
          <w:i/>
          <w:iCs/>
          <w:color w:val="C49A3C"/>
          <w:sz w:val="26"/>
          <w:szCs w:val="26"/>
        </w:rPr>
        <w:t xml:space="preserve">Referral Scoring System  ·  Fee Model Analysis  ·  Growth Projections</w:t>
      </w:r>
    </w:p>
    <w:p>
      <w:pPr>
        <w:spacing w:after="0" w:before="0"/>
      </w:pPr>
      <w:r>
        <w:rPr>
          <w:sz w:val="120"/>
          <w:szCs w:val="120"/>
        </w:rPr>
        <w:t xml:space="preserve"/>
      </w:r>
    </w:p>
    <w:p>
      <w:pPr>
        <w:spacing w:after="20" w:before="40"/>
        <w:jc w:val="center"/>
      </w:pPr>
      <w:r>
        <w:rPr>
          <w:rFonts w:ascii="Arial" w:cs="Arial" w:eastAsia="Arial" w:hAnsi="Arial"/>
          <w:color w:val="555555"/>
          <w:sz w:val="26"/>
          <w:szCs w:val="26"/>
        </w:rPr>
        <w:t xml:space="preserve">May 2026</w:t>
      </w:r>
    </w:p>
    <w:p>
      <w:pPr>
        <w:spacing w:after="0" w:before="0"/>
      </w:pPr>
      <w:r>
        <w:rPr>
          <w:sz w:val="20"/>
          <w:szCs w:val="20"/>
        </w:rPr>
        <w:t xml:space="preserve"/>
      </w:r>
    </w:p>
    <w:p>
      <w:pPr>
        <w:spacing w:after="20" w:before="20"/>
        <w:jc w:val="center"/>
      </w:pPr>
      <w:r>
        <w:rPr>
          <w:rFonts w:ascii="Arial" w:cs="Arial" w:eastAsia="Arial" w:hAnsi="Arial"/>
          <w:b/>
          <w:bCs/>
          <w:i/>
          <w:iCs/>
          <w:color w:val="3D1020"/>
          <w:sz w:val="24"/>
          <w:szCs w:val="24"/>
        </w:rPr>
        <w:t xml:space="preserve">Confidential</w:t>
      </w:r>
    </w:p>
    <w:p>
      <w:r>
        <w:br w:type="page"/>
      </w:r>
    </w:p>
    <w:p>
      <w:pPr>
        <w:pBdr>
          <w:bottom w:val="single" w:color="3D1020" w:sz="8" w:space="4"/>
        </w:pBdr>
        <w:spacing w:after="140" w:before="320"/>
      </w:pPr>
      <w:r>
        <w:rPr>
          <w:rFonts w:ascii="Arial" w:cs="Arial" w:eastAsia="Arial" w:hAnsi="Arial"/>
          <w:b/>
          <w:bCs/>
          <w:color w:val="3D1020"/>
          <w:sz w:val="36"/>
          <w:szCs w:val="36"/>
        </w:rPr>
        <w:t xml:space="preserve">Section 1 — Executive Summary</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The Opportunity</w:t>
      </w:r>
    </w:p>
    <w:p>
      <w:pPr>
        <w:spacing w:after="100" w:before="60"/>
        <w:jc w:val="left"/>
      </w:pPr>
      <w:r>
        <w:rPr>
          <w:rFonts w:ascii="Arial" w:cs="Arial" w:eastAsia="Arial" w:hAnsi="Arial"/>
          <w:b w:val="false"/>
          <w:bCs w:val="false"/>
          <w:i w:val="false"/>
          <w:iCs w:val="false"/>
          <w:color w:val="333333"/>
          <w:sz w:val="22"/>
          <w:szCs w:val="22"/>
        </w:rPr>
        <w:t xml:space="preserve">Solace Life users are uniquely positioned in life’s most consequential planning moments. Every user is a warm lead for estate lawyers, financial planners, realtors, senior living communities, and tax professionals. Unlike cold referral lists, Solace Life users have self-identified their needs through active engagement with end-of-life and estate planning tools. The partner network converts this natural, high-intent demand into a structured, scalable revenue stream — one that aligns the platform’s growth with the professional services ecosystem that serves the same users.</w:t>
      </w:r>
    </w:p>
    <w:p>
      <w:pPr>
        <w:spacing w:after="0" w:before="0"/>
      </w:pPr>
      <w:r>
        <w:rPr>
          <w:sz w:val="8"/>
          <w:szCs w:val="8"/>
        </w:rPr>
        <w:t xml:space="preserve"/>
      </w:r>
    </w:p>
    <w:p>
      <w:pPr>
        <w:spacing w:after="100" w:before="240"/>
      </w:pPr>
      <w:r>
        <w:rPr>
          <w:rFonts w:ascii="Arial" w:cs="Arial" w:eastAsia="Arial" w:hAnsi="Arial"/>
          <w:b/>
          <w:bCs/>
          <w:color w:val="3D1020"/>
          <w:sz w:val="28"/>
          <w:szCs w:val="28"/>
        </w:rPr>
        <w:t xml:space="preserve">Two Models Evaluated</w:t>
      </w:r>
    </w:p>
    <w:p>
      <w:pPr>
        <w:spacing w:after="100" w:before="60"/>
        <w:jc w:val="left"/>
      </w:pPr>
      <w:r>
        <w:rPr>
          <w:rFonts w:ascii="Arial" w:cs="Arial" w:eastAsia="Arial" w:hAnsi="Arial"/>
          <w:b w:val="false"/>
          <w:bCs w:val="false"/>
          <w:i w:val="false"/>
          <w:iCs w:val="false"/>
          <w:color w:val="333333"/>
          <w:sz w:val="22"/>
          <w:szCs w:val="22"/>
        </w:rPr>
        <w:t xml:space="preserve">This document evaluates two fee structures for the Solace Life referral program: a fixed-fee model (a flat dollar amount per successfully retained client, offering simplicity and predictability) and a percentage-of-engagement model (a share of the partner’s first-engagement revenue, capturing true transaction value). The percentage model is particularly powerful in real estate, where a single home-sale referral generates multiples of any fixed fee. Conservative projections show the percentage model generates 2–2.2× more revenue at every stage of growth.</w:t>
      </w:r>
    </w:p>
    <w:p>
      <w:pPr>
        <w:spacing w:after="0" w:before="0"/>
      </w:pPr>
      <w:r>
        <w:rPr>
          <w:sz w:val="8"/>
          <w:szCs w:val="8"/>
        </w:rPr>
        <w:t xml:space="preserve"/>
      </w:r>
    </w:p>
    <w:p>
      <w:pPr>
        <w:spacing w:after="100" w:before="240"/>
      </w:pPr>
      <w:r>
        <w:rPr>
          <w:rFonts w:ascii="Arial" w:cs="Arial" w:eastAsia="Arial" w:hAnsi="Arial"/>
          <w:b/>
          <w:bCs/>
          <w:color w:val="3D1020"/>
          <w:sz w:val="28"/>
          <w:szCs w:val="28"/>
        </w:rPr>
        <w:t xml:space="preserve">Recommendation</w:t>
      </w:r>
    </w:p>
    <w:p>
      <w:pPr>
        <w:spacing w:after="100" w:before="60"/>
        <w:jc w:val="left"/>
      </w:pPr>
      <w:r>
        <w:rPr>
          <w:rFonts w:ascii="Arial" w:cs="Arial" w:eastAsia="Arial" w:hAnsi="Arial"/>
          <w:b w:val="false"/>
          <w:bCs w:val="false"/>
          <w:i w:val="false"/>
          <w:iCs w:val="false"/>
          <w:color w:val="333333"/>
          <w:sz w:val="22"/>
          <w:szCs w:val="22"/>
        </w:rPr>
        <w:t xml:space="preserve">Launch with the percentage model with a minimum floor of $300 per referral. This floor protects against edge cases (low-value first engagements) while preserving the upside that makes the percentage model compelling. Implement partner scoring from Day 1 to route leads to the highest-performing partners — improving both Solace Life revenue and the user experience simultaneously. Review fixed vs. percentage performance at the six-month mark using real conversion data.</w:t>
      </w:r>
    </w:p>
    <w:p>
      <w:pPr>
        <w:spacing w:after="0" w:before="0"/>
      </w:pPr>
      <w:r>
        <w:rPr>
          <w:sz w:val="16"/>
          <w:szCs w:val="16"/>
        </w:rPr>
        <w:t xml:space="preserve"/>
      </w:r>
    </w:p>
    <w:p>
      <w:r>
        <w:br w:type="page"/>
      </w:r>
    </w:p>
    <w:p>
      <w:pPr>
        <w:pBdr>
          <w:bottom w:val="single" w:color="3D1020" w:sz="8" w:space="4"/>
        </w:pBdr>
        <w:spacing w:after="140" w:before="320"/>
      </w:pPr>
      <w:r>
        <w:rPr>
          <w:rFonts w:ascii="Arial" w:cs="Arial" w:eastAsia="Arial" w:hAnsi="Arial"/>
          <w:b/>
          <w:bCs/>
          <w:color w:val="3D1020"/>
          <w:sz w:val="36"/>
          <w:szCs w:val="36"/>
        </w:rPr>
        <w:t xml:space="preserve">Section 2 — Partner Scoring System</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2.1  Why Scoring Matters</w:t>
      </w:r>
    </w:p>
    <w:p>
      <w:pPr>
        <w:spacing w:after="100" w:before="60"/>
        <w:jc w:val="left"/>
      </w:pPr>
      <w:r>
        <w:rPr>
          <w:rFonts w:ascii="Arial" w:cs="Arial" w:eastAsia="Arial" w:hAnsi="Arial"/>
          <w:b w:val="false"/>
          <w:bCs w:val="false"/>
          <w:i w:val="false"/>
          <w:iCs w:val="false"/>
          <w:color w:val="333333"/>
          <w:sz w:val="22"/>
          <w:szCs w:val="22"/>
        </w:rPr>
        <w:t xml:space="preserve">Not all partners deliver equal value. Consider two realtors in the same city: Partner A closes 10% of leads sent; Partner B closes 80%. Sending equal leads to both wastes 90% of Partner A’s referrals and limits the growth of Partner B. A scoring system ensures the best partners get the most leads — improving Solace Life revenue and user experience simultaneously. Users get connected to high-performing professionals; high-performing professionals get more business; and Solace Life earns more per lead generated.</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2.2  Scoring Criteria</w:t>
      </w:r>
    </w:p>
    <w:p>
      <w:pPr>
        <w:spacing w:after="100" w:before="60"/>
        <w:jc w:val="left"/>
      </w:pPr>
      <w:r>
        <w:rPr>
          <w:rFonts w:ascii="Arial" w:cs="Arial" w:eastAsia="Arial" w:hAnsi="Arial"/>
          <w:b w:val="false"/>
          <w:bCs w:val="false"/>
          <w:i w:val="false"/>
          <w:iCs w:val="false"/>
          <w:color w:val="333333"/>
          <w:sz w:val="22"/>
          <w:szCs w:val="22"/>
        </w:rPr>
        <w:t xml:space="preserve">Partner scores are calculated on a 100-point scale using the following weighted criteria:</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Criterion</w:t>
            </w:r>
          </w:p>
        </w:tc>
        <w:tc>
          <w:tcPr>
            <w:tcW w:type="dxa" w:w="11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Weight</w:t>
            </w:r>
          </w:p>
        </w:tc>
        <w:tc>
          <w:tcPr>
            <w:tcW w:type="dxa" w:w="566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How It’s Measured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Closing Ratio</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40%</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Retained clients ÷ leads sent (rolling 90 days)</w:t>
            </w:r>
          </w:p>
        </w:tc>
      </w:tr>
      <w:tr>
        <w:trPr>
          <w:tblHeader w:val="false"/>
        </w:trPr>
        <w:tc>
          <w:tcPr>
            <w:tcW w:type="dxa" w:w="2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Client Satisfaction</w:t>
            </w:r>
          </w:p>
        </w:tc>
        <w:tc>
          <w:tcPr>
            <w:tcW w:type="dxa" w:w="11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25%</w:t>
            </w:r>
          </w:p>
        </w:tc>
        <w:tc>
          <w:tcPr>
            <w:tcW w:type="dxa" w:w="56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Post-referral star rating from Solace Life user (1–5)</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Response Time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20%</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Time from introduction to first partner contact</w:t>
            </w:r>
          </w:p>
        </w:tc>
      </w:tr>
      <w:tr>
        <w:trPr>
          <w:tblHeader w:val="false"/>
        </w:trPr>
        <w:tc>
          <w:tcPr>
            <w:tcW w:type="dxa" w:w="2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Partnership Engagement</w:t>
            </w:r>
          </w:p>
        </w:tc>
        <w:tc>
          <w:tcPr>
            <w:tcW w:type="dxa" w:w="11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15%</w:t>
            </w:r>
          </w:p>
        </w:tc>
        <w:tc>
          <w:tcPr>
            <w:tcW w:type="dxa" w:w="56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Profile completeness, training, participation</w:t>
            </w:r>
          </w:p>
        </w:tc>
      </w:tr>
    </w:tbl>
    <w:p>
      <w:pPr>
        <w:spacing w:after="0" w:before="0"/>
      </w:pPr>
      <w:r>
        <w:rPr>
          <w:sz w:val="12"/>
          <w:szCs w:val="12"/>
        </w:rPr>
        <w:t xml:space="preserve"/>
      </w:r>
    </w:p>
    <w:p>
      <w:pPr>
        <w:spacing w:after="100" w:before="60"/>
        <w:jc w:val="left"/>
      </w:pPr>
      <w:r>
        <w:rPr>
          <w:rFonts w:ascii="Arial" w:cs="Arial" w:eastAsia="Arial" w:hAnsi="Arial"/>
          <w:b w:val="false"/>
          <w:bCs w:val="false"/>
          <w:i w:val="false"/>
          <w:iCs w:val="false"/>
          <w:color w:val="333333"/>
          <w:sz w:val="22"/>
          <w:szCs w:val="22"/>
        </w:rPr>
        <w:t xml:space="preserve">Closing ratio is weighted highest (40%) because it directly drives Solace Life revenue and is the clearest signal of partner quality. Client satisfaction (25%) ensures that lead routing optimizes for user experience, not just conversion volume.</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2.3  Partner Tiers</w:t>
      </w:r>
    </w:p>
    <w:p>
      <w:pPr>
        <w:spacing w:after="100" w:before="60"/>
        <w:jc w:val="left"/>
      </w:pPr>
      <w:r>
        <w:rPr>
          <w:rFonts w:ascii="Arial" w:cs="Arial" w:eastAsia="Arial" w:hAnsi="Arial"/>
          <w:b w:val="false"/>
          <w:bCs w:val="false"/>
          <w:i w:val="false"/>
          <w:iCs w:val="false"/>
          <w:color w:val="333333"/>
          <w:sz w:val="22"/>
          <w:szCs w:val="22"/>
        </w:rPr>
        <w:t xml:space="preserve">Partners are assigned to tiers based on their composite score. Tier determines referral allocation — the percentage of regional leads routed to that partner.</w:t>
      </w:r>
    </w:p>
    <w:p>
      <w:pPr>
        <w:spacing w:after="0" w:before="0"/>
      </w:pPr>
      <w:r>
        <w:rPr>
          <w:sz w:val="12"/>
          <w:szCs w:val="1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60"/>
        <w:gridCol w:w="2400"/>
      </w:tblGrid>
      <w:tr>
        <w:trPr>
          <w:tblHeader/>
        </w:trPr>
        <w:tc>
          <w:tcPr>
            <w:tcW w:type="dxa" w:w="18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Tier</w:t>
            </w:r>
          </w:p>
        </w:tc>
        <w:tc>
          <w:tcPr>
            <w:tcW w:type="dxa" w:w="15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Score</w:t>
            </w:r>
          </w:p>
        </w:tc>
        <w:tc>
          <w:tcPr>
            <w:tcW w:type="dxa" w:w="306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Referral Allocation</w:t>
            </w:r>
          </w:p>
        </w:tc>
        <w:tc>
          <w:tcPr>
            <w:tcW w:type="dxa" w:w="24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Review Cadence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Platinum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90–100</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40% of regional leads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Annual review</w:t>
            </w:r>
          </w:p>
        </w:tc>
      </w:tr>
      <w:tr>
        <w:trPr>
          <w:tblHeader w:val="false"/>
        </w:trPr>
        <w:tc>
          <w:tcPr>
            <w:tcW w:type="dxa" w:w="1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Gold</w:t>
            </w:r>
          </w:p>
        </w:tc>
        <w:tc>
          <w:tcPr>
            <w:tcW w:type="dxa" w:w="15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75–89</w:t>
            </w:r>
          </w:p>
        </w:tc>
        <w:tc>
          <w:tcPr>
            <w:tcW w:type="dxa" w:w="30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30%</w:t>
            </w:r>
          </w:p>
        </w:tc>
        <w:tc>
          <w:tcPr>
            <w:tcW w:type="dxa" w:w="24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Semi-annual review</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Silver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55–74</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Quarterly check-in</w:t>
            </w:r>
          </w:p>
        </w:tc>
      </w:tr>
      <w:tr>
        <w:trPr>
          <w:tblHeader w:val="false"/>
        </w:trPr>
        <w:tc>
          <w:tcPr>
            <w:tcW w:type="dxa" w:w="1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Bronze</w:t>
            </w:r>
          </w:p>
        </w:tc>
        <w:tc>
          <w:tcPr>
            <w:tcW w:type="dxa" w:w="15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40–54</w:t>
            </w:r>
          </w:p>
        </w:tc>
        <w:tc>
          <w:tcPr>
            <w:tcW w:type="dxa" w:w="30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Improvement plan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Suspended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Below 40</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Partnership review</w:t>
            </w:r>
          </w:p>
        </w:tc>
      </w:tr>
    </w:tbl>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2.4  Scoring Calendar</w:t>
      </w:r>
    </w:p>
    <w:p>
      <w:pPr>
        <w:pStyle w:val="ListParagraph"/>
        <w:numPr>
          <w:ilvl w:val="0"/>
          <w:numId w:val="2"/>
        </w:numPr>
        <w:spacing w:after="60" w:before="40"/>
      </w:pPr>
      <w:r>
        <w:rPr>
          <w:rFonts w:ascii="Arial" w:cs="Arial" w:eastAsia="Arial" w:hAnsi="Arial"/>
          <w:color w:val="333333"/>
          <w:sz w:val="22"/>
          <w:szCs w:val="22"/>
        </w:rPr>
        <w:t xml:space="preserve">Scores calculated quarterly: January, April, July, October</w:t>
      </w:r>
    </w:p>
    <w:p>
      <w:pPr>
        <w:pStyle w:val="ListParagraph"/>
        <w:numPr>
          <w:ilvl w:val="0"/>
          <w:numId w:val="2"/>
        </w:numPr>
        <w:spacing w:after="60" w:before="40"/>
      </w:pPr>
      <w:r>
        <w:rPr>
          <w:rFonts w:ascii="Arial" w:cs="Arial" w:eastAsia="Arial" w:hAnsi="Arial"/>
          <w:color w:val="333333"/>
          <w:sz w:val="22"/>
          <w:szCs w:val="22"/>
        </w:rPr>
        <w:t xml:space="preserve">Partners notified of their tier and specific improvement opportunities within 5 business days</w:t>
      </w:r>
    </w:p>
    <w:p>
      <w:pPr>
        <w:pStyle w:val="ListParagraph"/>
        <w:numPr>
          <w:ilvl w:val="0"/>
          <w:numId w:val="2"/>
        </w:numPr>
        <w:spacing w:after="60" w:before="40"/>
      </w:pPr>
      <w:r>
        <w:rPr>
          <w:rFonts w:ascii="Arial" w:cs="Arial" w:eastAsia="Arial" w:hAnsi="Arial"/>
          <w:color w:val="333333"/>
          <w:sz w:val="22"/>
          <w:szCs w:val="22"/>
        </w:rPr>
        <w:t xml:space="preserve">Tier changes take effect the following month after notification</w:t>
      </w:r>
    </w:p>
    <w:p>
      <w:pPr>
        <w:pStyle w:val="ListParagraph"/>
        <w:numPr>
          <w:ilvl w:val="0"/>
          <w:numId w:val="2"/>
        </w:numPr>
        <w:spacing w:after="60" w:before="40"/>
      </w:pPr>
      <w:r>
        <w:rPr>
          <w:rFonts w:ascii="Arial" w:cs="Arial" w:eastAsia="Arial" w:hAnsi="Arial"/>
          <w:color w:val="333333"/>
          <w:sz w:val="22"/>
          <w:szCs w:val="22"/>
        </w:rPr>
        <w:t xml:space="preserve">New partners start at Silver for their first 90 days (insufficient data period)</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2.5  Incentive Structure — Rewards Program</w:t>
      </w:r>
    </w:p>
    <w:p>
      <w:pPr>
        <w:spacing w:after="100" w:before="60"/>
        <w:jc w:val="left"/>
      </w:pPr>
      <w:r>
        <w:rPr>
          <w:rFonts w:ascii="Arial" w:cs="Arial" w:eastAsia="Arial" w:hAnsi="Arial"/>
          <w:b w:val="false"/>
          <w:bCs w:val="false"/>
          <w:i w:val="false"/>
          <w:iCs w:val="false"/>
          <w:color w:val="333333"/>
          <w:sz w:val="22"/>
          <w:szCs w:val="22"/>
        </w:rPr>
        <w:t xml:space="preserve">Platinum partners receive the full suite of Solace Life partner benefits:</w:t>
      </w:r>
    </w:p>
    <w:p>
      <w:pPr>
        <w:spacing w:after="0" w:before="0"/>
      </w:pPr>
      <w:r>
        <w:rPr>
          <w:sz w:val="8"/>
          <w:szCs w:val="8"/>
        </w:rPr>
        <w:t xml:space="preserve"/>
      </w:r>
    </w:p>
    <w:p>
      <w:pPr>
        <w:pStyle w:val="ListParagraph"/>
        <w:numPr>
          <w:ilvl w:val="0"/>
          <w:numId w:val="2"/>
        </w:numPr>
        <w:spacing w:after="60" w:before="40"/>
      </w:pPr>
      <w:r>
        <w:rPr>
          <w:rFonts w:ascii="Arial" w:cs="Arial" w:eastAsia="Arial" w:hAnsi="Arial"/>
          <w:color w:val="333333"/>
          <w:sz w:val="22"/>
          <w:szCs w:val="22"/>
        </w:rPr>
        <w:t xml:space="preserve">Priority lead routing (40% allocation)</w:t>
      </w:r>
    </w:p>
    <w:p>
      <w:pPr>
        <w:pStyle w:val="ListParagraph"/>
        <w:numPr>
          <w:ilvl w:val="0"/>
          <w:numId w:val="2"/>
        </w:numPr>
        <w:spacing w:after="60" w:before="40"/>
      </w:pPr>
      <w:r>
        <w:rPr>
          <w:rFonts w:ascii="Arial" w:cs="Arial" w:eastAsia="Arial" w:hAnsi="Arial"/>
          <w:color w:val="333333"/>
          <w:sz w:val="22"/>
          <w:szCs w:val="22"/>
        </w:rPr>
        <w:t xml:space="preserve">“Solace Life Platinum Partner” badge for website and marketing</w:t>
      </w:r>
    </w:p>
    <w:p>
      <w:pPr>
        <w:pStyle w:val="ListParagraph"/>
        <w:numPr>
          <w:ilvl w:val="0"/>
          <w:numId w:val="2"/>
        </w:numPr>
        <w:spacing w:after="60" w:before="40"/>
      </w:pPr>
      <w:r>
        <w:rPr>
          <w:rFonts w:ascii="Arial" w:cs="Arial" w:eastAsia="Arial" w:hAnsi="Arial"/>
          <w:color w:val="333333"/>
          <w:sz w:val="22"/>
          <w:szCs w:val="22"/>
        </w:rPr>
        <w:t xml:space="preserve">Featured placement on the in-app partner directory</w:t>
      </w:r>
    </w:p>
    <w:p>
      <w:pPr>
        <w:pStyle w:val="ListParagraph"/>
        <w:numPr>
          <w:ilvl w:val="0"/>
          <w:numId w:val="2"/>
        </w:numPr>
        <w:spacing w:after="60" w:before="40"/>
      </w:pPr>
      <w:r>
        <w:rPr>
          <w:rFonts w:ascii="Arial" w:cs="Arial" w:eastAsia="Arial" w:hAnsi="Arial"/>
          <w:color w:val="333333"/>
          <w:sz w:val="22"/>
          <w:szCs w:val="22"/>
        </w:rPr>
        <w:t xml:space="preserve">Early access to new features (in-app chat, booking)</w:t>
      </w:r>
    </w:p>
    <w:p>
      <w:pPr>
        <w:pStyle w:val="ListParagraph"/>
        <w:numPr>
          <w:ilvl w:val="0"/>
          <w:numId w:val="2"/>
        </w:numPr>
        <w:spacing w:after="60" w:before="40"/>
      </w:pPr>
      <w:r>
        <w:rPr>
          <w:rFonts w:ascii="Arial" w:cs="Arial" w:eastAsia="Arial" w:hAnsi="Arial"/>
          <w:color w:val="333333"/>
          <w:sz w:val="22"/>
          <w:szCs w:val="22"/>
        </w:rPr>
        <w:t xml:space="preserve">Quarterly co-marketing opportunities</w:t>
      </w:r>
    </w:p>
    <w:p>
      <w:pPr>
        <w:spacing w:after="0" w:before="0"/>
      </w:pPr>
      <w:r>
        <w:rPr>
          <w:sz w:val="12"/>
          <w:szCs w:val="12"/>
        </w:rPr>
        <w:t xml:space="preserve"/>
      </w:r>
    </w:p>
    <w:p>
      <w:pPr>
        <w:spacing w:after="100" w:before="60"/>
        <w:jc w:val="left"/>
      </w:pPr>
      <w:r>
        <w:rPr>
          <w:rFonts w:ascii="Arial" w:cs="Arial" w:eastAsia="Arial" w:hAnsi="Arial"/>
          <w:b w:val="false"/>
          <w:bCs w:val="false"/>
          <w:i w:val="false"/>
          <w:iCs w:val="false"/>
          <w:color w:val="333333"/>
          <w:sz w:val="22"/>
          <w:szCs w:val="22"/>
        </w:rPr>
        <w:t xml:space="preserve">Gold partners receive standard benefits including lead routing, directory listing, and access to the partner portal. Silver and Bronze partners receive monthly performance reports with specific, actionable improvement guidance. Partners who fall to Suspended status are placed on a formal partnership review with a 60-day remediation window.</w:t>
      </w:r>
    </w:p>
    <w:p>
      <w:pPr>
        <w:spacing w:after="0" w:before="0"/>
      </w:pPr>
      <w:r>
        <w:rPr>
          <w:sz w:val="16"/>
          <w:szCs w:val="16"/>
        </w:rPr>
        <w:t xml:space="preserve"/>
      </w:r>
    </w:p>
    <w:p>
      <w:r>
        <w:br w:type="page"/>
      </w:r>
    </w:p>
    <w:p>
      <w:pPr>
        <w:pBdr>
          <w:bottom w:val="single" w:color="3D1020" w:sz="8" w:space="4"/>
        </w:pBdr>
        <w:spacing w:after="140" w:before="320"/>
      </w:pPr>
      <w:r>
        <w:rPr>
          <w:rFonts w:ascii="Arial" w:cs="Arial" w:eastAsia="Arial" w:hAnsi="Arial"/>
          <w:b/>
          <w:bCs/>
          <w:color w:val="3D1020"/>
          <w:sz w:val="36"/>
          <w:szCs w:val="36"/>
        </w:rPr>
        <w:t xml:space="preserve">Section 3 — Fee Model Analysis</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3.1  Fixed Fee Model</w:t>
      </w:r>
    </w:p>
    <w:p>
      <w:pPr>
        <w:spacing w:after="100" w:before="60"/>
        <w:jc w:val="left"/>
      </w:pPr>
      <w:r>
        <w:rPr>
          <w:rFonts w:ascii="Arial" w:cs="Arial" w:eastAsia="Arial" w:hAnsi="Arial"/>
          <w:b w:val="false"/>
          <w:bCs w:val="false"/>
          <w:i w:val="false"/>
          <w:iCs w:val="false"/>
          <w:color w:val="333333"/>
          <w:sz w:val="22"/>
          <w:szCs w:val="22"/>
        </w:rPr>
        <w:t xml:space="preserve">Under the fixed fee model, a flat dollar amount is paid to Solace Life per successfully retained client, regardless of the size or value of the deal. This structure is simple, predictable, and easy for partners to budget. There are no disputes about engagement value and no requirement for Solace Life to verify deal size.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Partner Type</w:t>
            </w:r>
          </w:p>
        </w:tc>
        <w:tc>
          <w:tcPr>
            <w:tcW w:type="dxa" w:w="24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Fixed Fee Per Closed Referral</w:t>
            </w:r>
          </w:p>
        </w:tc>
        <w:tc>
          <w:tcPr>
            <w:tcW w:type="dxa" w:w="396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Basis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Estate &amp; Wills Lawyer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$600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Blended: simple wills to estate/probate</w:t>
            </w:r>
          </w:p>
        </w:tc>
      </w:tr>
      <w:tr>
        <w:trPr>
          <w:tblHeader w:val="false"/>
        </w:trPr>
        <w:tc>
          <w:tcPr>
            <w:tcW w:type="dxa" w:w="30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Financial Planner</w:t>
            </w:r>
          </w:p>
        </w:tc>
        <w:tc>
          <w:tcPr>
            <w:tcW w:type="dxa" w:w="24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$500</w:t>
            </w:r>
          </w:p>
        </w:tc>
        <w:tc>
          <w:tcPr>
            <w:tcW w:type="dxa" w:w="39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First engagement setup fee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Realtor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$800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Flat per transaction closed</w:t>
            </w:r>
          </w:p>
        </w:tc>
      </w:tr>
      <w:tr>
        <w:trPr>
          <w:tblHeader w:val="false"/>
        </w:trPr>
        <w:tc>
          <w:tcPr>
            <w:tcW w:type="dxa" w:w="30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Senior Living</w:t>
            </w:r>
          </w:p>
        </w:tc>
        <w:tc>
          <w:tcPr>
            <w:tcW w:type="dxa" w:w="24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$400</w:t>
            </w:r>
          </w:p>
        </w:tc>
        <w:tc>
          <w:tcPr>
            <w:tcW w:type="dxa" w:w="39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Placement fee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CPA / Tax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First tax engagement</w:t>
            </w:r>
          </w:p>
        </w:tc>
      </w:tr>
    </w:tbl>
    <w:p>
      <w:pPr>
        <w:spacing w:after="0" w:before="0"/>
      </w:pPr>
      <w:r>
        <w:rPr>
          <w:sz w:val="12"/>
          <w:szCs w:val="12"/>
        </w:rPr>
        <w:t xml:space="preserve"/>
      </w:r>
    </w:p>
    <w:p>
      <w:pPr>
        <w:spacing w:after="80" w:before="80"/>
      </w:pPr>
      <w:r>
        <w:rPr>
          <w:rFonts w:ascii="Arial" w:cs="Arial" w:eastAsia="Arial" w:hAnsi="Arial"/>
          <w:b/>
          <w:bCs/>
          <w:color w:val="222222"/>
          <w:sz w:val="22"/>
          <w:szCs w:val="22"/>
        </w:rPr>
        <w:t xml:space="preserve">Advantages: </w:t>
      </w:r>
      <w:r>
        <w:rPr>
          <w:rFonts w:ascii="Arial" w:cs="Arial" w:eastAsia="Arial" w:hAnsi="Arial"/>
          <w:color w:val="333333"/>
          <w:sz w:val="22"/>
          <w:szCs w:val="22"/>
        </w:rPr>
        <w:t xml:space="preserve">Simple, partner-friendly, no disputes about deal value. Easy to operationalize in Year 1.</w:t>
      </w:r>
    </w:p>
    <w:p>
      <w:pPr>
        <w:spacing w:after="80" w:before="80"/>
      </w:pPr>
      <w:r>
        <w:rPr>
          <w:rFonts w:ascii="Arial" w:cs="Arial" w:eastAsia="Arial" w:hAnsi="Arial"/>
          <w:b/>
          <w:bCs/>
          <w:color w:val="222222"/>
          <w:sz w:val="22"/>
          <w:szCs w:val="22"/>
        </w:rPr>
        <w:t xml:space="preserve">Disadvantages: </w:t>
      </w:r>
      <w:r>
        <w:rPr>
          <w:rFonts w:ascii="Arial" w:cs="Arial" w:eastAsia="Arial" w:hAnsi="Arial"/>
          <w:color w:val="333333"/>
          <w:sz w:val="22"/>
          <w:szCs w:val="22"/>
        </w:rPr>
        <w:t xml:space="preserve">Leaves significant value uncaptured. A $50,000 probate file pays the same $600 as a $1,500 will. A $1.2M home sale pays the same $800 as a $400K condo. The fixed model systematically underprices the highest-value referrals.</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3.2  Percentage Fee Model</w:t>
      </w:r>
    </w:p>
    <w:p>
      <w:pPr>
        <w:spacing w:after="100" w:before="60"/>
        <w:jc w:val="left"/>
      </w:pPr>
      <w:r>
        <w:rPr>
          <w:rFonts w:ascii="Arial" w:cs="Arial" w:eastAsia="Arial" w:hAnsi="Arial"/>
          <w:b w:val="false"/>
          <w:bCs w:val="false"/>
          <w:i w:val="false"/>
          <w:iCs w:val="false"/>
          <w:color w:val="333333"/>
          <w:sz w:val="22"/>
          <w:szCs w:val="22"/>
        </w:rPr>
        <w:t xml:space="preserve">Under the percentage fee model, Solace Life earns a percentage of the partner’s first-engagement revenue when a referred client retains them. This aligns incentives across all parties: Solace Life only earns more when the partner earns more, and the fee scales naturally with the complexity and value of the work.</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60"/>
        <w:gridCol w:w="2800"/>
      </w:tblGrid>
      <w:tr>
        <w:trPr>
          <w:tblHeader/>
        </w:trPr>
        <w:tc>
          <w:tcPr>
            <w:tcW w:type="dxa" w:w="26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Partner Type</w:t>
            </w:r>
          </w:p>
        </w:tc>
        <w:tc>
          <w:tcPr>
            <w:tcW w:type="dxa" w:w="12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Solace Fee %</w:t>
            </w:r>
          </w:p>
        </w:tc>
        <w:tc>
          <w:tcPr>
            <w:tcW w:type="dxa" w:w="276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Avg First Engagement Value</w:t>
            </w:r>
          </w:p>
        </w:tc>
        <w:tc>
          <w:tcPr>
            <w:tcW w:type="dxa" w:w="28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Avg Solace Earn Per Close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Estate &amp; Wills Lawyer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$3,000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$450</w:t>
            </w:r>
          </w:p>
        </w:tc>
      </w:tr>
      <w:tr>
        <w:trPr>
          <w:tblHeader w:val="false"/>
        </w:trPr>
        <w:tc>
          <w:tcPr>
            <w:tcW w:type="dxa" w:w="2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Financial Planner</w:t>
            </w:r>
          </w:p>
        </w:tc>
        <w:tc>
          <w:tcPr>
            <w:tcW w:type="dxa" w:w="12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12%</w:t>
            </w:r>
          </w:p>
        </w:tc>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$3,500</w:t>
            </w:r>
          </w:p>
        </w:tc>
        <w:tc>
          <w:tcPr>
            <w:tcW w:type="dxa" w:w="2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$420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Realtor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$17,500 gross commission*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$3,500</w:t>
            </w:r>
          </w:p>
        </w:tc>
      </w:tr>
      <w:tr>
        <w:trPr>
          <w:tblHeader w:val="false"/>
        </w:trPr>
        <w:tc>
          <w:tcPr>
            <w:tcW w:type="dxa" w:w="2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Senior Living</w:t>
            </w:r>
          </w:p>
        </w:tc>
        <w:tc>
          <w:tcPr>
            <w:tcW w:type="dxa" w:w="12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15%</w:t>
            </w:r>
          </w:p>
        </w:tc>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$4,500 (first month)</w:t>
            </w:r>
          </w:p>
        </w:tc>
        <w:tc>
          <w:tcPr>
            <w:tcW w:type="dxa" w:w="2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$675</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CPA / Tax</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$1,500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$225</w:t>
            </w:r>
          </w:p>
        </w:tc>
      </w:tr>
    </w:tbl>
    <w:p>
      <w:pPr>
        <w:spacing w:after="0" w:before="0"/>
      </w:pPr>
      <w:r>
        <w:rPr>
          <w:sz w:val="8"/>
          <w:szCs w:val="8"/>
        </w:rPr>
        <w:t xml:space="preserve"/>
      </w:r>
    </w:p>
    <w:p>
      <w:pPr>
        <w:spacing w:after="100" w:before="60"/>
        <w:jc w:val="left"/>
      </w:pPr>
      <w:r>
        <w:rPr>
          <w:rFonts w:ascii="Arial" w:cs="Arial" w:eastAsia="Arial" w:hAnsi="Arial"/>
          <w:b w:val="false"/>
          <w:bCs w:val="false"/>
          <w:i/>
          <w:iCs/>
          <w:color w:val="666666"/>
          <w:sz w:val="20"/>
          <w:szCs w:val="20"/>
        </w:rPr>
        <w:t xml:space="preserve">* Based on Canadian average home price of $700,000 × 2.5% realtor commission = $17,500 gross commission.</w:t>
      </w:r>
    </w:p>
    <w:p>
      <w:pPr>
        <w:spacing w:after="0" w:before="0"/>
      </w:pPr>
      <w:r>
        <w:rPr>
          <w:sz w:val="8"/>
          <w:szCs w:val="8"/>
        </w:rPr>
        <w:t xml:space="preserve"/>
      </w:r>
    </w:p>
    <w:p>
      <w:pPr>
        <w:spacing w:after="100" w:before="60"/>
        <w:jc w:val="left"/>
      </w:pPr>
      <w:r>
        <w:rPr>
          <w:rFonts w:ascii="Arial" w:cs="Arial" w:eastAsia="Arial" w:hAnsi="Arial"/>
          <w:b w:val="false"/>
          <w:bCs w:val="false"/>
          <w:i w:val="false"/>
          <w:iCs w:val="false"/>
          <w:color w:val="333333"/>
          <w:sz w:val="22"/>
          <w:szCs w:val="22"/>
        </w:rPr>
        <w:t xml:space="preserve">A minimum floor of $300 per referral applies regardless of deal size, protecting against edge cases where a first engagement is unusually small.</w:t>
      </w:r>
    </w:p>
    <w:p>
      <w:pPr>
        <w:spacing w:after="0" w:before="0"/>
      </w:pPr>
      <w:r>
        <w:rPr>
          <w:sz w:val="12"/>
          <w:szCs w:val="12"/>
        </w:rPr>
        <w:t xml:space="preserve"/>
      </w:r>
    </w:p>
    <w:p>
      <w:pPr>
        <w:spacing w:after="100" w:before="60"/>
        <w:jc w:val="left"/>
      </w:pPr>
      <w:r>
        <w:rPr>
          <w:rFonts w:ascii="Arial" w:cs="Arial" w:eastAsia="Arial" w:hAnsi="Arial"/>
          <w:b w:val="false"/>
          <w:bCs w:val="false"/>
          <w:i w:val="false"/>
          <w:iCs w:val="false"/>
          <w:color w:val="333333"/>
          <w:sz w:val="22"/>
          <w:szCs w:val="22"/>
        </w:rPr>
        <w:t xml:space="preserve">The realtor vertical is the single most powerful driver of the percentage model’s outperformance. A single home sale generates $3,500 for Solace Life compared to $800 under the fixed model — a 4.4× difference. As Solace Life scales to metro areas with higher average home prices (Vancouver, Toronto), this gap widens further. Realtors represent approximately 25% of leads but an outsized share of percentage-model revenue.</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3.3  Why Solace Life Recommends the Percentage Model</w:t>
      </w:r>
    </w:p>
    <w:p>
      <w:pPr>
        <w:spacing w:after="80" w:before="80"/>
      </w:pPr>
      <w:r>
        <w:rPr>
          <w:rFonts w:ascii="Arial" w:cs="Arial" w:eastAsia="Arial" w:hAnsi="Arial"/>
          <w:b/>
          <w:bCs/>
          <w:color w:val="222222"/>
          <w:sz w:val="22"/>
          <w:szCs w:val="22"/>
        </w:rPr>
        <w:t xml:space="preserve">Value alignment: </w:t>
      </w:r>
      <w:r>
        <w:rPr>
          <w:rFonts w:ascii="Arial" w:cs="Arial" w:eastAsia="Arial" w:hAnsi="Arial"/>
          <w:color w:val="333333"/>
          <w:sz w:val="22"/>
          <w:szCs w:val="22"/>
        </w:rPr>
        <w:t xml:space="preserve">When a client retains a professional and the engagement goes well, all parties benefit. The percentage model ensures Solace Life participates in that upside rather than capping its return at an arbitrary fixed amount.</w:t>
      </w:r>
    </w:p>
    <w:p>
      <w:pPr>
        <w:spacing w:after="0" w:before="0"/>
      </w:pPr>
      <w:r>
        <w:rPr>
          <w:sz w:val="8"/>
          <w:szCs w:val="8"/>
        </w:rPr>
        <w:t xml:space="preserve"/>
      </w:r>
    </w:p>
    <w:p>
      <w:pPr>
        <w:spacing w:after="80" w:before="80"/>
      </w:pPr>
      <w:r>
        <w:rPr>
          <w:rFonts w:ascii="Arial" w:cs="Arial" w:eastAsia="Arial" w:hAnsi="Arial"/>
          <w:b/>
          <w:bCs/>
          <w:color w:val="222222"/>
          <w:sz w:val="22"/>
          <w:szCs w:val="22"/>
        </w:rPr>
        <w:t xml:space="preserve">Real estate leverage: </w:t>
      </w:r>
      <w:r>
        <w:rPr>
          <w:rFonts w:ascii="Arial" w:cs="Arial" w:eastAsia="Arial" w:hAnsi="Arial"/>
          <w:color w:val="333333"/>
          <w:sz w:val="22"/>
          <w:szCs w:val="22"/>
        </w:rPr>
        <w:t xml:space="preserve">Realtors represent roughly 25% of referral leads but generate a disproportionate share of percentage-model revenue. Under the fixed model, a realtor closing a $1.2M home sale pays $800. Under the percentage model, the same referral generates $3,500+. This vertical alone justifies the percentage approach.</w:t>
      </w:r>
    </w:p>
    <w:p>
      <w:pPr>
        <w:spacing w:after="0" w:before="0"/>
      </w:pPr>
      <w:r>
        <w:rPr>
          <w:sz w:val="8"/>
          <w:szCs w:val="8"/>
        </w:rPr>
        <w:t xml:space="preserve"/>
      </w:r>
    </w:p>
    <w:p>
      <w:pPr>
        <w:spacing w:after="80" w:before="80"/>
      </w:pPr>
      <w:r>
        <w:rPr>
          <w:rFonts w:ascii="Arial" w:cs="Arial" w:eastAsia="Arial" w:hAnsi="Arial"/>
          <w:b/>
          <w:bCs/>
          <w:color w:val="222222"/>
          <w:sz w:val="22"/>
          <w:szCs w:val="22"/>
        </w:rPr>
        <w:t xml:space="preserve">Scalability: </w:t>
      </w:r>
      <w:r>
        <w:rPr>
          <w:rFonts w:ascii="Arial" w:cs="Arial" w:eastAsia="Arial" w:hAnsi="Arial"/>
          <w:color w:val="333333"/>
          <w:sz w:val="22"/>
          <w:szCs w:val="22"/>
        </w:rPr>
        <w:t xml:space="preserve">As Solace Life grows and enters higher-value markets — Toronto, Vancouver, Calgary — fixed fees become relatively less valuable. Percentage fees scale automatically with market conditions, property values, and professional engagement complexity, without requiring any pricing renegotiation.</w:t>
      </w:r>
    </w:p>
    <w:p>
      <w:pPr>
        <w:spacing w:after="0" w:before="0"/>
      </w:pPr>
      <w:r>
        <w:rPr>
          <w:sz w:val="16"/>
          <w:szCs w:val="16"/>
        </w:rPr>
        <w:t xml:space="preserve"/>
      </w:r>
    </w:p>
    <w:p>
      <w:r>
        <w:br w:type="page"/>
      </w:r>
    </w:p>
    <w:p>
      <w:pPr>
        <w:pBdr>
          <w:bottom w:val="single" w:color="3D1020" w:sz="8" w:space="4"/>
        </w:pBdr>
        <w:spacing w:after="140" w:before="320"/>
      </w:pPr>
      <w:r>
        <w:rPr>
          <w:rFonts w:ascii="Arial" w:cs="Arial" w:eastAsia="Arial" w:hAnsi="Arial"/>
          <w:b/>
          <w:bCs/>
          <w:color w:val="3D1020"/>
          <w:sz w:val="36"/>
          <w:szCs w:val="36"/>
        </w:rPr>
        <w:t xml:space="preserve">Section 4 — Revenue Projections</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4.1  Methodology</w:t>
      </w:r>
    </w:p>
    <w:p>
      <w:pPr>
        <w:pStyle w:val="ListParagraph"/>
        <w:numPr>
          <w:ilvl w:val="0"/>
          <w:numId w:val="2"/>
        </w:numPr>
        <w:spacing w:after="60" w:before="40"/>
      </w:pPr>
      <w:r>
        <w:rPr>
          <w:rFonts w:ascii="Arial" w:cs="Arial" w:eastAsia="Arial" w:hAnsi="Arial"/>
          <w:color w:val="333333"/>
          <w:sz w:val="22"/>
          <w:szCs w:val="22"/>
        </w:rPr>
        <w:t xml:space="preserve">User growth anchored to existing Solace Life investor model (800 paid users at Month 6; 2,500 at Year 1; 9,500 at Year 2)</w:t>
      </w:r>
    </w:p>
    <w:p>
      <w:pPr>
        <w:pStyle w:val="ListParagraph"/>
        <w:numPr>
          <w:ilvl w:val="0"/>
          <w:numId w:val="2"/>
        </w:numPr>
        <w:spacing w:after="60" w:before="40"/>
      </w:pPr>
      <w:r>
        <w:rPr>
          <w:rFonts w:ascii="Arial" w:cs="Arial" w:eastAsia="Arial" w:hAnsi="Arial"/>
          <w:color w:val="333333"/>
          <w:sz w:val="22"/>
          <w:szCs w:val="22"/>
        </w:rPr>
        <w:t xml:space="preserve">25% of paid users generate at least one professional referral inquiry per year (conservative estimate)</w:t>
      </w:r>
    </w:p>
    <w:p>
      <w:pPr>
        <w:pStyle w:val="ListParagraph"/>
        <w:numPr>
          <w:ilvl w:val="0"/>
          <w:numId w:val="2"/>
        </w:numPr>
        <w:spacing w:after="60" w:before="40"/>
      </w:pPr>
      <w:r>
        <w:rPr>
          <w:rFonts w:ascii="Arial" w:cs="Arial" w:eastAsia="Arial" w:hAnsi="Arial"/>
          <w:color w:val="333333"/>
          <w:sz w:val="22"/>
          <w:szCs w:val="22"/>
        </w:rPr>
        <w:t xml:space="preserve">Lead distribution: Estate/Wills Lawyers 30%, Financial Planners 25%, Realtors 25%, Senior Living 10%, CPA/Tax 10%</w:t>
      </w:r>
    </w:p>
    <w:p>
      <w:pPr>
        <w:pStyle w:val="ListParagraph"/>
        <w:numPr>
          <w:ilvl w:val="0"/>
          <w:numId w:val="2"/>
        </w:numPr>
        <w:spacing w:after="60" w:before="40"/>
      </w:pPr>
      <w:r>
        <w:rPr>
          <w:rFonts w:ascii="Arial" w:cs="Arial" w:eastAsia="Arial" w:hAnsi="Arial"/>
          <w:color w:val="333333"/>
          <w:sz w:val="22"/>
          <w:szCs w:val="22"/>
        </w:rPr>
        <w:t xml:space="preserve">Close rates: 25–40% in Year 1 (baseline); improve by 8 percentage points in Year 2 after scoring system is operational</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4.2  Conservative Projections Summary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600"/>
        <w:gridCol w:w="1700"/>
        <w:gridCol w:w="1800"/>
      </w:tblGrid>
      <w:tr>
        <w:trPr>
          <w:tblHeader/>
        </w:trPr>
        <w:tc>
          <w:tcPr>
            <w:tcW w:type="dxa" w:w="276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
            </w:r>
          </w:p>
        </w:tc>
        <w:tc>
          <w:tcPr>
            <w:tcW w:type="dxa" w:w="15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Month 6</w:t>
            </w:r>
          </w:p>
        </w:tc>
        <w:tc>
          <w:tcPr>
            <w:tcW w:type="dxa" w:w="16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Year 1</w:t>
            </w:r>
          </w:p>
        </w:tc>
        <w:tc>
          <w:tcPr>
            <w:tcW w:type="dxa" w:w="17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Year 2</w:t>
            </w:r>
          </w:p>
        </w:tc>
        <w:tc>
          <w:tcPr>
            <w:tcW w:type="dxa" w:w="18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2-Yr Cumulative</w:t>
            </w:r>
          </w:p>
        </w:tc>
      </w:tr>
      <w:tr>
        <w:trPr>
          <w:tblHeader w:val="false"/>
        </w:trP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Paid Users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2,500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9,500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r>
      <w:tr>
        <w:trPr>
          <w:tblHeader w:val="false"/>
        </w:trPr>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Total Referral Leads</w:t>
            </w:r>
          </w:p>
        </w:tc>
        <w:tc>
          <w:tcPr>
            <w:tcW w:type="dxa" w:w="15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625</w:t>
            </w:r>
          </w:p>
        </w:tc>
        <w:tc>
          <w:tcPr>
            <w:tcW w:type="dxa" w:w="17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2,375</w:t>
            </w:r>
          </w:p>
        </w:tc>
        <w:tc>
          <w:tcPr>
            <w:tcW w:type="dxa" w:w="1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r>
      <w:tr>
        <w:trPr>
          <w:tblHeader w:val="false"/>
        </w:trP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Closed Referrals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~215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~933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r>
      <w:tr>
        <w:trPr>
          <w:tblHeader w:val="false"/>
        </w:trPr>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Fixed Fee Revenue</w:t>
            </w:r>
          </w:p>
        </w:tc>
        <w:tc>
          <w:tcPr>
            <w:tcW w:type="dxa" w:w="15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$21,000</w:t>
            </w:r>
          </w:p>
        </w:tc>
        <w:tc>
          <w:tcPr>
            <w:tcW w:type="dxa" w:w="1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$125,500</w:t>
            </w:r>
          </w:p>
        </w:tc>
        <w:tc>
          <w:tcPr>
            <w:tcW w:type="dxa" w:w="17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$544,000</w:t>
            </w:r>
          </w:p>
        </w:tc>
        <w:tc>
          <w:tcPr>
            <w:tcW w:type="dxa" w:w="1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$669,500</w:t>
            </w:r>
          </w:p>
        </w:tc>
      </w:tr>
      <w:tr>
        <w:trPr>
          <w:tblHeader w:val="false"/>
        </w:trP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Percentage Fee Revenue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$44,000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$270,000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$1,168,000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$1,438,000</w:t>
            </w:r>
          </w:p>
        </w:tc>
      </w:tr>
      <w:tr>
        <w:trPr>
          <w:tblHeader w:val="false"/>
        </w:trPr>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 Model Uplift</w:t>
            </w:r>
          </w:p>
        </w:tc>
        <w:tc>
          <w:tcPr>
            <w:tcW w:type="dxa" w:w="15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+110%</w:t>
            </w:r>
          </w:p>
        </w:tc>
        <w:tc>
          <w:tcPr>
            <w:tcW w:type="dxa" w:w="16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+115%</w:t>
            </w:r>
          </w:p>
        </w:tc>
        <w:tc>
          <w:tcPr>
            <w:tcW w:type="dxa" w:w="17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+115%</w:t>
            </w:r>
          </w:p>
        </w:tc>
        <w:tc>
          <w:tcPr>
            <w:tcW w:type="dxa" w:w="18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+115%</w:t>
            </w:r>
          </w:p>
        </w:tc>
      </w:tr>
    </w:tbl>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4.3  Narrative</w:t>
      </w:r>
    </w:p>
    <w:p>
      <w:pPr>
        <w:spacing w:after="100" w:before="60"/>
        <w:jc w:val="left"/>
      </w:pPr>
      <w:r>
        <w:rPr>
          <w:rFonts w:ascii="Arial" w:cs="Arial" w:eastAsia="Arial" w:hAnsi="Arial"/>
          <w:b w:val="false"/>
          <w:bCs w:val="false"/>
          <w:i w:val="false"/>
          <w:iCs w:val="false"/>
          <w:color w:val="333333"/>
          <w:sz w:val="22"/>
          <w:szCs w:val="22"/>
        </w:rPr>
        <w:t xml:space="preserve">Month 6 represents the proof-of-concept milestone. The partner program requires 3–4 months to ramp — agreements executed, profiles built, scoring baselines established. The first closed referrals in months 4–6 are not primarily a revenue event; they are a data event. Those early conversions establish the scoring baseline that will drive lead routing decisions in Year 1 and beyond.</w:t>
      </w:r>
    </w:p>
    <w:p>
      <w:pPr>
        <w:spacing w:after="0" w:before="0"/>
      </w:pPr>
      <w:r>
        <w:rPr>
          <w:sz w:val="8"/>
          <w:szCs w:val="8"/>
        </w:rPr>
        <w:t xml:space="preserve"/>
      </w:r>
    </w:p>
    <w:p>
      <w:pPr>
        <w:spacing w:after="100" w:before="60"/>
        <w:jc w:val="left"/>
      </w:pPr>
      <w:r>
        <w:rPr>
          <w:rFonts w:ascii="Arial" w:cs="Arial" w:eastAsia="Arial" w:hAnsi="Arial"/>
          <w:b w:val="false"/>
          <w:bCs w:val="false"/>
          <w:i w:val="false"/>
          <w:iCs w:val="false"/>
          <w:color w:val="333333"/>
          <w:sz w:val="22"/>
          <w:szCs w:val="22"/>
        </w:rPr>
        <w:t xml:space="preserve">Year 1 delivers 215 closed referrals generating approximately $270,000 under the percentage model. This represents less than 25% of the company’s total ARR at that stage — referral revenue is additive to the subscription business, not a replacement for it. The partner program is operationally low-cost and high-margin, making even Year 1 numbers meaningfully accretive to the business.</w:t>
      </w:r>
    </w:p>
    <w:p>
      <w:pPr>
        <w:spacing w:after="0" w:before="0"/>
      </w:pPr>
      <w:r>
        <w:rPr>
          <w:sz w:val="8"/>
          <w:szCs w:val="8"/>
        </w:rPr>
        <w:t xml:space="preserve"/>
      </w:r>
    </w:p>
    <w:p>
      <w:pPr>
        <w:spacing w:after="100" w:before="60"/>
        <w:jc w:val="left"/>
      </w:pPr>
      <w:r>
        <w:rPr>
          <w:rFonts w:ascii="Arial" w:cs="Arial" w:eastAsia="Arial" w:hAnsi="Arial"/>
          <w:b w:val="false"/>
          <w:bCs w:val="false"/>
          <w:i w:val="false"/>
          <w:iCs w:val="false"/>
          <w:color w:val="333333"/>
          <w:sz w:val="22"/>
          <w:szCs w:val="22"/>
        </w:rPr>
        <w:t xml:space="preserve">Year 2 is where the scoring system’s effect becomes visible in the numbers. Better partners close more leads; underperforming partners are reallocated or removed; the average quality of the partner network improves. At 933 closed referrals generating $1.17M, referral revenue represents approximately 30% of total ARR. That trajectory changes the business model — Solace Life is no longer a subscription business with a referral side program. It is a platform that earns on both the users it serves and the professionals it connects them with.</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4.4  Sensitivity Analysis</w:t>
      </w:r>
    </w:p>
    <w:p>
      <w:pPr>
        <w:spacing w:after="100" w:before="60"/>
        <w:jc w:val="left"/>
      </w:pPr>
      <w:r>
        <w:rPr>
          <w:rFonts w:ascii="Arial" w:cs="Arial" w:eastAsia="Arial" w:hAnsi="Arial"/>
          <w:b w:val="false"/>
          <w:bCs w:val="false"/>
          <w:i w:val="false"/>
          <w:iCs w:val="false"/>
          <w:color w:val="333333"/>
          <w:sz w:val="22"/>
          <w:szCs w:val="22"/>
        </w:rPr>
        <w:t xml:space="preserve">The projections above use a 25% user engagement rate and mid-range close rates. If the scoring system performs well and close rates improve faster than modelled, or if users engage with the partner directory at 35% instead of 25%, Year 2 percentage-model revenue climbs toward $1.6–2.0M. In a slower adoption scenario where only 15% of users engage with partners, Year 2 percentage revenue is approximately $700K. Both outcomes are financially viable — the partner program is low-cost to operate and represents upside in either case.</w:t>
      </w:r>
    </w:p>
    <w:p>
      <w:pPr>
        <w:spacing w:after="0" w:before="0"/>
      </w:pPr>
      <w:r>
        <w:rPr>
          <w:sz w:val="16"/>
          <w:szCs w:val="16"/>
        </w:rPr>
        <w:t xml:space="preserve"/>
      </w:r>
    </w:p>
    <w:p>
      <w:r>
        <w:br w:type="page"/>
      </w:r>
    </w:p>
    <w:p>
      <w:pPr>
        <w:pBdr>
          <w:bottom w:val="single" w:color="3D1020" w:sz="8" w:space="4"/>
        </w:pBdr>
        <w:spacing w:after="140" w:before="320"/>
      </w:pPr>
      <w:r>
        <w:rPr>
          <w:rFonts w:ascii="Arial" w:cs="Arial" w:eastAsia="Arial" w:hAnsi="Arial"/>
          <w:b/>
          <w:bCs/>
          <w:color w:val="3D1020"/>
          <w:sz w:val="36"/>
          <w:szCs w:val="36"/>
        </w:rPr>
        <w:t xml:space="preserve">Section 5 — Recommendation &amp; Next Steps</w:t>
      </w:r>
    </w:p>
    <w:p>
      <w:pPr>
        <w:spacing w:after="0" w:before="0"/>
      </w:pPr>
      <w:r>
        <w:rPr>
          <w:sz w:val="12"/>
          <w:szCs w:val="12"/>
        </w:rPr>
        <w:t xml:space="preserve"/>
      </w:r>
    </w:p>
    <w:p>
      <w:pPr>
        <w:spacing w:after="100" w:before="240"/>
      </w:pPr>
      <w:r>
        <w:rPr>
          <w:rFonts w:ascii="Arial" w:cs="Arial" w:eastAsia="Arial" w:hAnsi="Arial"/>
          <w:b/>
          <w:bCs/>
          <w:color w:val="3D1020"/>
          <w:sz w:val="28"/>
          <w:szCs w:val="28"/>
        </w:rPr>
        <w:t xml:space="preserve">Recommendation</w:t>
      </w:r>
    </w:p>
    <w:p>
      <w:pPr>
        <w:spacing w:after="100" w:before="60"/>
        <w:jc w:val="left"/>
      </w:pPr>
      <w:r>
        <w:rPr>
          <w:rFonts w:ascii="Arial" w:cs="Arial" w:eastAsia="Arial" w:hAnsi="Arial"/>
          <w:b w:val="false"/>
          <w:bCs w:val="false"/>
          <w:i w:val="false"/>
          <w:iCs w:val="false"/>
          <w:color w:val="333333"/>
          <w:sz w:val="22"/>
          <w:szCs w:val="22"/>
        </w:rPr>
        <w:t xml:space="preserve">Launch the Solace Life partner program with the percentage fee model and a $300 minimum floor per referral. The percentage model generates 2–2.2× more revenue than the fixed model at every stage of growth, scales automatically with market conditions, and aligns Solace Life’s incentives with the professionals it refers users to. The $300 floor provides a predictable minimum that partners can plan around while preserving the full upside of the percentage structure.</w:t>
      </w:r>
    </w:p>
    <w:p>
      <w:pPr>
        <w:spacing w:after="0" w:before="0"/>
      </w:pPr>
      <w:r>
        <w:rPr>
          <w:sz w:val="8"/>
          <w:szCs w:val="8"/>
        </w:rPr>
        <w:t xml:space="preserve"/>
      </w:r>
    </w:p>
    <w:p>
      <w:pPr>
        <w:spacing w:after="100" w:before="60"/>
        <w:jc w:val="left"/>
      </w:pPr>
      <w:r>
        <w:rPr>
          <w:rFonts w:ascii="Arial" w:cs="Arial" w:eastAsia="Arial" w:hAnsi="Arial"/>
          <w:b w:val="false"/>
          <w:bCs w:val="false"/>
          <w:i w:val="false"/>
          <w:iCs w:val="false"/>
          <w:color w:val="333333"/>
          <w:sz w:val="22"/>
          <w:szCs w:val="22"/>
        </w:rPr>
        <w:t xml:space="preserve">Implement partner scoring from the first cohort of partners — Day 1. The infrastructure investment is modest; the long-term compounding effect on lead quality, conversion rates, and user satisfaction is substantial. Review scoring results quarterly and adjust tier thresholds after 12 months of data. Revisit the fixed vs. percentage question at Month 7 using real conversion data from the first six months of operation.</w:t>
      </w:r>
    </w:p>
    <w:p>
      <w:pPr>
        <w:spacing w:after="0" w:before="0"/>
      </w:pPr>
      <w:r>
        <w:rPr>
          <w:sz w:val="16"/>
          <w:szCs w:val="16"/>
        </w:rPr>
        <w:t xml:space="preserve"/>
      </w:r>
    </w:p>
    <w:p>
      <w:pPr>
        <w:spacing w:after="100" w:before="240"/>
      </w:pPr>
      <w:r>
        <w:rPr>
          <w:rFonts w:ascii="Arial" w:cs="Arial" w:eastAsia="Arial" w:hAnsi="Arial"/>
          <w:b/>
          <w:bCs/>
          <w:color w:val="3D1020"/>
          <w:sz w:val="28"/>
          <w:szCs w:val="28"/>
        </w:rPr>
        <w:t xml:space="preserve">Next Steps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Owner</w:t>
            </w:r>
          </w:p>
        </w:tc>
        <w:tc>
          <w:tcPr>
            <w:tcW w:type="dxa" w:w="2760"/>
            <w:tcBorders>
              <w:top w:val="single" w:color="C49A3C" w:sz="1"/>
              <w:left w:val="single" w:color="C49A3C" w:sz="1"/>
              <w:bottom w:val="single" w:color="C49A3C" w:sz="1"/>
              <w:right w:val="single" w:color="C49A3C" w:sz="1"/>
            </w:tcBorders>
            <w:shd w:fill="C49A3C" w:color="FFFFF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Timeline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Finalize partner agreement with % fee language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Legal / Founder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Month 1</w:t>
            </w:r>
          </w:p>
        </w:tc>
      </w:tr>
      <w:tr>
        <w:trPr>
          <w:tblHeader w:val="false"/>
        </w:trPr>
        <w:tc>
          <w:tcPr>
            <w:tcW w:type="dxa" w:w="42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Onboard first 10 partners (2 per vertical)</w:t>
            </w:r>
          </w:p>
        </w:tc>
        <w:tc>
          <w:tcPr>
            <w:tcW w:type="dxa" w:w="24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Founder</w:t>
            </w:r>
          </w:p>
        </w:tc>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Month 2</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Build scoring dashboard in partner portal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Month 3</w:t>
            </w:r>
          </w:p>
        </w:tc>
      </w:tr>
      <w:tr>
        <w:trPr>
          <w:tblHeader w:val="false"/>
        </w:trPr>
        <w:tc>
          <w:tcPr>
            <w:tcW w:type="dxa" w:w="42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First quarterly score cycle</w:t>
            </w:r>
          </w:p>
        </w:tc>
        <w:tc>
          <w:tcPr>
            <w:tcW w:type="dxa" w:w="240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Operations</w:t>
            </w:r>
          </w:p>
        </w:tc>
        <w:tc>
          <w:tcPr>
            <w:tcW w:type="dxa" w:w="2760"/>
            <w:tcBorders>
              <w:top w:val="single" w:color="CCCCCC" w:sz="1"/>
              <w:left w:val="single" w:color="CCCCCC" w:sz="1"/>
              <w:bottom w:val="single" w:color="CCCCCC" w:sz="1"/>
              <w:right w:val="single" w:color="CCCCCC" w:sz="1"/>
            </w:tcBorders>
            <w:shd w:fill="F9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Month 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Review fixed vs. % performance at 6-month mark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Founder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Month 7</w:t>
            </w:r>
          </w:p>
        </w:tc>
      </w:tr>
    </w:tbl>
    <w:p>
      <w:pPr>
        <w:spacing w:after="0" w:before="0"/>
      </w:pPr>
      <w:r>
        <w:rPr>
          <w:sz w:val="24"/>
          <w:szCs w:val="24"/>
        </w:rPr>
        <w:t xml:space="preserve"/>
      </w:r>
    </w:p>
    <w:p>
      <w:pPr>
        <w:pBdr>
          <w:top w:val="single" w:color="C49A3C" w:sz="4" w:space="8"/>
          <w:bottom w:val="single" w:color="C49A3C" w:sz="4" w:space="8"/>
        </w:pBdr>
        <w:spacing w:after="200" w:before="200"/>
        <w:jc w:val="center"/>
      </w:pPr>
      <w:r>
        <w:rPr>
          <w:rFonts w:ascii="Arial" w:cs="Arial" w:eastAsia="Arial" w:hAnsi="Arial"/>
          <w:i/>
          <w:iCs/>
          <w:color w:val="3D1020"/>
          <w:sz w:val="24"/>
          <w:szCs w:val="24"/>
        </w:rPr>
        <w:t xml:space="preserve">Solace Life — Building trust at life’s most important moments.</w:t>
      </w:r>
    </w:p>
    <w:sectPr>
      <w:headerReference w:type="default" r:id="rId7"/>
      <w:footerReference w:type="default" r:id="rId8"/>
      <w:pgSz w:w="12240" w:h="15840" w:orient="portrait"/>
      <w:pgMar w:top="1440" w:right="1440" w:bottom="16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3C" w:sz="4" w:space="4"/>
      </w:pBdr>
      <w:tabs>
        <w:tab w:val="right" w:pos="9360"/>
      </w:tabs>
      <w:spacing w:after="0" w:before="80"/>
      <w:jc w:val="center"/>
    </w:pPr>
    <w:r>
      <w:rPr>
        <w:rFonts w:ascii="Arial" w:cs="Arial" w:eastAsia="Arial" w:hAnsi="Arial"/>
        <w:color w:val="888888"/>
        <w:sz w:val="18"/>
        <w:szCs w:val="18"/>
      </w:rPr>
      <w:t xml:space="preserve">Confidential — Solace Life</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1020" w:sz="4" w:space="4"/>
      </w:pBdr>
      <w:spacing w:after="100" w:before="0"/>
      <w:jc w:val="right"/>
    </w:pPr>
    <w:r>
      <w:rPr>
        <w:rFonts w:ascii="Arial" w:cs="Arial" w:eastAsia="Arial" w:hAnsi="Arial"/>
        <w:color w:val="888888"/>
        <w:sz w:val="18"/>
        <w:szCs w:val="18"/>
      </w:rPr>
      <w:t xml:space="preserve">Solace Life  |  Partner Revenue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2026-05-19T20:40:43.241Z</dcterms:created>
  <dcterms:modified xsi:type="dcterms:W3CDTF">2026-05-19T20:40:43.241Z</dcterms:modified>
</cp:coreProperties>
</file>

<file path=docProps/custom.xml><?xml version="1.0" encoding="utf-8"?>
<Properties xmlns="http://schemas.openxmlformats.org/officeDocument/2006/custom-properties" xmlns:vt="http://schemas.openxmlformats.org/officeDocument/2006/docPropsVTypes"/>
</file>