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before="0"/>
        <w:jc w:val="center"/>
      </w:pPr>
      <w:r>
        <w:rPr>
          <w:rFonts w:ascii="Arial" w:cs="Arial" w:eastAsia="Arial" w:hAnsi="Arial"/>
          <w:b/>
          <w:bCs/>
          <w:color w:val="0D1B2A"/>
          <w:sz w:val="56"/>
          <w:szCs w:val="56"/>
        </w:rPr>
        <w:t xml:space="preserve">SOLACE LIFE</w:t>
      </w:r>
    </w:p>
    <w:p>
      <w:pPr>
        <w:spacing w:after="60" w:before="0"/>
        <w:jc w:val="center"/>
      </w:pPr>
      <w:r>
        <w:rPr>
          <w:rFonts w:ascii="Arial" w:cs="Arial" w:eastAsia="Arial" w:hAnsi="Arial"/>
          <w:b/>
          <w:bCs/>
          <w:color w:val="C9A84C"/>
          <w:sz w:val="28"/>
          <w:szCs w:val="28"/>
        </w:rPr>
        <w:t xml:space="preserve">PROVISIONAL PATENT APPLICATION</w:t>
      </w:r>
    </w:p>
    <w:p>
      <w:pPr>
        <w:spacing w:after="60" w:before="0"/>
        <w:jc w:val="center"/>
      </w:pPr>
      <w:r>
        <w:rPr>
          <w:rFonts w:ascii="Arial" w:cs="Arial" w:eastAsia="Arial" w:hAnsi="Arial"/>
          <w:color w:val="444444"/>
          <w:sz w:val="24"/>
          <w:szCs w:val="24"/>
        </w:rPr>
        <w:t xml:space="preserve">WRITTEN DESCRIPTION OF INVENTION</w:t>
      </w:r>
    </w:p>
    <w:p>
      <w:pPr>
        <w:spacing w:after="60" w:before="0"/>
        <w:jc w:val="center"/>
      </w:pPr>
      <w:r>
        <w:rPr>
          <w:rFonts w:ascii="Arial" w:cs="Arial" w:eastAsia="Arial" w:hAnsi="Arial"/>
          <w:i/>
          <w:iCs/>
          <w:color w:val="666666"/>
          <w:sz w:val="22"/>
          <w:szCs w:val="22"/>
        </w:rPr>
        <w:t xml:space="preserve">Prepared for USPTO Filing</w:t>
      </w:r>
    </w:p>
    <w:p>
      <w:pPr>
        <w:spacing w:after="80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Inventor</w:t>
            </w:r>
          </w:p>
        </w:tc>
        <w:tc>
          <w:tcPr>
            <w:tcW w:type="dxa" w:w="4200"/>
            <w:tcBorders>
              <w:top w:val="single" w:color="CCCCCC" w:sz="2"/>
              <w:left w:val="single" w:color="CCCCCC" w:sz="2"/>
              <w:bottom w:val="single" w:color="CCCCCC" w:sz="2"/>
              <w:right w:val="single" w:color="CCCCCC" w:sz="2"/>
            </w:tcBorders>
            <w:tcMar>
              <w:top w:type="dxa" w:w="100"/>
              <w:left w:type="dxa" w:w="160"/>
              <w:bottom w:type="dxa" w:w="100"/>
              <w:right w:type="dxa" w:w="160"/>
            </w:tcMar>
          </w:tcPr>
          <w:p>
            <w:r>
              <w:rPr>
                <w:rFonts w:ascii="Arial" w:cs="Arial" w:eastAsia="Arial" w:hAnsi="Arial"/>
                <w:color w:val="000000"/>
                <w:sz w:val="20"/>
                <w:szCs w:val="20"/>
              </w:rPr>
              <w:t xml:space="preserve">Sokha Eang</w:t>
            </w:r>
          </w:p>
        </w:tc>
      </w:tr>
      <w:tr>
        <w:tc>
          <w:tcPr>
            <w:tcW w:type="dxa" w:w="30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Application Type</w:t>
            </w:r>
          </w:p>
        </w:tc>
        <w:tc>
          <w:tcPr>
            <w:tcW w:type="dxa" w:w="4200"/>
            <w:tcBorders>
              <w:top w:val="single" w:color="CCCCCC" w:sz="2"/>
              <w:left w:val="single" w:color="CCCCCC" w:sz="2"/>
              <w:bottom w:val="single" w:color="CCCCCC" w:sz="2"/>
              <w:right w:val="single" w:color="CCCCCC" w:sz="2"/>
            </w:tcBorders>
            <w:tcMar>
              <w:top w:type="dxa" w:w="100"/>
              <w:left w:type="dxa" w:w="160"/>
              <w:bottom w:type="dxa" w:w="100"/>
              <w:right w:type="dxa" w:w="160"/>
            </w:tcMar>
          </w:tcPr>
          <w:p>
            <w:r>
              <w:rPr>
                <w:rFonts w:ascii="Arial" w:cs="Arial" w:eastAsia="Arial" w:hAnsi="Arial"/>
                <w:color w:val="000000"/>
                <w:sz w:val="20"/>
                <w:szCs w:val="20"/>
              </w:rPr>
              <w:t xml:space="preserve">Provisional Patent Application</w:t>
            </w:r>
          </w:p>
        </w:tc>
      </w:tr>
      <w:tr>
        <w:tc>
          <w:tcPr>
            <w:tcW w:type="dxa" w:w="30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Filing Basis</w:t>
            </w:r>
          </w:p>
        </w:tc>
        <w:tc>
          <w:tcPr>
            <w:tcW w:type="dxa" w:w="4200"/>
            <w:tcBorders>
              <w:top w:val="single" w:color="CCCCCC" w:sz="2"/>
              <w:left w:val="single" w:color="CCCCCC" w:sz="2"/>
              <w:bottom w:val="single" w:color="CCCCCC" w:sz="2"/>
              <w:right w:val="single" w:color="CCCCCC" w:sz="2"/>
            </w:tcBorders>
            <w:tcMar>
              <w:top w:type="dxa" w:w="100"/>
              <w:left w:type="dxa" w:w="160"/>
              <w:bottom w:type="dxa" w:w="100"/>
              <w:right w:type="dxa" w:w="160"/>
            </w:tcMar>
          </w:tcPr>
          <w:p>
            <w:r>
              <w:rPr>
                <w:rFonts w:ascii="Arial" w:cs="Arial" w:eastAsia="Arial" w:hAnsi="Arial"/>
                <w:color w:val="000000"/>
                <w:sz w:val="20"/>
                <w:szCs w:val="20"/>
              </w:rPr>
              <w:t xml:space="preserve">35 U.S.C. § 111(b)</w:t>
            </w:r>
          </w:p>
        </w:tc>
      </w:tr>
      <w:tr>
        <w:tc>
          <w:tcPr>
            <w:tcW w:type="dxa" w:w="30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Entity Status</w:t>
            </w:r>
          </w:p>
        </w:tc>
        <w:tc>
          <w:tcPr>
            <w:tcW w:type="dxa" w:w="4200"/>
            <w:tcBorders>
              <w:top w:val="single" w:color="CCCCCC" w:sz="2"/>
              <w:left w:val="single" w:color="CCCCCC" w:sz="2"/>
              <w:bottom w:val="single" w:color="CCCCCC" w:sz="2"/>
              <w:right w:val="single" w:color="CCCCCC" w:sz="2"/>
            </w:tcBorders>
            <w:tcMar>
              <w:top w:type="dxa" w:w="100"/>
              <w:left w:type="dxa" w:w="160"/>
              <w:bottom w:type="dxa" w:w="100"/>
              <w:right w:type="dxa" w:w="160"/>
            </w:tcMar>
          </w:tcPr>
          <w:p>
            <w:r>
              <w:rPr>
                <w:rFonts w:ascii="Arial" w:cs="Arial" w:eastAsia="Arial" w:hAnsi="Arial"/>
                <w:color w:val="000000"/>
                <w:sz w:val="20"/>
                <w:szCs w:val="20"/>
              </w:rPr>
              <w:t xml:space="preserve">Micro Entity (pending confirmation)</w:t>
            </w:r>
          </w:p>
        </w:tc>
      </w:tr>
      <w:tr>
        <w:tc>
          <w:tcPr>
            <w:tcW w:type="dxa" w:w="30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Date Prepared</w:t>
            </w:r>
          </w:p>
        </w:tc>
        <w:tc>
          <w:tcPr>
            <w:tcW w:type="dxa" w:w="4200"/>
            <w:tcBorders>
              <w:top w:val="single" w:color="CCCCCC" w:sz="2"/>
              <w:left w:val="single" w:color="CCCCCC" w:sz="2"/>
              <w:bottom w:val="single" w:color="CCCCCC" w:sz="2"/>
              <w:right w:val="single" w:color="CCCCCC" w:sz="2"/>
            </w:tcBorders>
            <w:tcMar>
              <w:top w:type="dxa" w:w="100"/>
              <w:left w:type="dxa" w:w="160"/>
              <w:bottom w:type="dxa" w:w="100"/>
              <w:right w:type="dxa" w:w="160"/>
            </w:tcMar>
          </w:tcPr>
          <w:p>
            <w:r>
              <w:rPr>
                <w:rFonts w:ascii="Arial" w:cs="Arial" w:eastAsia="Arial" w:hAnsi="Arial"/>
                <w:color w:val="000000"/>
                <w:sz w:val="20"/>
                <w:szCs w:val="20"/>
              </w:rPr>
              <w:t xml:space="preserve">May 18, 2026</w:t>
            </w:r>
          </w:p>
        </w:tc>
      </w:tr>
      <w:tr>
        <w:tc>
          <w:tcPr>
            <w:tcW w:type="dxa" w:w="30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b/>
                <w:bCs/>
                <w:color w:val="0D1B2A"/>
                <w:sz w:val="20"/>
                <w:szCs w:val="20"/>
              </w:rPr>
              <w:t xml:space="preserve">Number of Inventions</w:t>
            </w:r>
          </w:p>
        </w:tc>
        <w:tc>
          <w:tcPr>
            <w:tcW w:type="dxa" w:w="4200"/>
            <w:tcBorders>
              <w:top w:val="single" w:color="CCCCCC" w:sz="2"/>
              <w:left w:val="single" w:color="CCCCCC" w:sz="2"/>
              <w:bottom w:val="single" w:color="CCCCCC" w:sz="2"/>
              <w:right w:val="single" w:color="CCCCCC" w:sz="2"/>
            </w:tcBorders>
            <w:tcMar>
              <w:top w:type="dxa" w:w="100"/>
              <w:left w:type="dxa" w:w="160"/>
              <w:bottom w:type="dxa" w:w="100"/>
              <w:right w:type="dxa" w:w="160"/>
            </w:tcMar>
          </w:tcPr>
          <w:p>
            <w:r>
              <w:rPr>
                <w:rFonts w:ascii="Arial" w:cs="Arial" w:eastAsia="Arial" w:hAnsi="Arial"/>
                <w:color w:val="000000"/>
                <w:sz w:val="20"/>
                <w:szCs w:val="20"/>
              </w:rPr>
              <w:t xml:space="preserve">Two (2)</w:t>
            </w:r>
          </w:p>
        </w:tc>
      </w:tr>
    </w:tbl>
    <w:p>
      <w:pPr>
        <w:spacing w:after="800" w:before="0"/>
      </w:pPr>
      <w:r>
        <w:t xml:space="preserve"/>
      </w:r>
    </w:p>
    <w:p>
      <w:pPr>
        <w:spacing w:after="160" w:before="0"/>
        <w:jc w:val="center"/>
      </w:pPr>
      <w:r>
        <w:rPr>
          <w:rFonts w:ascii="Arial" w:cs="Arial" w:eastAsia="Arial" w:hAnsi="Arial"/>
          <w:b/>
          <w:bCs/>
          <w:color w:val="0D1B2A"/>
          <w:sz w:val="22"/>
          <w:szCs w:val="22"/>
        </w:rPr>
        <w:t xml:space="preserve">INVENTIONS COVERED IN THIS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2"/>
              <w:left w:val="single" w:color="CCCCCC" w:sz="2"/>
              <w:bottom w:val="single" w:color="CCCCCC" w:sz="2"/>
              <w:right w:val="single" w:color="CCCCCC" w:sz="2"/>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I.</w:t>
            </w:r>
          </w:p>
        </w:tc>
        <w:tc>
          <w:tcPr>
            <w:tcW w:type="dxa" w:w="8560"/>
            <w:tcBorders>
              <w:top w:val="single" w:color="CCCCCC" w:sz="2"/>
              <w:left w:val="single" w:color="CCCCCC" w:sz="2"/>
              <w:bottom w:val="single" w:color="CCCCCC" w:sz="2"/>
              <w:right w:val="single" w:color="CCCCCC" w:sz="2"/>
            </w:tcBorders>
            <w:tcMar>
              <w:top w:type="dxa" w:w="120"/>
              <w:left w:type="dxa" w:w="200"/>
              <w:bottom w:type="dxa" w:w="120"/>
              <w:right w:type="dxa" w:w="200"/>
            </w:tcMar>
          </w:tcPr>
          <w:p>
            <w:r>
              <w:rPr>
                <w:rFonts w:ascii="Arial" w:cs="Arial" w:eastAsia="Arial" w:hAnsi="Arial"/>
                <w:b/>
                <w:bCs/>
                <w:color w:val="0D1B2A"/>
                <w:sz w:val="22"/>
                <w:szCs w:val="22"/>
              </w:rPr>
              <w:t xml:space="preserve">Emergency Contact Lock Screen Notification System</w:t>
            </w:r>
          </w:p>
        </w:tc>
      </w:tr>
      <w:tr>
        <w:tc>
          <w:tcPr>
            <w:tcW w:type="dxa" w:w="800"/>
            <w:tcBorders>
              <w:top w:val="single" w:color="CCCCCC" w:sz="2"/>
              <w:left w:val="single" w:color="CCCCCC" w:sz="2"/>
              <w:bottom w:val="single" w:color="CCCCCC" w:sz="2"/>
              <w:right w:val="single" w:color="CCCCCC" w:sz="2"/>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II.</w:t>
            </w:r>
          </w:p>
        </w:tc>
        <w:tc>
          <w:tcPr>
            <w:tcW w:type="dxa" w:w="8560"/>
            <w:tcBorders>
              <w:top w:val="single" w:color="CCCCCC" w:sz="2"/>
              <w:left w:val="single" w:color="CCCCCC" w:sz="2"/>
              <w:bottom w:val="single" w:color="CCCCCC" w:sz="2"/>
              <w:right w:val="single" w:color="CCCCCC" w:sz="2"/>
            </w:tcBorders>
            <w:tcMar>
              <w:top w:type="dxa" w:w="120"/>
              <w:left w:type="dxa" w:w="200"/>
              <w:bottom w:type="dxa" w:w="120"/>
              <w:right w:type="dxa" w:w="200"/>
            </w:tcMar>
          </w:tcPr>
          <w:p>
            <w:r>
              <w:rPr>
                <w:rFonts w:ascii="Arial" w:cs="Arial" w:eastAsia="Arial" w:hAnsi="Arial"/>
                <w:b/>
                <w:bCs/>
                <w:color w:val="0D1B2A"/>
                <w:sz w:val="22"/>
                <w:szCs w:val="22"/>
              </w:rPr>
              <w:t xml:space="preserve">Scheduled Personal Memory Delivery System</w:t>
            </w:r>
          </w:p>
        </w:tc>
      </w:tr>
    </w:tbl>
    <w:p>
      <w:pPr>
        <w:spacing w:after="8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1" w:val="clear"/>
            <w:tcMar>
              <w:top w:type="dxa" w:w="120"/>
              <w:left w:type="dxa" w:w="200"/>
              <w:bottom w:type="dxa" w:w="120"/>
              <w:right w:type="dxa" w:w="200"/>
            </w:tcMar>
          </w:tcPr>
          <w:p>
            <w:pPr>
              <w:spacing w:after="80" w:before="0"/>
            </w:pPr>
            <w:r>
              <w:rPr>
                <w:rFonts w:ascii="Arial" w:cs="Arial" w:eastAsia="Arial" w:hAnsi="Arial"/>
                <w:b/>
                <w:bCs/>
                <w:color w:val="4A3700"/>
                <w:sz w:val="20"/>
                <w:szCs w:val="20"/>
              </w:rPr>
              <w:t xml:space="preserve">⚠  ATTORNEY REVIEW REQUIRED BEFORE FILING</w:t>
            </w:r>
          </w:p>
          <w:p>
            <w:pPr>
              <w:spacing w:after="80" w:before="0"/>
            </w:pPr>
            <w:r>
              <w:rPr>
                <w:rFonts w:ascii="Arial" w:cs="Arial" w:eastAsia="Arial" w:hAnsi="Arial"/>
                <w:b w:val="false"/>
                <w:bCs w:val="false"/>
                <w:color w:val="4A3700"/>
                <w:sz w:val="20"/>
                <w:szCs w:val="20"/>
              </w:rPr>
              <w:t xml:space="preserve">This document constitutes a written description drafted for attorney review. It has been prepared by the inventor to the best of their knowledge and belief. Prior to submission to the USPTO, this description should be reviewed by a registered patent attorney or agent who can confirm adequacy of disclosure, assess prior art, and refine claim scope if desired. Filing fee for a Provisional Patent Application as a micro-entity: $320 (USPTO fee schedule, confirm current amount at USPTO.gov).</w:t>
            </w:r>
          </w:p>
        </w:tc>
      </w:tr>
    </w:tbl>
    <w:p>
      <w:r>
        <w:br w:type="page"/>
      </w:r>
    </w:p>
    <w:p>
      <w:pPr>
        <w:spacing w:after="80" w:before="0"/>
        <w:jc w:val="center"/>
      </w:pPr>
      <w:r>
        <w:rPr>
          <w:rFonts w:ascii="Arial" w:cs="Arial" w:eastAsia="Arial" w:hAnsi="Arial"/>
          <w:b/>
          <w:bCs/>
          <w:color w:val="C9A84C"/>
          <w:sz w:val="28"/>
          <w:szCs w:val="28"/>
        </w:rPr>
        <w:t xml:space="preserve">INVENTION I</w:t>
      </w:r>
    </w:p>
    <w:p>
      <w:pPr>
        <w:spacing w:after="240" w:before="0"/>
        <w:jc w:val="center"/>
      </w:pPr>
      <w:r>
        <w:rPr>
          <w:rFonts w:ascii="Arial" w:cs="Arial" w:eastAsia="Arial" w:hAnsi="Arial"/>
          <w:b/>
          <w:bCs/>
          <w:color w:val="0D1B2A"/>
          <w:sz w:val="26"/>
          <w:szCs w:val="26"/>
        </w:rPr>
        <w:t xml:space="preserve">EMERGENCY CONTACT LOCK SCREEN NOTIFICATION SYSTEM</w:t>
      </w:r>
    </w:p>
    <w:p>
      <w:pPr>
        <w:pStyle w:val="Heading2"/>
        <w:pBdr>
          <w:bottom w:val="single" w:color="C9A84C" w:sz="4" w:space="2"/>
        </w:pBdr>
        <w:spacing w:after="120" w:before="320"/>
      </w:pPr>
      <w:r>
        <w:rPr>
          <w:rFonts w:ascii="Arial" w:cs="Arial" w:eastAsia="Arial" w:hAnsi="Arial"/>
          <w:b/>
          <w:bCs/>
          <w:color w:val="0D1B2A"/>
          <w:sz w:val="26"/>
          <w:szCs w:val="26"/>
        </w:rPr>
        <w:t xml:space="preserve">1.  TITLE OF INVENTION</w:t>
      </w:r>
    </w:p>
    <w:p>
      <w:pPr>
        <w:spacing w:after="140" w:before="0"/>
        <w:jc w:val="both"/>
      </w:pPr>
      <w:r>
        <w:rPr>
          <w:rFonts w:ascii="Arial" w:cs="Arial" w:eastAsia="Arial" w:hAnsi="Arial"/>
          <w:color w:val="000000"/>
          <w:sz w:val="22"/>
          <w:szCs w:val="22"/>
        </w:rPr>
        <w:t xml:space="preserve">Emergency Contact Lock Screen Notification System for Mobile Devices</w:t>
      </w:r>
    </w:p>
    <w:p>
      <w:pPr>
        <w:pStyle w:val="Heading2"/>
        <w:pBdr>
          <w:bottom w:val="single" w:color="C9A84C" w:sz="4" w:space="2"/>
        </w:pBdr>
        <w:spacing w:after="120" w:before="320"/>
      </w:pPr>
      <w:r>
        <w:rPr>
          <w:rFonts w:ascii="Arial" w:cs="Arial" w:eastAsia="Arial" w:hAnsi="Arial"/>
          <w:b/>
          <w:bCs/>
          <w:color w:val="0D1B2A"/>
          <w:sz w:val="26"/>
          <w:szCs w:val="26"/>
        </w:rPr>
        <w:t xml:space="preserve">2.  FIELD OF THE INVENTION</w:t>
      </w:r>
    </w:p>
    <w:p>
      <w:pPr>
        <w:spacing w:after="140" w:before="0"/>
        <w:jc w:val="both"/>
      </w:pPr>
      <w:r>
        <w:rPr>
          <w:rFonts w:ascii="Arial" w:cs="Arial" w:eastAsia="Arial" w:hAnsi="Arial"/>
          <w:color w:val="000000"/>
          <w:sz w:val="22"/>
          <w:szCs w:val="22"/>
        </w:rPr>
        <w:t xml:space="preserve">This invention relates to mobile computing and emergency response systems, and more particularly to a method and system for persistently displaying emergency contact information on the lock screen of a mobile device without requiring device authentication, so that first responders, medical personnel, and bystanders may access designated emergency contacts immediately upon locating the device.</w:t>
      </w:r>
    </w:p>
    <w:p>
      <w:pPr>
        <w:pStyle w:val="Heading2"/>
        <w:pBdr>
          <w:bottom w:val="single" w:color="C9A84C" w:sz="4" w:space="2"/>
        </w:pBdr>
        <w:spacing w:after="120" w:before="320"/>
      </w:pPr>
      <w:r>
        <w:rPr>
          <w:rFonts w:ascii="Arial" w:cs="Arial" w:eastAsia="Arial" w:hAnsi="Arial"/>
          <w:b/>
          <w:bCs/>
          <w:color w:val="0D1B2A"/>
          <w:sz w:val="26"/>
          <w:szCs w:val="26"/>
        </w:rPr>
        <w:t xml:space="preserve">3.  BACKGROUND OF THE INVENTION</w:t>
      </w:r>
    </w:p>
    <w:p>
      <w:pPr>
        <w:spacing w:after="140" w:before="0"/>
        <w:jc w:val="both"/>
      </w:pPr>
      <w:r>
        <w:rPr>
          <w:rFonts w:ascii="Arial" w:cs="Arial" w:eastAsia="Arial" w:hAnsi="Arial"/>
          <w:color w:val="000000"/>
          <w:sz w:val="22"/>
          <w:szCs w:val="22"/>
        </w:rPr>
        <w:t xml:space="preserve">When a person suffers a medical emergency, cardiac event, accident, or other incapacitating incident in a public place, first responders and bystanders typically attempt to identify the person and contact their family or next of kin. In the majority of cases, the affected person carries a smartphone. However, modern smartphones are protected by biometric locks (fingerprint, facial recognition) or passcodes that prevent access to the contacts list, recent calls, or any stored information without authentication.</w:t>
      </w:r>
    </w:p>
    <w:p>
      <w:pPr>
        <w:spacing w:after="120" w:before="0"/>
      </w:pPr>
      <w:r>
        <w:t xml:space="preserve"/>
      </w:r>
    </w:p>
    <w:p>
      <w:pPr>
        <w:spacing w:after="140" w:before="0"/>
        <w:jc w:val="both"/>
      </w:pPr>
      <w:r>
        <w:rPr>
          <w:rFonts w:ascii="Arial" w:cs="Arial" w:eastAsia="Arial" w:hAnsi="Arial"/>
          <w:color w:val="000000"/>
          <w:sz w:val="22"/>
          <w:szCs w:val="22"/>
        </w:rPr>
        <w:t xml:space="preserve">This authentication barrier creates a critical gap in emergency response. Emergency responders cannot call a patient's family, cannot access medical condition information, and cannot notify loved ones of the emergency — even when the patient is holding a device that contains all of this information. The result is delayed family notification, potential mistreatment due to unknown medical conditions, and unnecessary distress to both the patient and their family.</w:t>
      </w:r>
    </w:p>
    <w:p>
      <w:pPr>
        <w:spacing w:after="120" w:before="0"/>
      </w:pPr>
      <w:r>
        <w:t xml:space="preserve"/>
      </w:r>
    </w:p>
    <w:p>
      <w:pPr>
        <w:spacing w:after="140" w:before="0"/>
        <w:jc w:val="both"/>
      </w:pPr>
      <w:r>
        <w:rPr>
          <w:rFonts w:ascii="Arial" w:cs="Arial" w:eastAsia="Arial" w:hAnsi="Arial"/>
          <w:color w:val="000000"/>
          <w:sz w:val="22"/>
          <w:szCs w:val="22"/>
        </w:rPr>
        <w:t xml:space="preserve">Existing solutions such as emergency SOS features (built into iOS and Android) require multi-button activation by the device owner and are not useful when the owner is incapacitated. Medical ID features exist but are hidden within the operating system and not immediately apparent to a bystander. No prior art provides an automatically persistent, visible, and immediately actionable emergency contact display on the lock screen of a mobile device that is configured by the user through a dedicated application.</w:t>
      </w:r>
    </w:p>
    <w:p>
      <w:pPr>
        <w:pStyle w:val="Heading2"/>
        <w:pBdr>
          <w:bottom w:val="single" w:color="C9A84C" w:sz="4" w:space="2"/>
        </w:pBdr>
        <w:spacing w:after="120" w:before="320"/>
      </w:pPr>
      <w:r>
        <w:rPr>
          <w:rFonts w:ascii="Arial" w:cs="Arial" w:eastAsia="Arial" w:hAnsi="Arial"/>
          <w:b/>
          <w:bCs/>
          <w:color w:val="0D1B2A"/>
          <w:sz w:val="26"/>
          <w:szCs w:val="26"/>
        </w:rPr>
        <w:t xml:space="preserve">4.  SUMMARY OF THE INVENTION</w:t>
      </w:r>
    </w:p>
    <w:p>
      <w:pPr>
        <w:spacing w:after="140" w:before="0"/>
        <w:jc w:val="both"/>
      </w:pPr>
      <w:r>
        <w:rPr>
          <w:rFonts w:ascii="Arial" w:cs="Arial" w:eastAsia="Arial" w:hAnsi="Arial"/>
          <w:color w:val="000000"/>
          <w:sz w:val="22"/>
          <w:szCs w:val="22"/>
        </w:rPr>
        <w:t xml:space="preserve">The present invention provides a mobile application method and system that automatically creates and maintains a persistent notification on a mobile device's lock screen. This notification displays the user's designated emergency contact information — including name and phone number — in a format that is immediately visible and actionable without any device authentication. The notification persists across device restarts, app closures, and operating system updates until explicitly modified or removed by the user through the application.</w:t>
      </w:r>
    </w:p>
    <w:p>
      <w:pPr>
        <w:spacing w:after="120" w:before="0"/>
      </w:pPr>
      <w:r>
        <w:t xml:space="preserve"/>
      </w:r>
    </w:p>
    <w:p>
      <w:pPr>
        <w:spacing w:after="140" w:before="0"/>
        <w:jc w:val="both"/>
      </w:pPr>
      <w:r>
        <w:rPr>
          <w:rFonts w:ascii="Arial" w:cs="Arial" w:eastAsia="Arial" w:hAnsi="Arial"/>
          <w:color w:val="000000"/>
          <w:sz w:val="22"/>
          <w:szCs w:val="22"/>
        </w:rPr>
        <w:t xml:space="preserve">The system allows users to designate up to three emergency contacts from their family member roster, assign each contact a priority order (first, second, third), and have all three displayed or made accessible from the lock screen. First responders or bystanders can tap the notification directly to initiate a phone call to the designated contact without entering a passcode or unlocking the device.</w:t>
      </w:r>
    </w:p>
    <w:p>
      <w:pPr>
        <w:pStyle w:val="Heading2"/>
        <w:pBdr>
          <w:bottom w:val="single" w:color="C9A84C" w:sz="4" w:space="2"/>
        </w:pBdr>
        <w:spacing w:after="120" w:before="320"/>
      </w:pPr>
      <w:r>
        <w:rPr>
          <w:rFonts w:ascii="Arial" w:cs="Arial" w:eastAsia="Arial" w:hAnsi="Arial"/>
          <w:b/>
          <w:bCs/>
          <w:color w:val="0D1B2A"/>
          <w:sz w:val="26"/>
          <w:szCs w:val="26"/>
        </w:rPr>
        <w:t xml:space="preserve">5.  DETAILED DESCRIPTION OF THE INVENTION</w:t>
      </w:r>
    </w:p>
    <w:p>
      <w:pPr>
        <w:pStyle w:val="Heading3"/>
        <w:spacing w:after="80" w:before="240"/>
      </w:pPr>
      <w:r>
        <w:rPr>
          <w:rFonts w:ascii="Arial" w:cs="Arial" w:eastAsia="Arial" w:hAnsi="Arial"/>
          <w:b/>
          <w:bCs/>
          <w:color w:val="0D1B2A"/>
          <w:sz w:val="22"/>
          <w:szCs w:val="22"/>
        </w:rPr>
        <w:t xml:space="preserve">5.1  System Architecture</w:t>
      </w:r>
    </w:p>
    <w:p>
      <w:pPr>
        <w:spacing w:after="140" w:before="0"/>
        <w:jc w:val="both"/>
      </w:pPr>
      <w:r>
        <w:rPr>
          <w:rFonts w:ascii="Arial" w:cs="Arial" w:eastAsia="Arial" w:hAnsi="Arial"/>
          <w:color w:val="000000"/>
          <w:sz w:val="22"/>
          <w:szCs w:val="22"/>
        </w:rPr>
        <w:t xml:space="preserve">The system comprises a mobile application (the "Application") installed on a user's mobile device running a modern mobile operating system (iOS 14 or later, Android 8.0 or later). The Application communicates with a cloud-based backend service (the "Backend") hosted on a managed database and serverless compute platform. The Backend stores user profiles, family member records, and emergency contact designations in a relational database with row-level security enforced at the database layer.</w:t>
      </w:r>
    </w:p>
    <w:p>
      <w:pPr>
        <w:pStyle w:val="Heading3"/>
        <w:spacing w:after="80" w:before="240"/>
      </w:pPr>
      <w:r>
        <w:rPr>
          <w:rFonts w:ascii="Arial" w:cs="Arial" w:eastAsia="Arial" w:hAnsi="Arial"/>
          <w:b/>
          <w:bCs/>
          <w:color w:val="0D1B2A"/>
          <w:sz w:val="22"/>
          <w:szCs w:val="22"/>
        </w:rPr>
        <w:t xml:space="preserve">5.2  User Enrollment and Family Member Registration</w:t>
      </w:r>
    </w:p>
    <w:p>
      <w:pPr>
        <w:spacing w:after="140" w:before="0"/>
        <w:jc w:val="both"/>
      </w:pPr>
      <w:r>
        <w:rPr>
          <w:rFonts w:ascii="Arial" w:cs="Arial" w:eastAsia="Arial" w:hAnsi="Arial"/>
          <w:color w:val="000000"/>
          <w:sz w:val="22"/>
          <w:szCs w:val="22"/>
        </w:rPr>
        <w:t xml:space="preserve">During initial application setup, the user creates an account and provides their personal profile information. The user then registers family members through a dedicated Family management interface. Each family member record comprises:</w:t>
      </w:r>
    </w:p>
    <w:p>
      <w:pPr>
        <w:pStyle w:val="ListParagraph"/>
        <w:numPr>
          <w:ilvl w:val="0"/>
          <w:numId w:val="2"/>
        </w:numPr>
        <w:spacing w:after="100" w:before="0"/>
      </w:pPr>
      <w:r>
        <w:rPr>
          <w:rFonts w:ascii="Arial" w:cs="Arial" w:eastAsia="Arial" w:hAnsi="Arial"/>
          <w:color w:val="000000"/>
          <w:sz w:val="22"/>
          <w:szCs w:val="22"/>
        </w:rPr>
        <w:t xml:space="preserve">Full name of the family member</w:t>
      </w:r>
    </w:p>
    <w:p>
      <w:pPr>
        <w:pStyle w:val="ListParagraph"/>
        <w:numPr>
          <w:ilvl w:val="0"/>
          <w:numId w:val="2"/>
        </w:numPr>
        <w:spacing w:after="100" w:before="0"/>
      </w:pPr>
      <w:r>
        <w:rPr>
          <w:rFonts w:ascii="Arial" w:cs="Arial" w:eastAsia="Arial" w:hAnsi="Arial"/>
          <w:color w:val="000000"/>
          <w:sz w:val="22"/>
          <w:szCs w:val="22"/>
        </w:rPr>
        <w:t xml:space="preserve">Relationship to the user (e.g., son, daughter, spouse, sibling)</w:t>
      </w:r>
    </w:p>
    <w:p>
      <w:pPr>
        <w:pStyle w:val="ListParagraph"/>
        <w:numPr>
          <w:ilvl w:val="0"/>
          <w:numId w:val="2"/>
        </w:numPr>
        <w:spacing w:after="100" w:before="0"/>
      </w:pPr>
      <w:r>
        <w:rPr>
          <w:rFonts w:ascii="Arial" w:cs="Arial" w:eastAsia="Arial" w:hAnsi="Arial"/>
          <w:color w:val="000000"/>
          <w:sz w:val="22"/>
          <w:szCs w:val="22"/>
        </w:rPr>
        <w:t xml:space="preserve">Phone number (required for emergency contact designation)</w:t>
      </w:r>
    </w:p>
    <w:p>
      <w:pPr>
        <w:pStyle w:val="ListParagraph"/>
        <w:numPr>
          <w:ilvl w:val="0"/>
          <w:numId w:val="2"/>
        </w:numPr>
        <w:spacing w:after="100" w:before="0"/>
      </w:pPr>
      <w:r>
        <w:rPr>
          <w:rFonts w:ascii="Arial" w:cs="Arial" w:eastAsia="Arial" w:hAnsi="Arial"/>
          <w:color w:val="000000"/>
          <w:sz w:val="22"/>
          <w:szCs w:val="22"/>
        </w:rPr>
        <w:t xml:space="preserve">Email address (optional, used for notification purposes)</w:t>
      </w:r>
    </w:p>
    <w:p>
      <w:pPr>
        <w:pStyle w:val="ListParagraph"/>
        <w:numPr>
          <w:ilvl w:val="0"/>
          <w:numId w:val="2"/>
        </w:numPr>
        <w:spacing w:after="100" w:before="0"/>
      </w:pPr>
      <w:r>
        <w:rPr>
          <w:rFonts w:ascii="Arial" w:cs="Arial" w:eastAsia="Arial" w:hAnsi="Arial"/>
          <w:color w:val="000000"/>
          <w:sz w:val="22"/>
          <w:szCs w:val="22"/>
        </w:rPr>
        <w:t xml:space="preserve">Profile photograph (optional)</w:t>
      </w:r>
    </w:p>
    <w:p>
      <w:pPr>
        <w:spacing w:after="120" w:before="0"/>
      </w:pPr>
      <w:r>
        <w:t xml:space="preserve"/>
      </w:r>
    </w:p>
    <w:p>
      <w:pPr>
        <w:spacing w:after="140" w:before="0"/>
        <w:jc w:val="both"/>
      </w:pPr>
      <w:r>
        <w:rPr>
          <w:rFonts w:ascii="Arial" w:cs="Arial" w:eastAsia="Arial" w:hAnsi="Arial"/>
          <w:color w:val="000000"/>
          <w:sz w:val="22"/>
          <w:szCs w:val="22"/>
        </w:rPr>
        <w:t xml:space="preserve">Family member records are stored in the Backend and associated with the user's account via a unique user identifier. All records are subject to row-level security policies that restrict access to the authenticated account owner.</w:t>
      </w:r>
    </w:p>
    <w:p>
      <w:pPr>
        <w:pStyle w:val="Heading3"/>
        <w:spacing w:after="80" w:before="240"/>
      </w:pPr>
      <w:r>
        <w:rPr>
          <w:rFonts w:ascii="Arial" w:cs="Arial" w:eastAsia="Arial" w:hAnsi="Arial"/>
          <w:b/>
          <w:bCs/>
          <w:color w:val="0D1B2A"/>
          <w:sz w:val="22"/>
          <w:szCs w:val="22"/>
        </w:rPr>
        <w:t xml:space="preserve">5.3  Emergency Contact Designation</w:t>
      </w:r>
    </w:p>
    <w:p>
      <w:pPr>
        <w:spacing w:after="140" w:before="0"/>
        <w:jc w:val="both"/>
      </w:pPr>
      <w:r>
        <w:rPr>
          <w:rFonts w:ascii="Arial" w:cs="Arial" w:eastAsia="Arial" w:hAnsi="Arial"/>
          <w:color w:val="000000"/>
          <w:sz w:val="22"/>
          <w:szCs w:val="22"/>
        </w:rPr>
        <w:t xml:space="preserve">The user may designate up to three family members as emergency contacts. Designation is performed through either:</w:t>
      </w:r>
    </w:p>
    <w:p>
      <w:pPr>
        <w:pStyle w:val="ListParagraph"/>
        <w:numPr>
          <w:ilvl w:val="0"/>
          <w:numId w:val="2"/>
        </w:numPr>
        <w:spacing w:after="100" w:before="0"/>
      </w:pPr>
      <w:r>
        <w:rPr>
          <w:rFonts w:ascii="Arial" w:cs="Arial" w:eastAsia="Arial" w:hAnsi="Arial"/>
          <w:color w:val="000000"/>
          <w:sz w:val="22"/>
          <w:szCs w:val="22"/>
        </w:rPr>
        <w:t xml:space="preserve">An onboarding flow presented during initial application setup, labeled "Emergency Contact" (Step 3 of 4 in the onboarding sequence), or</w:t>
      </w:r>
    </w:p>
    <w:p>
      <w:pPr>
        <w:pStyle w:val="ListParagraph"/>
        <w:numPr>
          <w:ilvl w:val="0"/>
          <w:numId w:val="2"/>
        </w:numPr>
        <w:spacing w:after="100" w:before="0"/>
      </w:pPr>
      <w:r>
        <w:rPr>
          <w:rFonts w:ascii="Arial" w:cs="Arial" w:eastAsia="Arial" w:hAnsi="Arial"/>
          <w:color w:val="000000"/>
          <w:sz w:val="22"/>
          <w:szCs w:val="22"/>
        </w:rPr>
        <w:t xml:space="preserve">A dedicated Emergency Contact management interface accessible from the Family tab of the main application.</w:t>
      </w:r>
    </w:p>
    <w:p>
      <w:pPr>
        <w:spacing w:after="120" w:before="0"/>
      </w:pPr>
      <w:r>
        <w:t xml:space="preserve"/>
      </w:r>
    </w:p>
    <w:p>
      <w:pPr>
        <w:spacing w:after="140" w:before="0"/>
        <w:jc w:val="both"/>
      </w:pPr>
      <w:r>
        <w:rPr>
          <w:rFonts w:ascii="Arial" w:cs="Arial" w:eastAsia="Arial" w:hAnsi="Arial"/>
          <w:color w:val="000000"/>
          <w:sz w:val="22"/>
          <w:szCs w:val="22"/>
        </w:rPr>
        <w:t xml:space="preserve">During designation, the user selects family members from their registered roster and assigns each a priority order. Priority levels are:</w:t>
      </w:r>
    </w:p>
    <w:p>
      <w:pPr>
        <w:pStyle w:val="ListParagraph"/>
        <w:numPr>
          <w:ilvl w:val="0"/>
          <w:numId w:val="3"/>
        </w:numPr>
        <w:spacing w:after="100" w:before="0"/>
      </w:pPr>
      <w:r>
        <w:rPr>
          <w:rFonts w:ascii="Arial" w:cs="Arial" w:eastAsia="Arial" w:hAnsi="Arial"/>
          <w:color w:val="000000"/>
          <w:sz w:val="22"/>
          <w:szCs w:val="22"/>
        </w:rPr>
        <w:t xml:space="preserve">First priority — the primary emergency contact</w:t>
      </w:r>
    </w:p>
    <w:p>
      <w:pPr>
        <w:pStyle w:val="ListParagraph"/>
        <w:numPr>
          <w:ilvl w:val="0"/>
          <w:numId w:val="3"/>
        </w:numPr>
        <w:spacing w:after="100" w:before="0"/>
      </w:pPr>
      <w:r>
        <w:rPr>
          <w:rFonts w:ascii="Arial" w:cs="Arial" w:eastAsia="Arial" w:hAnsi="Arial"/>
          <w:color w:val="000000"/>
          <w:sz w:val="22"/>
          <w:szCs w:val="22"/>
        </w:rPr>
        <w:t xml:space="preserve">Second priority — the secondary emergency contact</w:t>
      </w:r>
    </w:p>
    <w:p>
      <w:pPr>
        <w:pStyle w:val="ListParagraph"/>
        <w:numPr>
          <w:ilvl w:val="0"/>
          <w:numId w:val="3"/>
        </w:numPr>
        <w:spacing w:after="100" w:before="0"/>
      </w:pPr>
      <w:r>
        <w:rPr>
          <w:rFonts w:ascii="Arial" w:cs="Arial" w:eastAsia="Arial" w:hAnsi="Arial"/>
          <w:color w:val="000000"/>
          <w:sz w:val="22"/>
          <w:szCs w:val="22"/>
        </w:rPr>
        <w:t xml:space="preserve">Third priority — the tertiary emergency contact</w:t>
      </w:r>
    </w:p>
    <w:p>
      <w:pPr>
        <w:spacing w:after="120" w:before="0"/>
      </w:pPr>
      <w:r>
        <w:t xml:space="preserve"/>
      </w:r>
    </w:p>
    <w:p>
      <w:pPr>
        <w:spacing w:after="140" w:before="0"/>
        <w:jc w:val="both"/>
      </w:pPr>
      <w:r>
        <w:rPr>
          <w:rFonts w:ascii="Arial" w:cs="Arial" w:eastAsia="Arial" w:hAnsi="Arial"/>
          <w:color w:val="000000"/>
          <w:sz w:val="22"/>
          <w:szCs w:val="22"/>
        </w:rPr>
        <w:t xml:space="preserve">Priority is visually communicated to the user through distinct color coding: first priority in red (#E8453C), second priority in orange (#F5833A), third priority in amber (#F5A623). Family members without a registered phone number are displayed but are not selectable for emergency contact designation, and a visual indicator communicates that a phone number is required.</w:t>
      </w:r>
    </w:p>
    <w:p>
      <w:pPr>
        <w:spacing w:after="120" w:before="0"/>
      </w:pPr>
      <w:r>
        <w:t xml:space="preserve"/>
      </w:r>
    </w:p>
    <w:p>
      <w:pPr>
        <w:spacing w:after="140" w:before="0"/>
        <w:jc w:val="both"/>
      </w:pPr>
      <w:r>
        <w:rPr>
          <w:rFonts w:ascii="Arial" w:cs="Arial" w:eastAsia="Arial" w:hAnsi="Arial"/>
          <w:color w:val="000000"/>
          <w:sz w:val="22"/>
          <w:szCs w:val="22"/>
        </w:rPr>
        <w:t xml:space="preserve">Upon confirmation of designation, the Application writes the emergency contact status and priority order to the Backend for the selected family member records. Specifically, the fields emergency_contact (boolean) and emergency_priority (integer, 1–3) are updated for each designated record. All previously designated contacts for that user are cleared before the new designations are written, ensuring the designations reflect the user's current intent.</w:t>
      </w:r>
    </w:p>
    <w:p>
      <w:pPr>
        <w:pStyle w:val="Heading3"/>
        <w:spacing w:after="80" w:before="240"/>
      </w:pPr>
      <w:r>
        <w:rPr>
          <w:rFonts w:ascii="Arial" w:cs="Arial" w:eastAsia="Arial" w:hAnsi="Arial"/>
          <w:b/>
          <w:bCs/>
          <w:color w:val="0D1B2A"/>
          <w:sz w:val="22"/>
          <w:szCs w:val="22"/>
        </w:rPr>
        <w:t xml:space="preserve">5.4  Lock Screen Notification Generation</w:t>
      </w:r>
    </w:p>
    <w:p>
      <w:pPr>
        <w:spacing w:after="140" w:before="0"/>
        <w:jc w:val="both"/>
      </w:pPr>
      <w:r>
        <w:rPr>
          <w:rFonts w:ascii="Arial" w:cs="Arial" w:eastAsia="Arial" w:hAnsi="Arial"/>
          <w:color w:val="000000"/>
          <w:sz w:val="22"/>
          <w:szCs w:val="22"/>
        </w:rPr>
        <w:t xml:space="preserve">Upon saving emergency contact designations, the Application invokes a notification refresh function. This function:</w:t>
      </w:r>
    </w:p>
    <w:p>
      <w:pPr>
        <w:pStyle w:val="ListParagraph"/>
        <w:numPr>
          <w:ilvl w:val="0"/>
          <w:numId w:val="2"/>
        </w:numPr>
        <w:spacing w:after="100" w:before="0"/>
      </w:pPr>
      <w:r>
        <w:rPr>
          <w:rFonts w:ascii="Arial" w:cs="Arial" w:eastAsia="Arial" w:hAnsi="Arial"/>
          <w:color w:val="000000"/>
          <w:sz w:val="22"/>
          <w:szCs w:val="22"/>
        </w:rPr>
        <w:t xml:space="preserve">Retrieves the current emergency contact designations from the Backend</w:t>
      </w:r>
    </w:p>
    <w:p>
      <w:pPr>
        <w:pStyle w:val="ListParagraph"/>
        <w:numPr>
          <w:ilvl w:val="0"/>
          <w:numId w:val="2"/>
        </w:numPr>
        <w:spacing w:after="100" w:before="0"/>
      </w:pPr>
      <w:r>
        <w:rPr>
          <w:rFonts w:ascii="Arial" w:cs="Arial" w:eastAsia="Arial" w:hAnsi="Arial"/>
          <w:color w:val="000000"/>
          <w:sz w:val="22"/>
          <w:szCs w:val="22"/>
        </w:rPr>
        <w:t xml:space="preserve">Constructs a notification payload comprising the designated contacts' names and phone numbers</w:t>
      </w:r>
    </w:p>
    <w:p>
      <w:pPr>
        <w:pStyle w:val="ListParagraph"/>
        <w:numPr>
          <w:ilvl w:val="0"/>
          <w:numId w:val="2"/>
        </w:numPr>
        <w:spacing w:after="100" w:before="0"/>
      </w:pPr>
      <w:r>
        <w:rPr>
          <w:rFonts w:ascii="Arial" w:cs="Arial" w:eastAsia="Arial" w:hAnsi="Arial"/>
          <w:color w:val="000000"/>
          <w:sz w:val="22"/>
          <w:szCs w:val="22"/>
        </w:rPr>
        <w:t xml:space="preserve">Schedules a persistent local notification on the device operating system</w:t>
      </w:r>
    </w:p>
    <w:p>
      <w:pPr>
        <w:spacing w:after="120" w:before="0"/>
      </w:pPr>
      <w:r>
        <w:t xml:space="preserve"/>
      </w:r>
    </w:p>
    <w:p>
      <w:pPr>
        <w:spacing w:after="140" w:before="0"/>
        <w:jc w:val="both"/>
      </w:pPr>
      <w:r>
        <w:rPr>
          <w:rFonts w:ascii="Arial" w:cs="Arial" w:eastAsia="Arial" w:hAnsi="Arial"/>
          <w:color w:val="000000"/>
          <w:sz w:val="22"/>
          <w:szCs w:val="22"/>
        </w:rPr>
        <w:t xml:space="preserve">The notification is configured with the following properties to ensure lock screen persistence:</w:t>
      </w:r>
    </w:p>
    <w:p>
      <w:pPr>
        <w:pStyle w:val="ListParagraph"/>
        <w:numPr>
          <w:ilvl w:val="0"/>
          <w:numId w:val="2"/>
        </w:numPr>
        <w:spacing w:after="100" w:before="0"/>
      </w:pPr>
      <w:r>
        <w:rPr>
          <w:rFonts w:ascii="Arial" w:cs="Arial" w:eastAsia="Arial" w:hAnsi="Arial"/>
          <w:color w:val="000000"/>
          <w:sz w:val="22"/>
          <w:szCs w:val="22"/>
        </w:rPr>
        <w:t xml:space="preserve">Notification channel set to high importance / priority (Android) or time-sensitive category (iOS)</w:t>
      </w:r>
    </w:p>
    <w:p>
      <w:pPr>
        <w:pStyle w:val="ListParagraph"/>
        <w:numPr>
          <w:ilvl w:val="0"/>
          <w:numId w:val="2"/>
        </w:numPr>
        <w:spacing w:after="100" w:before="0"/>
      </w:pPr>
      <w:r>
        <w:rPr>
          <w:rFonts w:ascii="Arial" w:cs="Arial" w:eastAsia="Arial" w:hAnsi="Arial"/>
          <w:color w:val="000000"/>
          <w:sz w:val="22"/>
          <w:szCs w:val="22"/>
        </w:rPr>
        <w:t xml:space="preserve">Notification body includes the name, relationship, and phone number of each designated contact</w:t>
      </w:r>
    </w:p>
    <w:p>
      <w:pPr>
        <w:pStyle w:val="ListParagraph"/>
        <w:numPr>
          <w:ilvl w:val="0"/>
          <w:numId w:val="2"/>
        </w:numPr>
        <w:spacing w:after="100" w:before="0"/>
      </w:pPr>
      <w:r>
        <w:rPr>
          <w:rFonts w:ascii="Arial" w:cs="Arial" w:eastAsia="Arial" w:hAnsi="Arial"/>
          <w:color w:val="000000"/>
          <w:sz w:val="22"/>
          <w:szCs w:val="22"/>
        </w:rPr>
        <w:t xml:space="preserve">Notification is non-dismissible by default swipe gestures (configured as an ongoing notification on Android)</w:t>
      </w:r>
    </w:p>
    <w:p>
      <w:pPr>
        <w:pStyle w:val="ListParagraph"/>
        <w:numPr>
          <w:ilvl w:val="0"/>
          <w:numId w:val="2"/>
        </w:numPr>
        <w:spacing w:after="100" w:before="0"/>
      </w:pPr>
      <w:r>
        <w:rPr>
          <w:rFonts w:ascii="Arial" w:cs="Arial" w:eastAsia="Arial" w:hAnsi="Arial"/>
          <w:color w:val="000000"/>
          <w:sz w:val="22"/>
          <w:szCs w:val="22"/>
        </w:rPr>
        <w:t xml:space="preserve">Notification trigger is set to a repeating or persistent schedule such that it reappears if dismissed, or is re-issued on device restart</w:t>
      </w:r>
    </w:p>
    <w:p>
      <w:pPr>
        <w:pStyle w:val="ListParagraph"/>
        <w:numPr>
          <w:ilvl w:val="0"/>
          <w:numId w:val="2"/>
        </w:numPr>
        <w:spacing w:after="100" w:before="0"/>
      </w:pPr>
      <w:r>
        <w:rPr>
          <w:rFonts w:ascii="Arial" w:cs="Arial" w:eastAsia="Arial" w:hAnsi="Arial"/>
          <w:color w:val="000000"/>
          <w:sz w:val="22"/>
          <w:szCs w:val="22"/>
        </w:rPr>
        <w:t xml:space="preserve">Deep link action on notification tap initiates a phone call to the first-priority emergency contact's phone number using the device's native telephony system (tel:// URI scheme)</w:t>
      </w:r>
    </w:p>
    <w:p>
      <w:pPr>
        <w:spacing w:after="120" w:before="0"/>
      </w:pPr>
      <w:r>
        <w:t xml:space="preserve"/>
      </w:r>
    </w:p>
    <w:p>
      <w:pPr>
        <w:spacing w:after="140" w:before="0"/>
        <w:jc w:val="both"/>
      </w:pPr>
      <w:r>
        <w:rPr>
          <w:rFonts w:ascii="Arial" w:cs="Arial" w:eastAsia="Arial" w:hAnsi="Arial"/>
          <w:color w:val="000000"/>
          <w:sz w:val="22"/>
          <w:szCs w:val="22"/>
        </w:rPr>
        <w:t xml:space="preserve">The notification content is formatted to maximize readability in emergency conditions, using clear labels ("EMERGENCY CONTACT"), the contact's full name, and their phone number displayed in large, high-contrast text.</w:t>
      </w:r>
    </w:p>
    <w:p>
      <w:pPr>
        <w:pStyle w:val="Heading3"/>
        <w:spacing w:after="80" w:before="240"/>
      </w:pPr>
      <w:r>
        <w:rPr>
          <w:rFonts w:ascii="Arial" w:cs="Arial" w:eastAsia="Arial" w:hAnsi="Arial"/>
          <w:b/>
          <w:bCs/>
          <w:color w:val="0D1B2A"/>
          <w:sz w:val="22"/>
          <w:szCs w:val="22"/>
        </w:rPr>
        <w:t xml:space="preserve">5.5  Lock Screen Visibility Without Authentication</w:t>
      </w:r>
    </w:p>
    <w:p>
      <w:pPr>
        <w:spacing w:after="140" w:before="0"/>
        <w:jc w:val="both"/>
      </w:pPr>
      <w:r>
        <w:rPr>
          <w:rFonts w:ascii="Arial" w:cs="Arial" w:eastAsia="Arial" w:hAnsi="Arial"/>
          <w:color w:val="000000"/>
          <w:sz w:val="22"/>
          <w:szCs w:val="22"/>
        </w:rPr>
        <w:t xml:space="preserve">The persistent notification appears on the device's lock screen without requiring biometric authentication, passcode entry, or any other device unlock procedure. This is achieved by leveraging the operating system's native lock screen notification display capabilities, which by default show notification content on the lock screen. Users are encouraged during setup to confirm that lock screen notification display is enabled for the Application.</w:t>
      </w:r>
    </w:p>
    <w:p>
      <w:pPr>
        <w:spacing w:after="120" w:before="0"/>
      </w:pPr>
      <w:r>
        <w:t xml:space="preserve"/>
      </w:r>
    </w:p>
    <w:p>
      <w:pPr>
        <w:spacing w:after="140" w:before="0"/>
        <w:jc w:val="both"/>
      </w:pPr>
      <w:r>
        <w:rPr>
          <w:rFonts w:ascii="Arial" w:cs="Arial" w:eastAsia="Arial" w:hAnsi="Arial"/>
          <w:color w:val="000000"/>
          <w:sz w:val="22"/>
          <w:szCs w:val="22"/>
        </w:rPr>
        <w:t xml:space="preserve">The practical result is that any person — including emergency medical technicians, paramedics, police officers, nurses, or civilian bystanders — who encounters the device can immediately see the emergency contact name and phone number without interacting with the authentication system.</w:t>
      </w:r>
    </w:p>
    <w:p>
      <w:pPr>
        <w:pStyle w:val="Heading3"/>
        <w:spacing w:after="80" w:before="240"/>
      </w:pPr>
      <w:r>
        <w:rPr>
          <w:rFonts w:ascii="Arial" w:cs="Arial" w:eastAsia="Arial" w:hAnsi="Arial"/>
          <w:b/>
          <w:bCs/>
          <w:color w:val="0D1B2A"/>
          <w:sz w:val="22"/>
          <w:szCs w:val="22"/>
        </w:rPr>
        <w:t xml:space="preserve">5.6  Email Notification to Designated Contact</w:t>
      </w:r>
    </w:p>
    <w:p>
      <w:pPr>
        <w:spacing w:after="140" w:before="0"/>
        <w:jc w:val="both"/>
      </w:pPr>
      <w:r>
        <w:rPr>
          <w:rFonts w:ascii="Arial" w:cs="Arial" w:eastAsia="Arial" w:hAnsi="Arial"/>
          <w:color w:val="000000"/>
          <w:sz w:val="22"/>
          <w:szCs w:val="22"/>
        </w:rPr>
        <w:t xml:space="preserve">Upon designation as an emergency contact, the system transmits an automated email notification to the designated family member (if an email address is on file). This notification serves two purposes:</w:t>
      </w:r>
    </w:p>
    <w:p>
      <w:pPr>
        <w:pStyle w:val="ListParagraph"/>
        <w:numPr>
          <w:ilvl w:val="0"/>
          <w:numId w:val="3"/>
        </w:numPr>
        <w:spacing w:after="100" w:before="0"/>
      </w:pPr>
      <w:r>
        <w:rPr>
          <w:rFonts w:ascii="Arial" w:cs="Arial" w:eastAsia="Arial" w:hAnsi="Arial"/>
          <w:color w:val="000000"/>
          <w:sz w:val="22"/>
          <w:szCs w:val="22"/>
        </w:rPr>
        <w:t xml:space="preserve">Informed consent — the designated contact is made aware that they have been named as an emergency contact and that their name and phone number will appear on the user's lock screen.</w:t>
      </w:r>
    </w:p>
    <w:p>
      <w:pPr>
        <w:pStyle w:val="ListParagraph"/>
        <w:numPr>
          <w:ilvl w:val="0"/>
          <w:numId w:val="3"/>
        </w:numPr>
        <w:spacing w:after="100" w:before="0"/>
      </w:pPr>
      <w:r>
        <w:rPr>
          <w:rFonts w:ascii="Arial" w:cs="Arial" w:eastAsia="Arial" w:hAnsi="Arial"/>
          <w:color w:val="000000"/>
          <w:sz w:val="22"/>
          <w:szCs w:val="22"/>
        </w:rPr>
        <w:t xml:space="preserve">Contextual awareness — the designated contact understands the nature and purpose of the designation, enabling them to be prepared to respond if contacted by a first responder.</w:t>
      </w:r>
    </w:p>
    <w:p>
      <w:pPr>
        <w:spacing w:after="120" w:before="0"/>
      </w:pPr>
      <w:r>
        <w:t xml:space="preserve"/>
      </w:r>
    </w:p>
    <w:p>
      <w:pPr>
        <w:spacing w:after="140" w:before="0"/>
        <w:jc w:val="both"/>
      </w:pPr>
      <w:r>
        <w:rPr>
          <w:rFonts w:ascii="Arial" w:cs="Arial" w:eastAsia="Arial" w:hAnsi="Arial"/>
          <w:color w:val="000000"/>
          <w:sz w:val="22"/>
          <w:szCs w:val="22"/>
        </w:rPr>
        <w:t xml:space="preserve">The email notification is transmitted via a serverless cloud function invoked by the Application upon saving emergency contact designations. The function fetches the family member record and the account owner's profile from the Backend using a service-role credential that bypasses row-level security for read access only, then transmits the email via a third-party email delivery API.</w:t>
      </w:r>
    </w:p>
    <w:p>
      <w:pPr>
        <w:spacing w:after="120" w:before="0"/>
      </w:pPr>
      <w:r>
        <w:t xml:space="preserve"/>
      </w:r>
    </w:p>
    <w:p>
      <w:pPr>
        <w:spacing w:after="140" w:before="0"/>
        <w:jc w:val="both"/>
      </w:pPr>
      <w:r>
        <w:rPr>
          <w:rFonts w:ascii="Arial" w:cs="Arial" w:eastAsia="Arial" w:hAnsi="Arial"/>
          <w:color w:val="000000"/>
          <w:sz w:val="22"/>
          <w:szCs w:val="22"/>
        </w:rPr>
        <w:t xml:space="preserve">If the family member is being designated as an emergency contact at the same time they are first added to the user's family roster (concurrent new member and designation event), the email notification includes both facts: confirmation that they have been added as a family member and that they have been simultaneously designated as an emergency contact. This is controlled by a boolean flag (is_new_member) passed to the cloud function.</w:t>
      </w:r>
    </w:p>
    <w:p>
      <w:pPr>
        <w:pStyle w:val="Heading3"/>
        <w:spacing w:after="80" w:before="240"/>
      </w:pPr>
      <w:r>
        <w:rPr>
          <w:rFonts w:ascii="Arial" w:cs="Arial" w:eastAsia="Arial" w:hAnsi="Arial"/>
          <w:b/>
          <w:bCs/>
          <w:color w:val="0D1B2A"/>
          <w:sz w:val="22"/>
          <w:szCs w:val="22"/>
        </w:rPr>
        <w:t xml:space="preserve">5.7  Modification and Removal</w:t>
      </w:r>
    </w:p>
    <w:p>
      <w:pPr>
        <w:spacing w:after="140" w:before="0"/>
        <w:jc w:val="both"/>
      </w:pPr>
      <w:r>
        <w:rPr>
          <w:rFonts w:ascii="Arial" w:cs="Arial" w:eastAsia="Arial" w:hAnsi="Arial"/>
          <w:color w:val="000000"/>
          <w:sz w:val="22"/>
          <w:szCs w:val="22"/>
        </w:rPr>
        <w:t xml:space="preserve">The user may modify emergency contact designations at any time through the Family tab interface. Upon modification, the Backend is updated and the lock screen notification is regenerated to reflect the new designations. If all designations are removed, the persistent notification is cancelled and removed from the lock screen.</w:t>
      </w:r>
    </w:p>
    <w:p>
      <w:pPr>
        <w:pStyle w:val="Heading3"/>
        <w:spacing w:after="80" w:before="240"/>
      </w:pPr>
      <w:r>
        <w:rPr>
          <w:rFonts w:ascii="Arial" w:cs="Arial" w:eastAsia="Arial" w:hAnsi="Arial"/>
          <w:b/>
          <w:bCs/>
          <w:color w:val="0D1B2A"/>
          <w:sz w:val="22"/>
          <w:szCs w:val="22"/>
        </w:rPr>
        <w:t xml:space="preserve">5.8  Technical Implementation Notes</w:t>
      </w:r>
    </w:p>
    <w:p>
      <w:pPr>
        <w:spacing w:after="140" w:before="0"/>
        <w:jc w:val="both"/>
      </w:pPr>
      <w:r>
        <w:rPr>
          <w:rFonts w:ascii="Arial" w:cs="Arial" w:eastAsia="Arial" w:hAnsi="Arial"/>
          <w:color w:val="000000"/>
          <w:sz w:val="22"/>
          <w:szCs w:val="22"/>
        </w:rPr>
        <w:t xml:space="preserve">The Application is implemented in React Native using the Expo framework, enabling cross-platform deployment on iOS and Android from a shared codebase. The Backend is implemented on the Supabase platform, comprising a PostgreSQL relational database with row-level security policies, and serverless Edge Functions written in TypeScript/Deno for email dispatch. Authentication is managed by the Backend's built-in authentication service using JSON Web Tokens. Local notifications on the device are managed using the Expo Notifications library.</w:t>
      </w:r>
    </w:p>
    <w:p>
      <w:pPr>
        <w:pStyle w:val="Heading2"/>
        <w:pBdr>
          <w:bottom w:val="single" w:color="C9A84C" w:sz="4" w:space="2"/>
        </w:pBdr>
        <w:spacing w:after="120" w:before="320"/>
      </w:pPr>
      <w:r>
        <w:rPr>
          <w:rFonts w:ascii="Arial" w:cs="Arial" w:eastAsia="Arial" w:hAnsi="Arial"/>
          <w:b/>
          <w:bCs/>
          <w:color w:val="0D1B2A"/>
          <w:sz w:val="26"/>
          <w:szCs w:val="26"/>
        </w:rPr>
        <w:t xml:space="preserve">6.  PREFERRED EMBODIMENTS</w:t>
      </w:r>
    </w:p>
    <w:p>
      <w:pPr>
        <w:spacing w:after="140" w:before="0"/>
        <w:jc w:val="both"/>
      </w:pPr>
      <w:r>
        <w:rPr>
          <w:rFonts w:ascii="Arial" w:cs="Arial" w:eastAsia="Arial" w:hAnsi="Arial"/>
          <w:color w:val="000000"/>
          <w:sz w:val="22"/>
          <w:szCs w:val="22"/>
        </w:rPr>
        <w:t xml:space="preserve">In the preferred embodiment, the Application is a consumer-facing mobile application focused on personal legacy and family communication. Emergency contact designation is integrated as a step in the new user onboarding flow, maximizing the likelihood that users configure the feature upon account creation. The lock screen notification is styled with an emergency indicator icon and the label "Emergency Contact" in high-contrast text to be immediately recognizable to first responders unfamiliar with the Application.</w:t>
      </w:r>
    </w:p>
    <w:p>
      <w:pPr>
        <w:spacing w:after="120" w:before="0"/>
      </w:pPr>
      <w:r>
        <w:t xml:space="preserve"/>
      </w:r>
    </w:p>
    <w:p>
      <w:pPr>
        <w:spacing w:after="140" w:before="0"/>
        <w:jc w:val="both"/>
      </w:pPr>
      <w:r>
        <w:rPr>
          <w:rFonts w:ascii="Arial" w:cs="Arial" w:eastAsia="Arial" w:hAnsi="Arial"/>
          <w:color w:val="000000"/>
          <w:sz w:val="22"/>
          <w:szCs w:val="22"/>
        </w:rPr>
        <w:t xml:space="preserve">An alternative embodiment supports scenarios where the user has not yet registered any family members at the time of onboarding. In this case, the emergency contact step is presented with an informational message explaining that the feature can be configured later from the Family tab, and the user may skip the step without penalty. The lock screen notification remains inactive until at least one emergency contact is designated.</w:t>
      </w:r>
    </w:p>
    <w:p>
      <w:pPr>
        <w:pStyle w:val="Heading2"/>
        <w:pBdr>
          <w:bottom w:val="single" w:color="C9A84C" w:sz="4" w:space="2"/>
        </w:pBdr>
        <w:spacing w:after="120" w:before="320"/>
      </w:pPr>
      <w:r>
        <w:rPr>
          <w:rFonts w:ascii="Arial" w:cs="Arial" w:eastAsia="Arial" w:hAnsi="Arial"/>
          <w:b/>
          <w:bCs/>
          <w:color w:val="0D1B2A"/>
          <w:sz w:val="26"/>
          <w:szCs w:val="26"/>
        </w:rPr>
        <w:t xml:space="preserve">7.  ADVANTAGES OF THE INVENTION</w:t>
      </w:r>
    </w:p>
    <w:p>
      <w:pPr>
        <w:spacing w:after="140" w:before="0"/>
        <w:jc w:val="both"/>
      </w:pPr>
      <w:r>
        <w:rPr>
          <w:rFonts w:ascii="Arial" w:cs="Arial" w:eastAsia="Arial" w:hAnsi="Arial"/>
          <w:color w:val="000000"/>
          <w:sz w:val="22"/>
          <w:szCs w:val="22"/>
        </w:rPr>
        <w:t xml:space="preserve">The invention provides the following advantages over prior art:</w:t>
      </w:r>
    </w:p>
    <w:p>
      <w:pPr>
        <w:pStyle w:val="ListParagraph"/>
        <w:numPr>
          <w:ilvl w:val="0"/>
          <w:numId w:val="2"/>
        </w:numPr>
        <w:spacing w:after="100" w:before="0"/>
      </w:pPr>
      <w:r>
        <w:rPr>
          <w:rFonts w:ascii="Arial" w:cs="Arial" w:eastAsia="Arial" w:hAnsi="Arial"/>
          <w:color w:val="000000"/>
          <w:sz w:val="22"/>
          <w:szCs w:val="22"/>
        </w:rPr>
        <w:t xml:space="preserve">Passive protection — the emergency contact information is always visible without any action required by the device owner at the time of emergency.</w:t>
      </w:r>
    </w:p>
    <w:p>
      <w:pPr>
        <w:pStyle w:val="ListParagraph"/>
        <w:numPr>
          <w:ilvl w:val="0"/>
          <w:numId w:val="2"/>
        </w:numPr>
        <w:spacing w:after="100" w:before="0"/>
      </w:pPr>
      <w:r>
        <w:rPr>
          <w:rFonts w:ascii="Arial" w:cs="Arial" w:eastAsia="Arial" w:hAnsi="Arial"/>
          <w:color w:val="000000"/>
          <w:sz w:val="22"/>
          <w:szCs w:val="22"/>
        </w:rPr>
        <w:t xml:space="preserve">No authentication barrier — first responders access contact information without knowledge of a passcode or registered biometrics.</w:t>
      </w:r>
    </w:p>
    <w:p>
      <w:pPr>
        <w:pStyle w:val="ListParagraph"/>
        <w:numPr>
          <w:ilvl w:val="0"/>
          <w:numId w:val="2"/>
        </w:numPr>
        <w:spacing w:after="100" w:before="0"/>
      </w:pPr>
      <w:r>
        <w:rPr>
          <w:rFonts w:ascii="Arial" w:cs="Arial" w:eastAsia="Arial" w:hAnsi="Arial"/>
          <w:color w:val="000000"/>
          <w:sz w:val="22"/>
          <w:szCs w:val="22"/>
        </w:rPr>
        <w:t xml:space="preserve">User-configurable priority — users can designate multiple contacts in priority order, matching real-world family structures.</w:t>
      </w:r>
    </w:p>
    <w:p>
      <w:pPr>
        <w:pStyle w:val="ListParagraph"/>
        <w:numPr>
          <w:ilvl w:val="0"/>
          <w:numId w:val="2"/>
        </w:numPr>
        <w:spacing w:after="100" w:before="0"/>
      </w:pPr>
      <w:r>
        <w:rPr>
          <w:rFonts w:ascii="Arial" w:cs="Arial" w:eastAsia="Arial" w:hAnsi="Arial"/>
          <w:color w:val="000000"/>
          <w:sz w:val="22"/>
          <w:szCs w:val="22"/>
        </w:rPr>
        <w:t xml:space="preserve">Informed contacts — designated emergency contacts receive email notification of their designation, unlike passive medical ID systems.</w:t>
      </w:r>
    </w:p>
    <w:p>
      <w:pPr>
        <w:pStyle w:val="ListParagraph"/>
        <w:numPr>
          <w:ilvl w:val="0"/>
          <w:numId w:val="2"/>
        </w:numPr>
        <w:spacing w:after="100" w:before="0"/>
      </w:pPr>
      <w:r>
        <w:rPr>
          <w:rFonts w:ascii="Arial" w:cs="Arial" w:eastAsia="Arial" w:hAnsi="Arial"/>
          <w:color w:val="000000"/>
          <w:sz w:val="22"/>
          <w:szCs w:val="22"/>
        </w:rPr>
        <w:t xml:space="preserve">Cross-platform — the system operates on both major mobile operating system platforms (iOS and Android) from a shared application codebase.</w:t>
      </w:r>
    </w:p>
    <w:p>
      <w:pPr>
        <w:pStyle w:val="ListParagraph"/>
        <w:numPr>
          <w:ilvl w:val="0"/>
          <w:numId w:val="2"/>
        </w:numPr>
        <w:spacing w:after="100" w:before="0"/>
      </w:pPr>
      <w:r>
        <w:rPr>
          <w:rFonts w:ascii="Arial" w:cs="Arial" w:eastAsia="Arial" w:hAnsi="Arial"/>
          <w:color w:val="000000"/>
          <w:sz w:val="22"/>
          <w:szCs w:val="22"/>
        </w:rPr>
        <w:t xml:space="preserve">Integrated with family management — emergency contact designation is embedded within a broader family communication and legacy application, providing richer context for the contact relationship.</w:t>
      </w:r>
    </w:p>
    <w:p>
      <w:pPr>
        <w:pStyle w:val="Heading2"/>
        <w:pBdr>
          <w:bottom w:val="single" w:color="C9A84C" w:sz="4" w:space="2"/>
        </w:pBdr>
        <w:spacing w:after="120" w:before="320"/>
      </w:pPr>
      <w:r>
        <w:rPr>
          <w:rFonts w:ascii="Arial" w:cs="Arial" w:eastAsia="Arial" w:hAnsi="Arial"/>
          <w:b/>
          <w:bCs/>
          <w:color w:val="0D1B2A"/>
          <w:sz w:val="26"/>
          <w:szCs w:val="26"/>
        </w:rPr>
        <w:t xml:space="preserve">8.  BRIEF DESCRIPTION OF DRAWINGS</w:t>
      </w:r>
    </w:p>
    <w:p>
      <w:pPr>
        <w:spacing w:after="120" w:before="0"/>
        <w:jc w:val="both"/>
      </w:pPr>
      <w:r>
        <w:rPr>
          <w:rFonts w:ascii="Arial" w:cs="Arial" w:eastAsia="Arial" w:hAnsi="Arial"/>
          <w:i/>
          <w:iCs/>
          <w:color w:val="555555"/>
          <w:sz w:val="20"/>
          <w:szCs w:val="20"/>
        </w:rPr>
        <w:t xml:space="preserve">(Note to attorney: Application screenshots illustrating each screen described above will be included as formal drawings upon attorney preparation of the complete application. Screenshots available from inventor upon request.)</w:t>
      </w:r>
    </w:p>
    <w:p>
      <w:pPr>
        <w:pStyle w:val="ListParagraph"/>
        <w:numPr>
          <w:ilvl w:val="0"/>
          <w:numId w:val="2"/>
        </w:numPr>
        <w:spacing w:after="100" w:before="0"/>
      </w:pPr>
      <w:r>
        <w:rPr>
          <w:rFonts w:ascii="Arial" w:cs="Arial" w:eastAsia="Arial" w:hAnsi="Arial"/>
          <w:color w:val="000000"/>
          <w:sz w:val="22"/>
          <w:szCs w:val="22"/>
        </w:rPr>
        <w:t xml:space="preserve">Figure 1 — Onboarding Emergency Contact screen showing family member selection interface with priority color coding</w:t>
      </w:r>
    </w:p>
    <w:p>
      <w:pPr>
        <w:pStyle w:val="ListParagraph"/>
        <w:numPr>
          <w:ilvl w:val="0"/>
          <w:numId w:val="2"/>
        </w:numPr>
        <w:spacing w:after="100" w:before="0"/>
      </w:pPr>
      <w:r>
        <w:rPr>
          <w:rFonts w:ascii="Arial" w:cs="Arial" w:eastAsia="Arial" w:hAnsi="Arial"/>
          <w:color w:val="000000"/>
          <w:sz w:val="22"/>
          <w:szCs w:val="22"/>
        </w:rPr>
        <w:t xml:space="preserve">Figure 2 — Family tab interface showing emergency contact toggle and priority assignment</w:t>
      </w:r>
    </w:p>
    <w:p>
      <w:pPr>
        <w:pStyle w:val="ListParagraph"/>
        <w:numPr>
          <w:ilvl w:val="0"/>
          <w:numId w:val="2"/>
        </w:numPr>
        <w:spacing w:after="100" w:before="0"/>
      </w:pPr>
      <w:r>
        <w:rPr>
          <w:rFonts w:ascii="Arial" w:cs="Arial" w:eastAsia="Arial" w:hAnsi="Arial"/>
          <w:color w:val="000000"/>
          <w:sz w:val="22"/>
          <w:szCs w:val="22"/>
        </w:rPr>
        <w:t xml:space="preserve">Figure 3 — Device lock screen showing persistent emergency contact notification</w:t>
      </w:r>
    </w:p>
    <w:p>
      <w:pPr>
        <w:pStyle w:val="ListParagraph"/>
        <w:numPr>
          <w:ilvl w:val="0"/>
          <w:numId w:val="2"/>
        </w:numPr>
        <w:spacing w:after="100" w:before="0"/>
      </w:pPr>
      <w:r>
        <w:rPr>
          <w:rFonts w:ascii="Arial" w:cs="Arial" w:eastAsia="Arial" w:hAnsi="Arial"/>
          <w:color w:val="000000"/>
          <w:sz w:val="22"/>
          <w:szCs w:val="22"/>
        </w:rPr>
        <w:t xml:space="preserve">Figure 4 — Email notification received by designated emergency contact</w:t>
      </w:r>
    </w:p>
    <w:p>
      <w:pPr>
        <w:pStyle w:val="ListParagraph"/>
        <w:numPr>
          <w:ilvl w:val="0"/>
          <w:numId w:val="2"/>
        </w:numPr>
        <w:spacing w:after="100" w:before="0"/>
      </w:pPr>
      <w:r>
        <w:rPr>
          <w:rFonts w:ascii="Arial" w:cs="Arial" w:eastAsia="Arial" w:hAnsi="Arial"/>
          <w:color w:val="000000"/>
          <w:sz w:val="22"/>
          <w:szCs w:val="22"/>
        </w:rPr>
        <w:t xml:space="preserve">Figure 5 — System architecture diagram showing Application, Backend, and notification flow</w:t>
      </w:r>
    </w:p>
    <w:p>
      <w:r>
        <w:br w:type="page"/>
      </w:r>
    </w:p>
    <w:p>
      <w:pPr>
        <w:spacing w:after="80" w:before="0"/>
        <w:jc w:val="center"/>
      </w:pPr>
      <w:r>
        <w:rPr>
          <w:rFonts w:ascii="Arial" w:cs="Arial" w:eastAsia="Arial" w:hAnsi="Arial"/>
          <w:b/>
          <w:bCs/>
          <w:color w:val="C9A84C"/>
          <w:sz w:val="28"/>
          <w:szCs w:val="28"/>
        </w:rPr>
        <w:t xml:space="preserve">INVENTION II</w:t>
      </w:r>
    </w:p>
    <w:p>
      <w:pPr>
        <w:spacing w:after="240" w:before="0"/>
        <w:jc w:val="center"/>
      </w:pPr>
      <w:r>
        <w:rPr>
          <w:rFonts w:ascii="Arial" w:cs="Arial" w:eastAsia="Arial" w:hAnsi="Arial"/>
          <w:b/>
          <w:bCs/>
          <w:color w:val="0D1B2A"/>
          <w:sz w:val="26"/>
          <w:szCs w:val="26"/>
        </w:rPr>
        <w:t xml:space="preserve">SCHEDULED PERSONAL MEMORY DELIVERY SYSTEM</w:t>
      </w:r>
    </w:p>
    <w:p>
      <w:pPr>
        <w:pStyle w:val="Heading2"/>
        <w:pBdr>
          <w:bottom w:val="single" w:color="C9A84C" w:sz="4" w:space="2"/>
        </w:pBdr>
        <w:spacing w:after="120" w:before="320"/>
      </w:pPr>
      <w:r>
        <w:rPr>
          <w:rFonts w:ascii="Arial" w:cs="Arial" w:eastAsia="Arial" w:hAnsi="Arial"/>
          <w:b/>
          <w:bCs/>
          <w:color w:val="0D1B2A"/>
          <w:sz w:val="26"/>
          <w:szCs w:val="26"/>
        </w:rPr>
        <w:t xml:space="preserve">1.  TITLE OF INVENTION</w:t>
      </w:r>
    </w:p>
    <w:p>
      <w:pPr>
        <w:spacing w:after="140" w:before="0"/>
        <w:jc w:val="both"/>
      </w:pPr>
      <w:r>
        <w:rPr>
          <w:rFonts w:ascii="Arial" w:cs="Arial" w:eastAsia="Arial" w:hAnsi="Arial"/>
          <w:color w:val="000000"/>
          <w:sz w:val="22"/>
          <w:szCs w:val="22"/>
        </w:rPr>
        <w:t xml:space="preserve">Scheduled Personal Memory Delivery System for Time-Gated Transmission of Personal Audio, Video, and Written Content to Designated Recipients</w:t>
      </w:r>
    </w:p>
    <w:p>
      <w:pPr>
        <w:pStyle w:val="Heading2"/>
        <w:pBdr>
          <w:bottom w:val="single" w:color="C9A84C" w:sz="4" w:space="2"/>
        </w:pBdr>
        <w:spacing w:after="120" w:before="320"/>
      </w:pPr>
      <w:r>
        <w:rPr>
          <w:rFonts w:ascii="Arial" w:cs="Arial" w:eastAsia="Arial" w:hAnsi="Arial"/>
          <w:b/>
          <w:bCs/>
          <w:color w:val="0D1B2A"/>
          <w:sz w:val="26"/>
          <w:szCs w:val="26"/>
        </w:rPr>
        <w:t xml:space="preserve">2.  FIELD OF THE INVENTION</w:t>
      </w:r>
    </w:p>
    <w:p>
      <w:pPr>
        <w:spacing w:after="140" w:before="0"/>
        <w:jc w:val="both"/>
      </w:pPr>
      <w:r>
        <w:rPr>
          <w:rFonts w:ascii="Arial" w:cs="Arial" w:eastAsia="Arial" w:hAnsi="Arial"/>
          <w:color w:val="000000"/>
          <w:sz w:val="22"/>
          <w:szCs w:val="22"/>
        </w:rPr>
        <w:t xml:space="preserve">This invention relates to personal communication systems and digital legacy management, and more particularly to a method and system by which a person creates personal media content — including audio recordings, video recordings, written messages, and photographs — and schedules that content for automatic delivery to one or more designated recipients on a specified future date or upon a user-defined recurring schedule, without any further action required by the content creator at the time of delivery.</w:t>
      </w:r>
    </w:p>
    <w:p>
      <w:pPr>
        <w:pStyle w:val="Heading2"/>
        <w:pBdr>
          <w:bottom w:val="single" w:color="C9A84C" w:sz="4" w:space="2"/>
        </w:pBdr>
        <w:spacing w:after="120" w:before="320"/>
      </w:pPr>
      <w:r>
        <w:rPr>
          <w:rFonts w:ascii="Arial" w:cs="Arial" w:eastAsia="Arial" w:hAnsi="Arial"/>
          <w:b/>
          <w:bCs/>
          <w:color w:val="0D1B2A"/>
          <w:sz w:val="26"/>
          <w:szCs w:val="26"/>
        </w:rPr>
        <w:t xml:space="preserve">3.  BACKGROUND OF THE INVENTION</w:t>
      </w:r>
    </w:p>
    <w:p>
      <w:pPr>
        <w:spacing w:after="140" w:before="0"/>
        <w:jc w:val="both"/>
      </w:pPr>
      <w:r>
        <w:rPr>
          <w:rFonts w:ascii="Arial" w:cs="Arial" w:eastAsia="Arial" w:hAnsi="Arial"/>
          <w:color w:val="000000"/>
          <w:sz w:val="22"/>
          <w:szCs w:val="22"/>
        </w:rPr>
        <w:t xml:space="preserve">Human relationships are marked by occasions of significance: birthdays, anniversaries, graduations, holidays, life milestones, and countless other moments where the presence of a loved one — in voice, in image, or in written word — carries profound meaning. Modern communication tools enable instant contact, but provide no mechanism for a person to prepare and time-release a personal message for a future occasion they may or may not be present to witness.</w:t>
      </w:r>
    </w:p>
    <w:p>
      <w:pPr>
        <w:spacing w:after="120" w:before="0"/>
      </w:pPr>
      <w:r>
        <w:t xml:space="preserve"/>
      </w:r>
    </w:p>
    <w:p>
      <w:pPr>
        <w:spacing w:after="140" w:before="0"/>
        <w:jc w:val="both"/>
      </w:pPr>
      <w:r>
        <w:rPr>
          <w:rFonts w:ascii="Arial" w:cs="Arial" w:eastAsia="Arial" w:hAnsi="Arial"/>
          <w:color w:val="000000"/>
          <w:sz w:val="22"/>
          <w:szCs w:val="22"/>
        </w:rPr>
        <w:t xml:space="preserve">The limitations of existing solutions are significant. Video messaging applications (e.g., WhatsApp, iMessage) deliver content immediately and have no scheduling capability for personal legacy content. Email scheduling tools exist but are transactional in nature, lack media richness, and are not designed around personal relationship milestones or recurring family occasions. Social media scheduling tools are designed for public broadcast rather than private, intimate recipient-specific delivery. No prior art provides a dedicated system for a person to build a personal library of occasion-specific memories and messages — across multiple media types — and deliver them automatically to specific named recipients on specific future dates, spanning a timeline of years or decades.</w:t>
      </w:r>
    </w:p>
    <w:p>
      <w:pPr>
        <w:spacing w:after="120" w:before="0"/>
      </w:pPr>
      <w:r>
        <w:t xml:space="preserve"/>
      </w:r>
    </w:p>
    <w:p>
      <w:pPr>
        <w:spacing w:after="140" w:before="0"/>
        <w:jc w:val="both"/>
      </w:pPr>
      <w:r>
        <w:rPr>
          <w:rFonts w:ascii="Arial" w:cs="Arial" w:eastAsia="Arial" w:hAnsi="Arial"/>
          <w:color w:val="000000"/>
          <w:sz w:val="22"/>
          <w:szCs w:val="22"/>
        </w:rPr>
        <w:t xml:space="preserve">Further, no prior art in this space is designed around the emotional context of aging, illness, or the anticipation of one's absence from future milestones — a context in which the value of pre-recorded personal messages is particularly profound. Seniors, persons with terminal diagnoses, parents of young children, and anyone who wishes to leave a lasting personal legacy for their family have no purpose-built tool for this need.</w:t>
      </w:r>
    </w:p>
    <w:p>
      <w:pPr>
        <w:pStyle w:val="Heading2"/>
        <w:pBdr>
          <w:bottom w:val="single" w:color="C9A84C" w:sz="4" w:space="2"/>
        </w:pBdr>
        <w:spacing w:after="120" w:before="320"/>
      </w:pPr>
      <w:r>
        <w:rPr>
          <w:rFonts w:ascii="Arial" w:cs="Arial" w:eastAsia="Arial" w:hAnsi="Arial"/>
          <w:b/>
          <w:bCs/>
          <w:color w:val="0D1B2A"/>
          <w:sz w:val="26"/>
          <w:szCs w:val="26"/>
        </w:rPr>
        <w:t xml:space="preserve">4.  SUMMARY OF THE INVENTION</w:t>
      </w:r>
    </w:p>
    <w:p>
      <w:pPr>
        <w:spacing w:after="140" w:before="0"/>
        <w:jc w:val="both"/>
      </w:pPr>
      <w:r>
        <w:rPr>
          <w:rFonts w:ascii="Arial" w:cs="Arial" w:eastAsia="Arial" w:hAnsi="Arial"/>
          <w:color w:val="000000"/>
          <w:sz w:val="22"/>
          <w:szCs w:val="22"/>
        </w:rPr>
        <w:t xml:space="preserve">The present invention provides a mobile application method and system that enables a user (the "Sender") to record, upload, or compose personal media content, associate that content with a specific future delivery date and one or more designated recipients (the "Recipients"), and have the system automatically deliver the content on the specified date via push notification and/or email, without any further action required by the Sender at the time of delivery.</w:t>
      </w:r>
    </w:p>
    <w:p>
      <w:pPr>
        <w:spacing w:after="120" w:before="0"/>
      </w:pPr>
      <w:r>
        <w:t xml:space="preserve"/>
      </w:r>
    </w:p>
    <w:p>
      <w:pPr>
        <w:spacing w:after="140" w:before="0"/>
        <w:jc w:val="both"/>
      </w:pPr>
      <w:r>
        <w:rPr>
          <w:rFonts w:ascii="Arial" w:cs="Arial" w:eastAsia="Arial" w:hAnsi="Arial"/>
          <w:color w:val="000000"/>
          <w:sz w:val="22"/>
          <w:szCs w:val="22"/>
        </w:rPr>
        <w:t xml:space="preserve">The system maintains a persistent library of scheduled content (the "Memory Vault") associated with the Sender's account. Content may be scheduled for delivery on dates ranging from the following day to multiple decades in the future. There is no system-imposed expiration on scheduled content. The Sender may review, edit, or delete scheduled content at any time prior to delivery. Upon delivery, Recipients receive a notification containing or linking to the personal content, presented in a dedicated recipient-facing interface.</w:t>
      </w:r>
    </w:p>
    <w:p>
      <w:pPr>
        <w:pStyle w:val="Heading2"/>
        <w:pBdr>
          <w:bottom w:val="single" w:color="C9A84C" w:sz="4" w:space="2"/>
        </w:pBdr>
        <w:spacing w:after="120" w:before="320"/>
      </w:pPr>
      <w:r>
        <w:rPr>
          <w:rFonts w:ascii="Arial" w:cs="Arial" w:eastAsia="Arial" w:hAnsi="Arial"/>
          <w:b/>
          <w:bCs/>
          <w:color w:val="0D1B2A"/>
          <w:sz w:val="26"/>
          <w:szCs w:val="26"/>
        </w:rPr>
        <w:t xml:space="preserve">5.  DETAILED DESCRIPTION OF THE INVENTION</w:t>
      </w:r>
    </w:p>
    <w:p>
      <w:pPr>
        <w:pStyle w:val="Heading3"/>
        <w:spacing w:after="80" w:before="240"/>
      </w:pPr>
      <w:r>
        <w:rPr>
          <w:rFonts w:ascii="Arial" w:cs="Arial" w:eastAsia="Arial" w:hAnsi="Arial"/>
          <w:b/>
          <w:bCs/>
          <w:color w:val="0D1B2A"/>
          <w:sz w:val="22"/>
          <w:szCs w:val="22"/>
        </w:rPr>
        <w:t xml:space="preserve">5.1  System Architecture</w:t>
      </w:r>
    </w:p>
    <w:p>
      <w:pPr>
        <w:spacing w:after="140" w:before="0"/>
        <w:jc w:val="both"/>
      </w:pPr>
      <w:r>
        <w:rPr>
          <w:rFonts w:ascii="Arial" w:cs="Arial" w:eastAsia="Arial" w:hAnsi="Arial"/>
          <w:color w:val="000000"/>
          <w:sz w:val="22"/>
          <w:szCs w:val="22"/>
        </w:rPr>
        <w:t xml:space="preserve">The system comprises a mobile application installed on the Sender's mobile device, a cloud-based backend service storing content and delivery schedules, a recipient-facing mobile application or web interface, and a delivery execution layer responsible for triggering content delivery on scheduled dates.</w:t>
      </w:r>
    </w:p>
    <w:p>
      <w:pPr>
        <w:spacing w:after="120" w:before="0"/>
      </w:pPr>
      <w:r>
        <w:t xml:space="preserve"/>
      </w:r>
    </w:p>
    <w:p>
      <w:pPr>
        <w:spacing w:after="140" w:before="0"/>
        <w:jc w:val="both"/>
      </w:pPr>
      <w:r>
        <w:rPr>
          <w:rFonts w:ascii="Arial" w:cs="Arial" w:eastAsia="Arial" w:hAnsi="Arial"/>
          <w:color w:val="000000"/>
          <w:sz w:val="22"/>
          <w:szCs w:val="22"/>
        </w:rPr>
        <w:t xml:space="preserve">The Backend comprises a relational database storing user profiles, family member records, memory records, media assets, and occasion configurations. Media assets (audio, video, images) are stored in a cloud object storage service with access-controlled retrieval URLs. The delivery execution layer comprises a scheduled job service that queries the database for memories due for delivery on the current date and triggers the appropriate notification and email dispatch functions.</w:t>
      </w:r>
    </w:p>
    <w:p>
      <w:pPr>
        <w:pStyle w:val="Heading3"/>
        <w:spacing w:after="80" w:before="240"/>
      </w:pPr>
      <w:r>
        <w:rPr>
          <w:rFonts w:ascii="Arial" w:cs="Arial" w:eastAsia="Arial" w:hAnsi="Arial"/>
          <w:b/>
          <w:bCs/>
          <w:color w:val="0D1B2A"/>
          <w:sz w:val="22"/>
          <w:szCs w:val="22"/>
        </w:rPr>
        <w:t xml:space="preserve">5.2  Content Creation — Memory Types</w:t>
      </w:r>
    </w:p>
    <w:p>
      <w:pPr>
        <w:spacing w:after="140" w:before="0"/>
        <w:jc w:val="both"/>
      </w:pPr>
      <w:r>
        <w:rPr>
          <w:rFonts w:ascii="Arial" w:cs="Arial" w:eastAsia="Arial" w:hAnsi="Arial"/>
          <w:color w:val="000000"/>
          <w:sz w:val="22"/>
          <w:szCs w:val="22"/>
        </w:rPr>
        <w:t xml:space="preserve">The system supports the following content types, referred to collectively as "Memories":</w:t>
      </w:r>
    </w:p>
    <w:p>
      <w:pPr>
        <w:pStyle w:val="ListParagraph"/>
        <w:numPr>
          <w:ilvl w:val="0"/>
          <w:numId w:val="2"/>
        </w:numPr>
        <w:spacing w:after="100" w:before="0"/>
      </w:pPr>
      <w:r>
        <w:rPr>
          <w:rFonts w:ascii="Arial" w:cs="Arial" w:eastAsia="Arial" w:hAnsi="Arial"/>
          <w:color w:val="000000"/>
          <w:sz w:val="22"/>
          <w:szCs w:val="22"/>
        </w:rPr>
        <w:t xml:space="preserve">Audio recording — the Sender records a spoken message directly within the Application using the device microphone. The audio is uploaded to cloud storage and associated with the memory record.</w:t>
      </w:r>
    </w:p>
    <w:p>
      <w:pPr>
        <w:pStyle w:val="ListParagraph"/>
        <w:numPr>
          <w:ilvl w:val="0"/>
          <w:numId w:val="2"/>
        </w:numPr>
        <w:spacing w:after="100" w:before="0"/>
      </w:pPr>
      <w:r>
        <w:rPr>
          <w:rFonts w:ascii="Arial" w:cs="Arial" w:eastAsia="Arial" w:hAnsi="Arial"/>
          <w:color w:val="000000"/>
          <w:sz w:val="22"/>
          <w:szCs w:val="22"/>
        </w:rPr>
        <w:t xml:space="preserve">Video recording — the Sender records a video message using the device camera. The video is uploaded to cloud storage and associated with the memory record.</w:t>
      </w:r>
    </w:p>
    <w:p>
      <w:pPr>
        <w:pStyle w:val="ListParagraph"/>
        <w:numPr>
          <w:ilvl w:val="0"/>
          <w:numId w:val="2"/>
        </w:numPr>
        <w:spacing w:after="100" w:before="0"/>
      </w:pPr>
      <w:r>
        <w:rPr>
          <w:rFonts w:ascii="Arial" w:cs="Arial" w:eastAsia="Arial" w:hAnsi="Arial"/>
          <w:color w:val="000000"/>
          <w:sz w:val="22"/>
          <w:szCs w:val="22"/>
        </w:rPr>
        <w:t xml:space="preserve">Written message — the Sender composes a text-based personal message within the Application. The message text is stored directly in the memory record in the database.</w:t>
      </w:r>
    </w:p>
    <w:p>
      <w:pPr>
        <w:pStyle w:val="ListParagraph"/>
        <w:numPr>
          <w:ilvl w:val="0"/>
          <w:numId w:val="2"/>
        </w:numPr>
        <w:spacing w:after="100" w:before="0"/>
      </w:pPr>
      <w:r>
        <w:rPr>
          <w:rFonts w:ascii="Arial" w:cs="Arial" w:eastAsia="Arial" w:hAnsi="Arial"/>
          <w:color w:val="000000"/>
          <w:sz w:val="22"/>
          <w:szCs w:val="22"/>
        </w:rPr>
        <w:t xml:space="preserve">Photograph — the Sender uploads a photograph from the device photo library or captures one with the device camera. The image is uploaded to cloud storage and associated with the memory record.</w:t>
      </w:r>
    </w:p>
    <w:p>
      <w:pPr>
        <w:spacing w:after="120" w:before="0"/>
      </w:pPr>
      <w:r>
        <w:t xml:space="preserve"/>
      </w:r>
    </w:p>
    <w:p>
      <w:pPr>
        <w:spacing w:after="140" w:before="0"/>
        <w:jc w:val="both"/>
      </w:pPr>
      <w:r>
        <w:rPr>
          <w:rFonts w:ascii="Arial" w:cs="Arial" w:eastAsia="Arial" w:hAnsi="Arial"/>
          <w:color w:val="000000"/>
          <w:sz w:val="22"/>
          <w:szCs w:val="22"/>
        </w:rPr>
        <w:t xml:space="preserve">Each Memory record in the database comprises at minimum: a unique identifier, the Sender's user identifier, the content type, a reference to the stored media asset (for audio/video/photo types) or the message text (for written type), a delivery date, one or more recipient identifiers, an occasion identifier, a title, and a creation timestamp.</w:t>
      </w:r>
    </w:p>
    <w:p>
      <w:pPr>
        <w:pStyle w:val="Heading3"/>
        <w:spacing w:after="80" w:before="240"/>
      </w:pPr>
      <w:r>
        <w:rPr>
          <w:rFonts w:ascii="Arial" w:cs="Arial" w:eastAsia="Arial" w:hAnsi="Arial"/>
          <w:b/>
          <w:bCs/>
          <w:color w:val="0D1B2A"/>
          <w:sz w:val="22"/>
          <w:szCs w:val="22"/>
        </w:rPr>
        <w:t xml:space="preserve">5.3  Occasion Framework</w:t>
      </w:r>
    </w:p>
    <w:p>
      <w:pPr>
        <w:spacing w:after="140" w:before="0"/>
        <w:jc w:val="both"/>
      </w:pPr>
      <w:r>
        <w:rPr>
          <w:rFonts w:ascii="Arial" w:cs="Arial" w:eastAsia="Arial" w:hAnsi="Arial"/>
          <w:color w:val="000000"/>
          <w:sz w:val="22"/>
          <w:szCs w:val="22"/>
        </w:rPr>
        <w:t xml:space="preserve">Memories are organized around occasions, which represent the meaningful events or categories for which the content is intended. The system provides a library of standard occasions including but not limited to:</w:t>
      </w:r>
    </w:p>
    <w:p>
      <w:pPr>
        <w:pStyle w:val="ListParagraph"/>
        <w:numPr>
          <w:ilvl w:val="0"/>
          <w:numId w:val="2"/>
        </w:numPr>
        <w:spacing w:after="100" w:before="0"/>
      </w:pPr>
      <w:r>
        <w:rPr>
          <w:rFonts w:ascii="Arial" w:cs="Arial" w:eastAsia="Arial" w:hAnsi="Arial"/>
          <w:color w:val="000000"/>
          <w:sz w:val="22"/>
          <w:szCs w:val="22"/>
        </w:rPr>
        <w:t xml:space="preserve">Birthday — annual recurring delivery on the recipient's birthday</w:t>
      </w:r>
    </w:p>
    <w:p>
      <w:pPr>
        <w:pStyle w:val="ListParagraph"/>
        <w:numPr>
          <w:ilvl w:val="0"/>
          <w:numId w:val="2"/>
        </w:numPr>
        <w:spacing w:after="100" w:before="0"/>
      </w:pPr>
      <w:r>
        <w:rPr>
          <w:rFonts w:ascii="Arial" w:cs="Arial" w:eastAsia="Arial" w:hAnsi="Arial"/>
          <w:color w:val="000000"/>
          <w:sz w:val="22"/>
          <w:szCs w:val="22"/>
        </w:rPr>
        <w:t xml:space="preserve">Wedding anniversary</w:t>
      </w:r>
    </w:p>
    <w:p>
      <w:pPr>
        <w:pStyle w:val="ListParagraph"/>
        <w:numPr>
          <w:ilvl w:val="0"/>
          <w:numId w:val="2"/>
        </w:numPr>
        <w:spacing w:after="100" w:before="0"/>
      </w:pPr>
      <w:r>
        <w:rPr>
          <w:rFonts w:ascii="Arial" w:cs="Arial" w:eastAsia="Arial" w:hAnsi="Arial"/>
          <w:color w:val="000000"/>
          <w:sz w:val="22"/>
          <w:szCs w:val="22"/>
        </w:rPr>
        <w:t xml:space="preserve">Graduation</w:t>
      </w:r>
    </w:p>
    <w:p>
      <w:pPr>
        <w:pStyle w:val="ListParagraph"/>
        <w:numPr>
          <w:ilvl w:val="0"/>
          <w:numId w:val="2"/>
        </w:numPr>
        <w:spacing w:after="100" w:before="0"/>
      </w:pPr>
      <w:r>
        <w:rPr>
          <w:rFonts w:ascii="Arial" w:cs="Arial" w:eastAsia="Arial" w:hAnsi="Arial"/>
          <w:color w:val="000000"/>
          <w:sz w:val="22"/>
          <w:szCs w:val="22"/>
        </w:rPr>
        <w:t xml:space="preserve">Holiday occasions (e.g., Christmas, Thanksgiving, New Year)</w:t>
      </w:r>
    </w:p>
    <w:p>
      <w:pPr>
        <w:pStyle w:val="ListParagraph"/>
        <w:numPr>
          <w:ilvl w:val="0"/>
          <w:numId w:val="2"/>
        </w:numPr>
        <w:spacing w:after="100" w:before="0"/>
      </w:pPr>
      <w:r>
        <w:rPr>
          <w:rFonts w:ascii="Arial" w:cs="Arial" w:eastAsia="Arial" w:hAnsi="Arial"/>
          <w:color w:val="000000"/>
          <w:sz w:val="22"/>
          <w:szCs w:val="22"/>
        </w:rPr>
        <w:t xml:space="preserve">Mother's Day / Father's Day</w:t>
      </w:r>
    </w:p>
    <w:p>
      <w:pPr>
        <w:pStyle w:val="ListParagraph"/>
        <w:numPr>
          <w:ilvl w:val="0"/>
          <w:numId w:val="2"/>
        </w:numPr>
        <w:spacing w:after="100" w:before="0"/>
      </w:pPr>
      <w:r>
        <w:rPr>
          <w:rFonts w:ascii="Arial" w:cs="Arial" w:eastAsia="Arial" w:hAnsi="Arial"/>
          <w:color w:val="000000"/>
          <w:sz w:val="22"/>
          <w:szCs w:val="22"/>
        </w:rPr>
        <w:t xml:space="preserve">Just Because — non-occasion-specific delivery on any chosen date</w:t>
      </w:r>
    </w:p>
    <w:p>
      <w:pPr>
        <w:pStyle w:val="ListParagraph"/>
        <w:numPr>
          <w:ilvl w:val="0"/>
          <w:numId w:val="2"/>
        </w:numPr>
        <w:spacing w:after="100" w:before="0"/>
      </w:pPr>
      <w:r>
        <w:rPr>
          <w:rFonts w:ascii="Arial" w:cs="Arial" w:eastAsia="Arial" w:hAnsi="Arial"/>
          <w:color w:val="000000"/>
          <w:sz w:val="22"/>
          <w:szCs w:val="22"/>
        </w:rPr>
        <w:t xml:space="preserve">In My Memory — content intended for delivery after the Sender's passing, managed through the estate planning module</w:t>
      </w:r>
    </w:p>
    <w:p>
      <w:pPr>
        <w:spacing w:after="120" w:before="0"/>
      </w:pPr>
      <w:r>
        <w:t xml:space="preserve"/>
      </w:r>
    </w:p>
    <w:p>
      <w:pPr>
        <w:spacing w:after="140" w:before="0"/>
        <w:jc w:val="both"/>
      </w:pPr>
      <w:r>
        <w:rPr>
          <w:rFonts w:ascii="Arial" w:cs="Arial" w:eastAsia="Arial" w:hAnsi="Arial"/>
          <w:color w:val="000000"/>
          <w:sz w:val="22"/>
          <w:szCs w:val="22"/>
        </w:rPr>
        <w:t xml:space="preserve">The Sender selects an occasion category during memory creation. For recurring occasions (e.g., Birthday), the system may present options for single-date or multi-year recurring delivery. The occasion framework allows Recipients to browse received memories organized by occasion type, creating a coherent personal archive.</w:t>
      </w:r>
    </w:p>
    <w:p>
      <w:pPr>
        <w:pStyle w:val="Heading3"/>
        <w:spacing w:after="80" w:before="240"/>
      </w:pPr>
      <w:r>
        <w:rPr>
          <w:rFonts w:ascii="Arial" w:cs="Arial" w:eastAsia="Arial" w:hAnsi="Arial"/>
          <w:b/>
          <w:bCs/>
          <w:color w:val="0D1B2A"/>
          <w:sz w:val="22"/>
          <w:szCs w:val="22"/>
        </w:rPr>
        <w:t xml:space="preserve">5.4  Recipient Designation</w:t>
      </w:r>
    </w:p>
    <w:p>
      <w:pPr>
        <w:spacing w:after="140" w:before="0"/>
        <w:jc w:val="both"/>
      </w:pPr>
      <w:r>
        <w:rPr>
          <w:rFonts w:ascii="Arial" w:cs="Arial" w:eastAsia="Arial" w:hAnsi="Arial"/>
          <w:color w:val="000000"/>
          <w:sz w:val="22"/>
          <w:szCs w:val="22"/>
        </w:rPr>
        <w:t xml:space="preserve">Each Memory is associated with one or more Recipients. Recipients are selected from the Sender's family member roster registered in the system. A Recipient may be:</w:t>
      </w:r>
    </w:p>
    <w:p>
      <w:pPr>
        <w:pStyle w:val="ListParagraph"/>
        <w:numPr>
          <w:ilvl w:val="0"/>
          <w:numId w:val="2"/>
        </w:numPr>
        <w:spacing w:after="100" w:before="0"/>
      </w:pPr>
      <w:r>
        <w:rPr>
          <w:rFonts w:ascii="Arial" w:cs="Arial" w:eastAsia="Arial" w:hAnsi="Arial"/>
          <w:color w:val="000000"/>
          <w:sz w:val="22"/>
          <w:szCs w:val="22"/>
        </w:rPr>
        <w:t xml:space="preserve">An existing account holder in the system (having accepted a family invitation), in which case delivery occurs via in-app push notification and optionally email.</w:t>
      </w:r>
    </w:p>
    <w:p>
      <w:pPr>
        <w:pStyle w:val="ListParagraph"/>
        <w:numPr>
          <w:ilvl w:val="0"/>
          <w:numId w:val="2"/>
        </w:numPr>
        <w:spacing w:after="100" w:before="0"/>
      </w:pPr>
      <w:r>
        <w:rPr>
          <w:rFonts w:ascii="Arial" w:cs="Arial" w:eastAsia="Arial" w:hAnsi="Arial"/>
          <w:color w:val="000000"/>
          <w:sz w:val="22"/>
          <w:szCs w:val="22"/>
        </w:rPr>
        <w:t xml:space="preserve">A non-account-holder designated by email address, in which case delivery occurs via email with a link to a web-based content viewer.</w:t>
      </w:r>
    </w:p>
    <w:p>
      <w:pPr>
        <w:spacing w:after="120" w:before="0"/>
      </w:pPr>
      <w:r>
        <w:t xml:space="preserve"/>
      </w:r>
    </w:p>
    <w:p>
      <w:pPr>
        <w:spacing w:after="140" w:before="0"/>
        <w:jc w:val="both"/>
      </w:pPr>
      <w:r>
        <w:rPr>
          <w:rFonts w:ascii="Arial" w:cs="Arial" w:eastAsia="Arial" w:hAnsi="Arial"/>
          <w:color w:val="000000"/>
          <w:sz w:val="22"/>
          <w:szCs w:val="22"/>
        </w:rPr>
        <w:t xml:space="preserve">When a Recipient is designated who does not yet have an account, the system may send an invitation to join the platform so that future deliveries reach them via the richer in-app experience.</w:t>
      </w:r>
    </w:p>
    <w:p>
      <w:pPr>
        <w:pStyle w:val="Heading3"/>
        <w:spacing w:after="80" w:before="240"/>
      </w:pPr>
      <w:r>
        <w:rPr>
          <w:rFonts w:ascii="Arial" w:cs="Arial" w:eastAsia="Arial" w:hAnsi="Arial"/>
          <w:b/>
          <w:bCs/>
          <w:color w:val="0D1B2A"/>
          <w:sz w:val="22"/>
          <w:szCs w:val="22"/>
        </w:rPr>
        <w:t xml:space="preserve">5.5  Delivery Date Scheduling</w:t>
      </w:r>
    </w:p>
    <w:p>
      <w:pPr>
        <w:spacing w:after="140" w:before="0"/>
        <w:jc w:val="both"/>
      </w:pPr>
      <w:r>
        <w:rPr>
          <w:rFonts w:ascii="Arial" w:cs="Arial" w:eastAsia="Arial" w:hAnsi="Arial"/>
          <w:color w:val="000000"/>
          <w:sz w:val="22"/>
          <w:szCs w:val="22"/>
        </w:rPr>
        <w:t xml:space="preserve">The Sender specifies a delivery date during memory creation. The delivery date may be:</w:t>
      </w:r>
    </w:p>
    <w:p>
      <w:pPr>
        <w:pStyle w:val="ListParagraph"/>
        <w:numPr>
          <w:ilvl w:val="0"/>
          <w:numId w:val="2"/>
        </w:numPr>
        <w:spacing w:after="100" w:before="0"/>
      </w:pPr>
      <w:r>
        <w:rPr>
          <w:rFonts w:ascii="Arial" w:cs="Arial" w:eastAsia="Arial" w:hAnsi="Arial"/>
          <w:color w:val="000000"/>
          <w:sz w:val="22"/>
          <w:szCs w:val="22"/>
        </w:rPr>
        <w:t xml:space="preserve">A specific calendar date (e.g., June 15, 2031) — the memory is delivered on that exact date.</w:t>
      </w:r>
    </w:p>
    <w:p>
      <w:pPr>
        <w:pStyle w:val="ListParagraph"/>
        <w:numPr>
          <w:ilvl w:val="0"/>
          <w:numId w:val="2"/>
        </w:numPr>
        <w:spacing w:after="100" w:before="0"/>
      </w:pPr>
      <w:r>
        <w:rPr>
          <w:rFonts w:ascii="Arial" w:cs="Arial" w:eastAsia="Arial" w:hAnsi="Arial"/>
          <w:color w:val="000000"/>
          <w:sz w:val="22"/>
          <w:szCs w:val="22"/>
        </w:rPr>
        <w:t xml:space="preserve">A recurring annual date (e.g., every June 15) — the memory is delivered on that date each year.</w:t>
      </w:r>
    </w:p>
    <w:p>
      <w:pPr>
        <w:pStyle w:val="ListParagraph"/>
        <w:numPr>
          <w:ilvl w:val="0"/>
          <w:numId w:val="2"/>
        </w:numPr>
        <w:spacing w:after="100" w:before="0"/>
      </w:pPr>
      <w:r>
        <w:rPr>
          <w:rFonts w:ascii="Arial" w:cs="Arial" w:eastAsia="Arial" w:hAnsi="Arial"/>
          <w:color w:val="000000"/>
          <w:sz w:val="22"/>
          <w:szCs w:val="22"/>
        </w:rPr>
        <w:t xml:space="preserve">A relative date (e.g., the Recipient's next birthday) — the system resolves the date from the Recipient's profile information.</w:t>
      </w:r>
    </w:p>
    <w:p>
      <w:pPr>
        <w:spacing w:after="120" w:before="0"/>
      </w:pPr>
      <w:r>
        <w:t xml:space="preserve"/>
      </w:r>
    </w:p>
    <w:p>
      <w:pPr>
        <w:spacing w:after="140" w:before="0"/>
        <w:jc w:val="both"/>
      </w:pPr>
      <w:r>
        <w:rPr>
          <w:rFonts w:ascii="Arial" w:cs="Arial" w:eastAsia="Arial" w:hAnsi="Arial"/>
          <w:color w:val="000000"/>
          <w:sz w:val="22"/>
          <w:szCs w:val="22"/>
        </w:rPr>
        <w:t xml:space="preserve">There is no minimum or maximum constraint on the scheduling horizon. A Sender may schedule a memory for delivery one day in the future or fifty years in the future. The system stores the delivery date and queries it at delivery time without any expiration or archival process.</w:t>
      </w:r>
    </w:p>
    <w:p>
      <w:pPr>
        <w:spacing w:after="120" w:before="0"/>
      </w:pPr>
      <w:r>
        <w:t xml:space="preserve"/>
      </w:r>
    </w:p>
    <w:p>
      <w:pPr>
        <w:spacing w:after="140" w:before="0"/>
        <w:jc w:val="both"/>
      </w:pPr>
      <w:r>
        <w:rPr>
          <w:rFonts w:ascii="Arial" w:cs="Arial" w:eastAsia="Arial" w:hAnsi="Arial"/>
          <w:color w:val="000000"/>
          <w:sz w:val="22"/>
          <w:szCs w:val="22"/>
        </w:rPr>
        <w:t xml:space="preserve">The delivery date is stored in the database as a date-type field (YYYY-MM-DD format) in Coordinated Universal Time. The delivery execution layer processes deliveries on a daily cadence, retrieving all memory records with a delivery_date matching the current date and a delivery_status of pending.</w:t>
      </w:r>
    </w:p>
    <w:p>
      <w:pPr>
        <w:pStyle w:val="Heading3"/>
        <w:spacing w:after="80" w:before="240"/>
      </w:pPr>
      <w:r>
        <w:rPr>
          <w:rFonts w:ascii="Arial" w:cs="Arial" w:eastAsia="Arial" w:hAnsi="Arial"/>
          <w:b/>
          <w:bCs/>
          <w:color w:val="0D1B2A"/>
          <w:sz w:val="22"/>
          <w:szCs w:val="22"/>
        </w:rPr>
        <w:t xml:space="preserve">5.6  Delivery Execution</w:t>
      </w:r>
    </w:p>
    <w:p>
      <w:pPr>
        <w:spacing w:after="140" w:before="0"/>
        <w:jc w:val="both"/>
      </w:pPr>
      <w:r>
        <w:rPr>
          <w:rFonts w:ascii="Arial" w:cs="Arial" w:eastAsia="Arial" w:hAnsi="Arial"/>
          <w:color w:val="000000"/>
          <w:sz w:val="22"/>
          <w:szCs w:val="22"/>
        </w:rPr>
        <w:t xml:space="preserve">The delivery execution process operates as follows:</w:t>
      </w:r>
    </w:p>
    <w:p>
      <w:pPr>
        <w:pStyle w:val="ListParagraph"/>
        <w:numPr>
          <w:ilvl w:val="0"/>
          <w:numId w:val="3"/>
        </w:numPr>
        <w:spacing w:after="100" w:before="0"/>
      </w:pPr>
      <w:r>
        <w:rPr>
          <w:rFonts w:ascii="Arial" w:cs="Arial" w:eastAsia="Arial" w:hAnsi="Arial"/>
          <w:color w:val="000000"/>
          <w:sz w:val="22"/>
          <w:szCs w:val="22"/>
        </w:rPr>
        <w:t xml:space="preserve">The delivery execution layer runs on a scheduled daily trigger (e.g., at a fixed time each day in UTC).</w:t>
      </w:r>
    </w:p>
    <w:p>
      <w:pPr>
        <w:pStyle w:val="ListParagraph"/>
        <w:numPr>
          <w:ilvl w:val="0"/>
          <w:numId w:val="3"/>
        </w:numPr>
        <w:spacing w:after="100" w:before="0"/>
      </w:pPr>
      <w:r>
        <w:rPr>
          <w:rFonts w:ascii="Arial" w:cs="Arial" w:eastAsia="Arial" w:hAnsi="Arial"/>
          <w:color w:val="000000"/>
          <w:sz w:val="22"/>
          <w:szCs w:val="22"/>
        </w:rPr>
        <w:t xml:space="preserve">The layer queries the Backend for all memory records where delivery_date equals the current date and delivery_status equals pending.</w:t>
      </w:r>
    </w:p>
    <w:p>
      <w:pPr>
        <w:pStyle w:val="ListParagraph"/>
        <w:numPr>
          <w:ilvl w:val="0"/>
          <w:numId w:val="3"/>
        </w:numPr>
        <w:spacing w:after="100" w:before="0"/>
      </w:pPr>
      <w:r>
        <w:rPr>
          <w:rFonts w:ascii="Arial" w:cs="Arial" w:eastAsia="Arial" w:hAnsi="Arial"/>
          <w:color w:val="000000"/>
          <w:sz w:val="22"/>
          <w:szCs w:val="22"/>
        </w:rPr>
        <w:t xml:space="preserve">For each qualifying memory record, the system:</w:t>
      </w:r>
    </w:p>
    <w:p>
      <w:pPr>
        <w:pStyle w:val="ListParagraph"/>
        <w:numPr>
          <w:ilvl w:val="1"/>
          <w:numId w:val="2"/>
        </w:numPr>
        <w:spacing w:after="100" w:before="0"/>
      </w:pPr>
      <w:r>
        <w:rPr>
          <w:rFonts w:ascii="Arial" w:cs="Arial" w:eastAsia="Arial" w:hAnsi="Arial"/>
          <w:color w:val="000000"/>
          <w:sz w:val="22"/>
          <w:szCs w:val="22"/>
        </w:rPr>
        <w:t xml:space="preserve">Retrieves the memory content (text or signed media URL) and recipient information</w:t>
      </w:r>
    </w:p>
    <w:p>
      <w:pPr>
        <w:pStyle w:val="ListParagraph"/>
        <w:numPr>
          <w:ilvl w:val="1"/>
          <w:numId w:val="2"/>
        </w:numPr>
        <w:spacing w:after="100" w:before="0"/>
      </w:pPr>
      <w:r>
        <w:rPr>
          <w:rFonts w:ascii="Arial" w:cs="Arial" w:eastAsia="Arial" w:hAnsi="Arial"/>
          <w:color w:val="000000"/>
          <w:sz w:val="22"/>
          <w:szCs w:val="22"/>
        </w:rPr>
        <w:t xml:space="preserve">Dispatches a push notification to the Recipient's registered device(s) with a title referencing the occasion and Sender, and a body previewing the content or inviting the Recipient to open their vault</w:t>
      </w:r>
    </w:p>
    <w:p>
      <w:pPr>
        <w:pStyle w:val="ListParagraph"/>
        <w:numPr>
          <w:ilvl w:val="1"/>
          <w:numId w:val="2"/>
        </w:numPr>
        <w:spacing w:after="100" w:before="0"/>
      </w:pPr>
      <w:r>
        <w:rPr>
          <w:rFonts w:ascii="Arial" w:cs="Arial" w:eastAsia="Arial" w:hAnsi="Arial"/>
          <w:color w:val="000000"/>
          <w:sz w:val="22"/>
          <w:szCs w:val="22"/>
        </w:rPr>
        <w:t xml:space="preserve">Sends an email notification to the Recipient's registered email address (if applicable) containing or linking to the memory content</w:t>
      </w:r>
    </w:p>
    <w:p>
      <w:pPr>
        <w:pStyle w:val="ListParagraph"/>
        <w:numPr>
          <w:ilvl w:val="1"/>
          <w:numId w:val="2"/>
        </w:numPr>
        <w:spacing w:after="100" w:before="0"/>
      </w:pPr>
      <w:r>
        <w:rPr>
          <w:rFonts w:ascii="Arial" w:cs="Arial" w:eastAsia="Arial" w:hAnsi="Arial"/>
          <w:color w:val="000000"/>
          <w:sz w:val="22"/>
          <w:szCs w:val="22"/>
        </w:rPr>
        <w:t xml:space="preserve">Updates the memory record's delivery_status to delivered and records the delivery timestamp</w:t>
      </w:r>
    </w:p>
    <w:p>
      <w:pPr>
        <w:pStyle w:val="ListParagraph"/>
        <w:numPr>
          <w:ilvl w:val="0"/>
          <w:numId w:val="3"/>
        </w:numPr>
        <w:spacing w:after="100" w:before="0"/>
      </w:pPr>
      <w:r>
        <w:rPr>
          <w:rFonts w:ascii="Arial" w:cs="Arial" w:eastAsia="Arial" w:hAnsi="Arial"/>
          <w:color w:val="000000"/>
          <w:sz w:val="22"/>
          <w:szCs w:val="22"/>
        </w:rPr>
        <w:t xml:space="preserve">For recurring memories, after delivery, the system creates a new memory record with the next recurrence date and a delivery_status of pending, preserving the original content reference.</w:t>
      </w:r>
    </w:p>
    <w:p>
      <w:pPr>
        <w:pStyle w:val="Heading3"/>
        <w:spacing w:after="80" w:before="240"/>
      </w:pPr>
      <w:r>
        <w:rPr>
          <w:rFonts w:ascii="Arial" w:cs="Arial" w:eastAsia="Arial" w:hAnsi="Arial"/>
          <w:b/>
          <w:bCs/>
          <w:color w:val="0D1B2A"/>
          <w:sz w:val="22"/>
          <w:szCs w:val="22"/>
        </w:rPr>
        <w:t xml:space="preserve">5.7  Recipient-Facing Interface — The Personal Vault</w:t>
      </w:r>
    </w:p>
    <w:p>
      <w:pPr>
        <w:spacing w:after="140" w:before="0"/>
        <w:jc w:val="both"/>
      </w:pPr>
      <w:r>
        <w:rPr>
          <w:rFonts w:ascii="Arial" w:cs="Arial" w:eastAsia="Arial" w:hAnsi="Arial"/>
          <w:color w:val="000000"/>
          <w:sz w:val="22"/>
          <w:szCs w:val="22"/>
        </w:rPr>
        <w:t xml:space="preserve">Recipients access delivered memories through a dedicated interface called the Personal Vault. The Vault is available via the Recipient's account in the mobile Application. Delivered memories appear in the Vault organized by occasion and delivery date. The Recipient may play audio recordings, watch video recordings, read written messages, and view photographs within the Vault interface.</w:t>
      </w:r>
    </w:p>
    <w:p>
      <w:pPr>
        <w:spacing w:after="120" w:before="0"/>
      </w:pPr>
      <w:r>
        <w:t xml:space="preserve"/>
      </w:r>
    </w:p>
    <w:p>
      <w:pPr>
        <w:spacing w:after="140" w:before="0"/>
        <w:jc w:val="both"/>
      </w:pPr>
      <w:r>
        <w:rPr>
          <w:rFonts w:ascii="Arial" w:cs="Arial" w:eastAsia="Arial" w:hAnsi="Arial"/>
          <w:color w:val="000000"/>
          <w:sz w:val="22"/>
          <w:szCs w:val="22"/>
        </w:rPr>
        <w:t xml:space="preserve">The Vault interface is designed with accessibility as a primary consideration, given that a significant portion of the user population comprises older adults. Design principles applied include enlarged tap targets, high-contrast color schemes, simplified navigation, and clear typographic hierarchy.</w:t>
      </w:r>
    </w:p>
    <w:p>
      <w:pPr>
        <w:pStyle w:val="Heading3"/>
        <w:spacing w:after="80" w:before="240"/>
      </w:pPr>
      <w:r>
        <w:rPr>
          <w:rFonts w:ascii="Arial" w:cs="Arial" w:eastAsia="Arial" w:hAnsi="Arial"/>
          <w:b/>
          <w:bCs/>
          <w:color w:val="0D1B2A"/>
          <w:sz w:val="22"/>
          <w:szCs w:val="22"/>
        </w:rPr>
        <w:t xml:space="preserve">5.8  Sender-Facing Interface — Memory Creation and Management</w:t>
      </w:r>
    </w:p>
    <w:p>
      <w:pPr>
        <w:spacing w:after="140" w:before="0"/>
        <w:jc w:val="both"/>
      </w:pPr>
      <w:r>
        <w:rPr>
          <w:rFonts w:ascii="Arial" w:cs="Arial" w:eastAsia="Arial" w:hAnsi="Arial"/>
          <w:color w:val="000000"/>
          <w:sz w:val="22"/>
          <w:szCs w:val="22"/>
        </w:rPr>
        <w:t xml:space="preserve">The Sender accesses memory creation through the main Application interface. The creation flow comprises:</w:t>
      </w:r>
    </w:p>
    <w:p>
      <w:pPr>
        <w:pStyle w:val="ListParagraph"/>
        <w:numPr>
          <w:ilvl w:val="0"/>
          <w:numId w:val="3"/>
        </w:numPr>
        <w:spacing w:after="100" w:before="0"/>
      </w:pPr>
      <w:r>
        <w:rPr>
          <w:rFonts w:ascii="Arial" w:cs="Arial" w:eastAsia="Arial" w:hAnsi="Arial"/>
          <w:color w:val="000000"/>
          <w:sz w:val="22"/>
          <w:szCs w:val="22"/>
        </w:rPr>
        <w:t xml:space="preserve">Selection of content type (audio, video, written, or photo)</w:t>
      </w:r>
    </w:p>
    <w:p>
      <w:pPr>
        <w:pStyle w:val="ListParagraph"/>
        <w:numPr>
          <w:ilvl w:val="0"/>
          <w:numId w:val="3"/>
        </w:numPr>
        <w:spacing w:after="100" w:before="0"/>
      </w:pPr>
      <w:r>
        <w:rPr>
          <w:rFonts w:ascii="Arial" w:cs="Arial" w:eastAsia="Arial" w:hAnsi="Arial"/>
          <w:color w:val="000000"/>
          <w:sz w:val="22"/>
          <w:szCs w:val="22"/>
        </w:rPr>
        <w:t xml:space="preserve">Content capture or composition within the Application</w:t>
      </w:r>
    </w:p>
    <w:p>
      <w:pPr>
        <w:pStyle w:val="ListParagraph"/>
        <w:numPr>
          <w:ilvl w:val="0"/>
          <w:numId w:val="3"/>
        </w:numPr>
        <w:spacing w:after="100" w:before="0"/>
      </w:pPr>
      <w:r>
        <w:rPr>
          <w:rFonts w:ascii="Arial" w:cs="Arial" w:eastAsia="Arial" w:hAnsi="Arial"/>
          <w:color w:val="000000"/>
          <w:sz w:val="22"/>
          <w:szCs w:val="22"/>
        </w:rPr>
        <w:t xml:space="preserve">Selection of occasion category</w:t>
      </w:r>
    </w:p>
    <w:p>
      <w:pPr>
        <w:pStyle w:val="ListParagraph"/>
        <w:numPr>
          <w:ilvl w:val="0"/>
          <w:numId w:val="3"/>
        </w:numPr>
        <w:spacing w:after="100" w:before="0"/>
      </w:pPr>
      <w:r>
        <w:rPr>
          <w:rFonts w:ascii="Arial" w:cs="Arial" w:eastAsia="Arial" w:hAnsi="Arial"/>
          <w:color w:val="000000"/>
          <w:sz w:val="22"/>
          <w:szCs w:val="22"/>
        </w:rPr>
        <w:t xml:space="preserve">Selection of one or more Recipients from the family roster</w:t>
      </w:r>
    </w:p>
    <w:p>
      <w:pPr>
        <w:pStyle w:val="ListParagraph"/>
        <w:numPr>
          <w:ilvl w:val="0"/>
          <w:numId w:val="3"/>
        </w:numPr>
        <w:spacing w:after="100" w:before="0"/>
      </w:pPr>
      <w:r>
        <w:rPr>
          <w:rFonts w:ascii="Arial" w:cs="Arial" w:eastAsia="Arial" w:hAnsi="Arial"/>
          <w:color w:val="000000"/>
          <w:sz w:val="22"/>
          <w:szCs w:val="22"/>
        </w:rPr>
        <w:t xml:space="preserve">Specification of delivery date</w:t>
      </w:r>
    </w:p>
    <w:p>
      <w:pPr>
        <w:pStyle w:val="ListParagraph"/>
        <w:numPr>
          <w:ilvl w:val="0"/>
          <w:numId w:val="3"/>
        </w:numPr>
        <w:spacing w:after="100" w:before="0"/>
      </w:pPr>
      <w:r>
        <w:rPr>
          <w:rFonts w:ascii="Arial" w:cs="Arial" w:eastAsia="Arial" w:hAnsi="Arial"/>
          <w:color w:val="000000"/>
          <w:sz w:val="22"/>
          <w:szCs w:val="22"/>
        </w:rPr>
        <w:t xml:space="preserve">Optional title and personal note</w:t>
      </w:r>
    </w:p>
    <w:p>
      <w:pPr>
        <w:pStyle w:val="ListParagraph"/>
        <w:numPr>
          <w:ilvl w:val="0"/>
          <w:numId w:val="3"/>
        </w:numPr>
        <w:spacing w:after="100" w:before="0"/>
      </w:pPr>
      <w:r>
        <w:rPr>
          <w:rFonts w:ascii="Arial" w:cs="Arial" w:eastAsia="Arial" w:hAnsi="Arial"/>
          <w:color w:val="000000"/>
          <w:sz w:val="22"/>
          <w:szCs w:val="22"/>
        </w:rPr>
        <w:t xml:space="preserve">Confirmation and save</w:t>
      </w:r>
    </w:p>
    <w:p>
      <w:pPr>
        <w:spacing w:after="120" w:before="0"/>
      </w:pPr>
      <w:r>
        <w:t xml:space="preserve"/>
      </w:r>
    </w:p>
    <w:p>
      <w:pPr>
        <w:spacing w:after="140" w:before="0"/>
        <w:jc w:val="both"/>
      </w:pPr>
      <w:r>
        <w:rPr>
          <w:rFonts w:ascii="Arial" w:cs="Arial" w:eastAsia="Arial" w:hAnsi="Arial"/>
          <w:color w:val="000000"/>
          <w:sz w:val="22"/>
          <w:szCs w:val="22"/>
        </w:rPr>
        <w:t xml:space="preserve">The Sender may review all created memories in a management interface, edit delivery dates and recipients prior to delivery, and delete memories that have not yet been delivered. Once delivered, memories are retained in the Sender's history for reference but cannot be undelivered.</w:t>
      </w:r>
    </w:p>
    <w:p>
      <w:pPr>
        <w:pStyle w:val="Heading3"/>
        <w:spacing w:after="80" w:before="240"/>
      </w:pPr>
      <w:r>
        <w:rPr>
          <w:rFonts w:ascii="Arial" w:cs="Arial" w:eastAsia="Arial" w:hAnsi="Arial"/>
          <w:b/>
          <w:bCs/>
          <w:color w:val="0D1B2A"/>
          <w:sz w:val="22"/>
          <w:szCs w:val="22"/>
        </w:rPr>
        <w:t xml:space="preserve">5.9  Estate Planning Integration</w:t>
      </w:r>
    </w:p>
    <w:p>
      <w:pPr>
        <w:spacing w:after="140" w:before="0"/>
        <w:jc w:val="both"/>
      </w:pPr>
      <w:r>
        <w:rPr>
          <w:rFonts w:ascii="Arial" w:cs="Arial" w:eastAsia="Arial" w:hAnsi="Arial"/>
          <w:color w:val="000000"/>
          <w:sz w:val="22"/>
          <w:szCs w:val="22"/>
        </w:rPr>
        <w:t xml:space="preserve">The system includes an estate planning module that allows the Sender to prepare memories intended for delivery in the event of their passing. These memories are associated with a special occasion category ("In My Memory" or equivalent) and are held in a protected state pending a designated release condition. Release conditions may include explicit activation by a designated trusted contact or by the account owner's estate administrator, or a "check-in" failure mechanism whereby the Sender's failure to confirm their status over a defined period triggers a review process.</w:t>
      </w:r>
    </w:p>
    <w:p>
      <w:pPr>
        <w:spacing w:after="120" w:before="0"/>
      </w:pPr>
      <w:r>
        <w:t xml:space="preserve"/>
      </w:r>
    </w:p>
    <w:p>
      <w:pPr>
        <w:spacing w:after="140" w:before="0"/>
        <w:jc w:val="both"/>
      </w:pPr>
      <w:r>
        <w:rPr>
          <w:rFonts w:ascii="Arial" w:cs="Arial" w:eastAsia="Arial" w:hAnsi="Arial"/>
          <w:color w:val="000000"/>
          <w:sz w:val="22"/>
          <w:szCs w:val="22"/>
        </w:rPr>
        <w:t xml:space="preserve">This module enables the system to serve as a personal legacy tool, preserving the Sender's voice, image, and written expression for delivery to family members at future occasions the Sender may not be present to witness.</w:t>
      </w:r>
    </w:p>
    <w:p>
      <w:pPr>
        <w:pStyle w:val="Heading3"/>
        <w:spacing w:after="80" w:before="240"/>
      </w:pPr>
      <w:r>
        <w:rPr>
          <w:rFonts w:ascii="Arial" w:cs="Arial" w:eastAsia="Arial" w:hAnsi="Arial"/>
          <w:b/>
          <w:bCs/>
          <w:color w:val="0D1B2A"/>
          <w:sz w:val="22"/>
          <w:szCs w:val="22"/>
        </w:rPr>
        <w:t xml:space="preserve">5.10  Technical Implementation Notes</w:t>
      </w:r>
    </w:p>
    <w:p>
      <w:pPr>
        <w:spacing w:after="140" w:before="0"/>
        <w:jc w:val="both"/>
      </w:pPr>
      <w:r>
        <w:rPr>
          <w:rFonts w:ascii="Arial" w:cs="Arial" w:eastAsia="Arial" w:hAnsi="Arial"/>
          <w:color w:val="000000"/>
          <w:sz w:val="22"/>
          <w:szCs w:val="22"/>
        </w:rPr>
        <w:t xml:space="preserve">The Application is implemented in React Native using the Expo framework for cross-platform iOS and Android deployment. The Backend is implemented on the Supabase platform, comprising a PostgreSQL relational database with row-level security, cloud object storage for media assets, and serverless Edge Functions for delivery execution and email dispatch. Authentication uses JSON Web Tokens managed by the Backend authentication service. Email delivery uses a third-party transactional email API. Push notifications are delivered via the Expo push notification service.</w:t>
      </w:r>
    </w:p>
    <w:p>
      <w:pPr>
        <w:pStyle w:val="Heading2"/>
        <w:pBdr>
          <w:bottom w:val="single" w:color="C9A84C" w:sz="4" w:space="2"/>
        </w:pBdr>
        <w:spacing w:after="120" w:before="320"/>
      </w:pPr>
      <w:r>
        <w:rPr>
          <w:rFonts w:ascii="Arial" w:cs="Arial" w:eastAsia="Arial" w:hAnsi="Arial"/>
          <w:b/>
          <w:bCs/>
          <w:color w:val="0D1B2A"/>
          <w:sz w:val="26"/>
          <w:szCs w:val="26"/>
        </w:rPr>
        <w:t xml:space="preserve">6.  PREFERRED EMBODIMENTS</w:t>
      </w:r>
    </w:p>
    <w:p>
      <w:pPr>
        <w:spacing w:after="140" w:before="0"/>
        <w:jc w:val="both"/>
      </w:pPr>
      <w:r>
        <w:rPr>
          <w:rFonts w:ascii="Arial" w:cs="Arial" w:eastAsia="Arial" w:hAnsi="Arial"/>
          <w:color w:val="000000"/>
          <w:sz w:val="22"/>
          <w:szCs w:val="22"/>
        </w:rPr>
        <w:t xml:space="preserve">In the preferred embodiment, the Application is a consumer-facing mobile application for personal legacy and family communication targeted primarily at adults aged 45 and above who wish to preserve personal memories and ensure meaningful communication with family members across time. The application is available on the iOS App Store and Google Play Store.</w:t>
      </w:r>
    </w:p>
    <w:p>
      <w:pPr>
        <w:spacing w:after="120" w:before="0"/>
      </w:pPr>
      <w:r>
        <w:t xml:space="preserve"/>
      </w:r>
    </w:p>
    <w:p>
      <w:pPr>
        <w:spacing w:after="140" w:before="0"/>
        <w:jc w:val="both"/>
      </w:pPr>
      <w:r>
        <w:rPr>
          <w:rFonts w:ascii="Arial" w:cs="Arial" w:eastAsia="Arial" w:hAnsi="Arial"/>
          <w:color w:val="000000"/>
          <w:sz w:val="22"/>
          <w:szCs w:val="22"/>
        </w:rPr>
        <w:t xml:space="preserve">An alternative embodiment provides a web-based interface for Senders who prefer composing written memories on a desktop or laptop computer, with the same scheduling and delivery engine operating on the Backend.</w:t>
      </w:r>
    </w:p>
    <w:p>
      <w:pPr>
        <w:spacing w:after="120" w:before="0"/>
      </w:pPr>
      <w:r>
        <w:t xml:space="preserve"/>
      </w:r>
    </w:p>
    <w:p>
      <w:pPr>
        <w:spacing w:after="140" w:before="0"/>
        <w:jc w:val="both"/>
      </w:pPr>
      <w:r>
        <w:rPr>
          <w:rFonts w:ascii="Arial" w:cs="Arial" w:eastAsia="Arial" w:hAnsi="Arial"/>
          <w:color w:val="000000"/>
          <w:sz w:val="22"/>
          <w:szCs w:val="22"/>
        </w:rPr>
        <w:t xml:space="preserve">A further alternative embodiment integrates with third-party estate planning services, enabling the estate planning module to interface with legal document platforms for co-ordinated delivery of digital and legal legacy materials.</w:t>
      </w:r>
    </w:p>
    <w:p>
      <w:pPr>
        <w:pStyle w:val="Heading2"/>
        <w:pBdr>
          <w:bottom w:val="single" w:color="C9A84C" w:sz="4" w:space="2"/>
        </w:pBdr>
        <w:spacing w:after="120" w:before="320"/>
      </w:pPr>
      <w:r>
        <w:rPr>
          <w:rFonts w:ascii="Arial" w:cs="Arial" w:eastAsia="Arial" w:hAnsi="Arial"/>
          <w:b/>
          <w:bCs/>
          <w:color w:val="0D1B2A"/>
          <w:sz w:val="26"/>
          <w:szCs w:val="26"/>
        </w:rPr>
        <w:t xml:space="preserve">7.  ADVANTAGES OF THE INVENTION</w:t>
      </w:r>
    </w:p>
    <w:p>
      <w:pPr>
        <w:pStyle w:val="ListParagraph"/>
        <w:numPr>
          <w:ilvl w:val="0"/>
          <w:numId w:val="2"/>
        </w:numPr>
        <w:spacing w:after="100" w:before="0"/>
      </w:pPr>
      <w:r>
        <w:rPr>
          <w:rFonts w:ascii="Arial" w:cs="Arial" w:eastAsia="Arial" w:hAnsi="Arial"/>
          <w:color w:val="000000"/>
          <w:sz w:val="22"/>
          <w:szCs w:val="22"/>
        </w:rPr>
        <w:t xml:space="preserve">Time-independence — content created today is delivered precisely when intended, regardless of the Sender's circumstances at the time of delivery.</w:t>
      </w:r>
    </w:p>
    <w:p>
      <w:pPr>
        <w:pStyle w:val="ListParagraph"/>
        <w:numPr>
          <w:ilvl w:val="0"/>
          <w:numId w:val="2"/>
        </w:numPr>
        <w:spacing w:after="100" w:before="0"/>
      </w:pPr>
      <w:r>
        <w:rPr>
          <w:rFonts w:ascii="Arial" w:cs="Arial" w:eastAsia="Arial" w:hAnsi="Arial"/>
          <w:color w:val="000000"/>
          <w:sz w:val="22"/>
          <w:szCs w:val="22"/>
        </w:rPr>
        <w:t xml:space="preserve">No expiration — scheduled content persists indefinitely without archival or expiration, enabling multi-decade scheduling horizons.</w:t>
      </w:r>
    </w:p>
    <w:p>
      <w:pPr>
        <w:pStyle w:val="ListParagraph"/>
        <w:numPr>
          <w:ilvl w:val="0"/>
          <w:numId w:val="2"/>
        </w:numPr>
        <w:spacing w:after="100" w:before="0"/>
      </w:pPr>
      <w:r>
        <w:rPr>
          <w:rFonts w:ascii="Arial" w:cs="Arial" w:eastAsia="Arial" w:hAnsi="Arial"/>
          <w:color w:val="000000"/>
          <w:sz w:val="22"/>
          <w:szCs w:val="22"/>
        </w:rPr>
        <w:t xml:space="preserve">Multi-format richness — audio, video, written, and photographic content types support the full range of personal expression.</w:t>
      </w:r>
    </w:p>
    <w:p>
      <w:pPr>
        <w:pStyle w:val="ListParagraph"/>
        <w:numPr>
          <w:ilvl w:val="0"/>
          <w:numId w:val="2"/>
        </w:numPr>
        <w:spacing w:after="100" w:before="0"/>
      </w:pPr>
      <w:r>
        <w:rPr>
          <w:rFonts w:ascii="Arial" w:cs="Arial" w:eastAsia="Arial" w:hAnsi="Arial"/>
          <w:color w:val="000000"/>
          <w:sz w:val="22"/>
          <w:szCs w:val="22"/>
        </w:rPr>
        <w:t xml:space="preserve">Occasion-aware organization — the occasion framework creates a structured personal archive rather than an undifferentiated message history.</w:t>
      </w:r>
    </w:p>
    <w:p>
      <w:pPr>
        <w:pStyle w:val="ListParagraph"/>
        <w:numPr>
          <w:ilvl w:val="0"/>
          <w:numId w:val="2"/>
        </w:numPr>
        <w:spacing w:after="100" w:before="0"/>
      </w:pPr>
      <w:r>
        <w:rPr>
          <w:rFonts w:ascii="Arial" w:cs="Arial" w:eastAsia="Arial" w:hAnsi="Arial"/>
          <w:color w:val="000000"/>
          <w:sz w:val="22"/>
          <w:szCs w:val="22"/>
        </w:rPr>
        <w:t xml:space="preserve">Accessibility-first design — recipient interface designed for older adult users with reduced motor and visual acuity.</w:t>
      </w:r>
    </w:p>
    <w:p>
      <w:pPr>
        <w:pStyle w:val="ListParagraph"/>
        <w:numPr>
          <w:ilvl w:val="0"/>
          <w:numId w:val="2"/>
        </w:numPr>
        <w:spacing w:after="100" w:before="0"/>
      </w:pPr>
      <w:r>
        <w:rPr>
          <w:rFonts w:ascii="Arial" w:cs="Arial" w:eastAsia="Arial" w:hAnsi="Arial"/>
          <w:color w:val="000000"/>
          <w:sz w:val="22"/>
          <w:szCs w:val="22"/>
        </w:rPr>
        <w:t xml:space="preserve">Legacy integration — estate planning module extends the system beyond scheduled communication into permanent personal legacy preservation.</w:t>
      </w:r>
    </w:p>
    <w:p>
      <w:pPr>
        <w:pStyle w:val="ListParagraph"/>
        <w:numPr>
          <w:ilvl w:val="0"/>
          <w:numId w:val="2"/>
        </w:numPr>
        <w:spacing w:after="100" w:before="0"/>
      </w:pPr>
      <w:r>
        <w:rPr>
          <w:rFonts w:ascii="Arial" w:cs="Arial" w:eastAsia="Arial" w:hAnsi="Arial"/>
          <w:color w:val="000000"/>
          <w:sz w:val="22"/>
          <w:szCs w:val="22"/>
        </w:rPr>
        <w:t xml:space="preserve">Cross-platform delivery — content is delivered via both push notification and email, ensuring Recipients receive memories regardless of application installation status.</w:t>
      </w:r>
    </w:p>
    <w:p>
      <w:pPr>
        <w:pStyle w:val="Heading2"/>
        <w:pBdr>
          <w:bottom w:val="single" w:color="C9A84C" w:sz="4" w:space="2"/>
        </w:pBdr>
        <w:spacing w:after="120" w:before="320"/>
      </w:pPr>
      <w:r>
        <w:rPr>
          <w:rFonts w:ascii="Arial" w:cs="Arial" w:eastAsia="Arial" w:hAnsi="Arial"/>
          <w:b/>
          <w:bCs/>
          <w:color w:val="0D1B2A"/>
          <w:sz w:val="26"/>
          <w:szCs w:val="26"/>
        </w:rPr>
        <w:t xml:space="preserve">8.  BRIEF DESCRIPTION OF DRAWINGS</w:t>
      </w:r>
    </w:p>
    <w:p>
      <w:pPr>
        <w:spacing w:after="120" w:before="0"/>
        <w:jc w:val="both"/>
      </w:pPr>
      <w:r>
        <w:rPr>
          <w:rFonts w:ascii="Arial" w:cs="Arial" w:eastAsia="Arial" w:hAnsi="Arial"/>
          <w:i/>
          <w:iCs/>
          <w:color w:val="555555"/>
          <w:sz w:val="20"/>
          <w:szCs w:val="20"/>
        </w:rPr>
        <w:t xml:space="preserve">(Note to attorney: Application screenshots illustrating each screen described above will be included as formal drawings upon attorney preparation of the complete application. Screenshots available from inventor upon request.)</w:t>
      </w:r>
    </w:p>
    <w:p>
      <w:pPr>
        <w:pStyle w:val="ListParagraph"/>
        <w:numPr>
          <w:ilvl w:val="0"/>
          <w:numId w:val="2"/>
        </w:numPr>
        <w:spacing w:after="100" w:before="0"/>
      </w:pPr>
      <w:r>
        <w:rPr>
          <w:rFonts w:ascii="Arial" w:cs="Arial" w:eastAsia="Arial" w:hAnsi="Arial"/>
          <w:color w:val="000000"/>
          <w:sz w:val="22"/>
          <w:szCs w:val="22"/>
        </w:rPr>
        <w:t xml:space="preserve">Figure 6 — Memory creation flow: content type selection screen</w:t>
      </w:r>
    </w:p>
    <w:p>
      <w:pPr>
        <w:pStyle w:val="ListParagraph"/>
        <w:numPr>
          <w:ilvl w:val="0"/>
          <w:numId w:val="2"/>
        </w:numPr>
        <w:spacing w:after="100" w:before="0"/>
      </w:pPr>
      <w:r>
        <w:rPr>
          <w:rFonts w:ascii="Arial" w:cs="Arial" w:eastAsia="Arial" w:hAnsi="Arial"/>
          <w:color w:val="000000"/>
          <w:sz w:val="22"/>
          <w:szCs w:val="22"/>
        </w:rPr>
        <w:t xml:space="preserve">Figure 7 — Audio recording interface within memory creation</w:t>
      </w:r>
    </w:p>
    <w:p>
      <w:pPr>
        <w:pStyle w:val="ListParagraph"/>
        <w:numPr>
          <w:ilvl w:val="0"/>
          <w:numId w:val="2"/>
        </w:numPr>
        <w:spacing w:after="100" w:before="0"/>
      </w:pPr>
      <w:r>
        <w:rPr>
          <w:rFonts w:ascii="Arial" w:cs="Arial" w:eastAsia="Arial" w:hAnsi="Arial"/>
          <w:color w:val="000000"/>
          <w:sz w:val="22"/>
          <w:szCs w:val="22"/>
        </w:rPr>
        <w:t xml:space="preserve">Figure 8 — Occasion selection screen showing standard occasion categories</w:t>
      </w:r>
    </w:p>
    <w:p>
      <w:pPr>
        <w:pStyle w:val="ListParagraph"/>
        <w:numPr>
          <w:ilvl w:val="0"/>
          <w:numId w:val="2"/>
        </w:numPr>
        <w:spacing w:after="100" w:before="0"/>
      </w:pPr>
      <w:r>
        <w:rPr>
          <w:rFonts w:ascii="Arial" w:cs="Arial" w:eastAsia="Arial" w:hAnsi="Arial"/>
          <w:color w:val="000000"/>
          <w:sz w:val="22"/>
          <w:szCs w:val="22"/>
        </w:rPr>
        <w:t xml:space="preserve">Figure 9 — Delivery date picker showing calendar selection interface</w:t>
      </w:r>
    </w:p>
    <w:p>
      <w:pPr>
        <w:pStyle w:val="ListParagraph"/>
        <w:numPr>
          <w:ilvl w:val="0"/>
          <w:numId w:val="2"/>
        </w:numPr>
        <w:spacing w:after="100" w:before="0"/>
      </w:pPr>
      <w:r>
        <w:rPr>
          <w:rFonts w:ascii="Arial" w:cs="Arial" w:eastAsia="Arial" w:hAnsi="Arial"/>
          <w:color w:val="000000"/>
          <w:sz w:val="22"/>
          <w:szCs w:val="22"/>
        </w:rPr>
        <w:t xml:space="preserve">Figure 10 — Sender's memory management interface showing scheduled memories</w:t>
      </w:r>
    </w:p>
    <w:p>
      <w:pPr>
        <w:pStyle w:val="ListParagraph"/>
        <w:numPr>
          <w:ilvl w:val="0"/>
          <w:numId w:val="2"/>
        </w:numPr>
        <w:spacing w:after="100" w:before="0"/>
      </w:pPr>
      <w:r>
        <w:rPr>
          <w:rFonts w:ascii="Arial" w:cs="Arial" w:eastAsia="Arial" w:hAnsi="Arial"/>
          <w:color w:val="000000"/>
          <w:sz w:val="22"/>
          <w:szCs w:val="22"/>
        </w:rPr>
        <w:t xml:space="preserve">Figure 11 — Recipient's Personal Vault interface showing delivered memories</w:t>
      </w:r>
    </w:p>
    <w:p>
      <w:pPr>
        <w:pStyle w:val="ListParagraph"/>
        <w:numPr>
          <w:ilvl w:val="0"/>
          <w:numId w:val="2"/>
        </w:numPr>
        <w:spacing w:after="100" w:before="0"/>
      </w:pPr>
      <w:r>
        <w:rPr>
          <w:rFonts w:ascii="Arial" w:cs="Arial" w:eastAsia="Arial" w:hAnsi="Arial"/>
          <w:color w:val="000000"/>
          <w:sz w:val="22"/>
          <w:szCs w:val="22"/>
        </w:rPr>
        <w:t xml:space="preserve">Figure 12 — System architecture diagram showing delivery execution flow</w:t>
      </w:r>
    </w:p>
    <w:p>
      <w:r>
        <w:br w:type="page"/>
      </w:r>
    </w:p>
    <w:p>
      <w:pPr>
        <w:spacing w:after="240" w:before="0"/>
        <w:jc w:val="center"/>
      </w:pPr>
      <w:r>
        <w:rPr>
          <w:rFonts w:ascii="Arial" w:cs="Arial" w:eastAsia="Arial" w:hAnsi="Arial"/>
          <w:b/>
          <w:bCs/>
          <w:color w:val="0D1B2A"/>
          <w:sz w:val="26"/>
          <w:szCs w:val="26"/>
        </w:rPr>
        <w:t xml:space="preserve">INVENTOR'S DECLARATION</w:t>
      </w:r>
    </w:p>
    <w:p>
      <w:pPr>
        <w:spacing w:after="140" w:before="0"/>
        <w:jc w:val="both"/>
      </w:pPr>
      <w:r>
        <w:rPr>
          <w:rFonts w:ascii="Arial" w:cs="Arial" w:eastAsia="Arial" w:hAnsi="Arial"/>
          <w:color w:val="000000"/>
          <w:sz w:val="22"/>
          <w:szCs w:val="22"/>
        </w:rPr>
        <w:t xml:space="preserve">I, Sokha Eang, am the original inventor of the inventions described in this provisional patent application. I believe the foregoing disclosure to be a true and complete description of the inventions to the best of my knowledge and understanding. I acknowledge the duty to disclose to the United States Patent and Trademark Office all information known to me to be material to patentability.</w:t>
      </w:r>
    </w:p>
    <w:p>
      <w:pPr>
        <w:spacing w:after="400" w:before="0"/>
      </w:pPr>
      <w:r>
        <w:t xml:space="preserve"/>
      </w:r>
    </w:p>
    <w:p>
      <w:pPr>
        <w:spacing w:after="140" w:before="0"/>
        <w:jc w:val="both"/>
      </w:pPr>
      <w:r>
        <w:rPr>
          <w:rFonts w:ascii="Arial" w:cs="Arial" w:eastAsia="Arial" w:hAnsi="Arial"/>
          <w:color w:val="000000"/>
          <w:sz w:val="22"/>
          <w:szCs w:val="22"/>
        </w:rPr>
        <w:t xml:space="preserve">This written description has been prepared for review by a registered patent attorney or agent prior to filing. I understand that a provisional patent application establishes a priority date and provides twelve (12) months within which a non-provisional patent application claiming priority to this provisional application must be filed.</w:t>
      </w:r>
    </w:p>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tcMar>
              <w:top w:type="dxa" w:w="200"/>
              <w:left w:type="dxa" w:w="200"/>
              <w:bottom w:type="dxa" w:w="400"/>
              <w:right w:type="dxa" w:w="200"/>
            </w:tcMar>
          </w:tcPr>
          <w:p>
            <w:r>
              <w:rPr>
                <w:rFonts w:ascii="Arial" w:cs="Arial" w:eastAsia="Arial" w:hAnsi="Arial"/>
                <w:b/>
                <w:bCs/>
                <w:color w:val="0D1B2A"/>
                <w:sz w:val="20"/>
                <w:szCs w:val="20"/>
              </w:rPr>
              <w:t xml:space="preserve">Inventor Signature:</w:t>
            </w:r>
          </w:p>
          <w:p>
            <w:pPr>
              <w:spacing w:after="600" w:before="0"/>
            </w:pPr>
            <w:r>
              <w:t xml:space="preserve"/>
            </w:r>
          </w:p>
          <w:p>
            <w:r>
              <w:rPr>
                <w:rFonts w:ascii="Arial" w:cs="Arial" w:eastAsia="Arial" w:hAnsi="Arial"/>
                <w:color w:val="999999"/>
                <w:sz w:val="20"/>
                <w:szCs w:val="20"/>
              </w:rPr>
              <w:t xml:space="preserve">_______________________________</w:t>
            </w:r>
          </w:p>
          <w:p>
            <w:r>
              <w:rPr>
                <w:rFonts w:ascii="Arial" w:cs="Arial" w:eastAsia="Arial" w:hAnsi="Arial"/>
                <w:color w:val="000000"/>
                <w:sz w:val="20"/>
                <w:szCs w:val="20"/>
              </w:rPr>
              <w:t xml:space="preserve">Sokha Eang</w:t>
            </w:r>
          </w:p>
        </w:tc>
        <w:tc>
          <w:tcPr>
            <w:tcW w:type="dxa" w:w="4860"/>
            <w:tcBorders>
              <w:top w:val="single" w:color="CCCCCC" w:sz="1"/>
              <w:left w:val="single" w:color="CCCCCC" w:sz="1"/>
              <w:bottom w:val="single" w:color="CCCCCC" w:sz="1"/>
              <w:right w:val="single" w:color="CCCCCC" w:sz="1"/>
            </w:tcBorders>
            <w:tcMar>
              <w:top w:type="dxa" w:w="200"/>
              <w:left w:type="dxa" w:w="200"/>
              <w:bottom w:type="dxa" w:w="400"/>
              <w:right w:type="dxa" w:w="200"/>
            </w:tcMar>
          </w:tcPr>
          <w:p>
            <w:r>
              <w:rPr>
                <w:rFonts w:ascii="Arial" w:cs="Arial" w:eastAsia="Arial" w:hAnsi="Arial"/>
                <w:b/>
                <w:bCs/>
                <w:color w:val="0D1B2A"/>
                <w:sz w:val="20"/>
                <w:szCs w:val="20"/>
              </w:rPr>
              <w:t xml:space="preserve">Date:</w:t>
            </w:r>
          </w:p>
          <w:p>
            <w:pPr>
              <w:spacing w:after="600" w:before="0"/>
            </w:pPr>
            <w:r>
              <w:t xml:space="preserve"/>
            </w:r>
          </w:p>
          <w:p>
            <w:r>
              <w:rPr>
                <w:rFonts w:ascii="Arial" w:cs="Arial" w:eastAsia="Arial" w:hAnsi="Arial"/>
                <w:color w:val="999999"/>
                <w:sz w:val="20"/>
                <w:szCs w:val="20"/>
              </w:rPr>
              <w:t xml:space="preserve">_______________________________</w:t>
            </w:r>
          </w:p>
          <w:p>
            <w:r>
              <w:rPr>
                <w:rFonts w:ascii="Arial" w:cs="Arial" w:eastAsia="Arial" w:hAnsi="Arial"/>
                <w:color w:val="000000"/>
                <w:sz w:val="20"/>
                <w:szCs w:val="20"/>
              </w:rPr>
              <w:t xml:space="preserve">May 18, 2026</w:t>
            </w:r>
          </w:p>
        </w:tc>
      </w:tr>
    </w:tbl>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1" w:val="clear"/>
            <w:tcMar>
              <w:top w:type="dxa" w:w="120"/>
              <w:left w:type="dxa" w:w="200"/>
              <w:bottom w:type="dxa" w:w="120"/>
              <w:right w:type="dxa" w:w="200"/>
            </w:tcMar>
          </w:tcPr>
          <w:p>
            <w:pPr>
              <w:spacing w:after="80" w:before="0"/>
            </w:pPr>
            <w:r>
              <w:rPr>
                <w:rFonts w:ascii="Arial" w:cs="Arial" w:eastAsia="Arial" w:hAnsi="Arial"/>
                <w:b/>
                <w:bCs/>
                <w:color w:val="4A3700"/>
                <w:sz w:val="20"/>
                <w:szCs w:val="20"/>
              </w:rPr>
              <w:t xml:space="preserve">⚠  NEXT STEPS</w:t>
            </w:r>
          </w:p>
          <w:p>
            <w:pPr>
              <w:spacing w:after="80" w:before="0"/>
            </w:pPr>
            <w:r>
              <w:rPr>
                <w:rFonts w:ascii="Arial" w:cs="Arial" w:eastAsia="Arial" w:hAnsi="Arial"/>
                <w:b w:val="false"/>
                <w:bCs w:val="false"/>
                <w:color w:val="4A3700"/>
                <w:sz w:val="20"/>
                <w:szCs w:val="20"/>
              </w:rPr>
              <w:t xml:space="preserve">1.  Have this document reviewed by a registered USPTO patent attorney or agent.</w:t>
            </w:r>
          </w:p>
          <w:p>
            <w:pPr>
              <w:spacing w:after="80" w:before="0"/>
            </w:pPr>
            <w:r>
              <w:rPr>
                <w:rFonts w:ascii="Arial" w:cs="Arial" w:eastAsia="Arial" w:hAnsi="Arial"/>
                <w:b w:val="false"/>
                <w:bCs w:val="false"/>
                <w:color w:val="4A3700"/>
                <w:sz w:val="20"/>
                <w:szCs w:val="20"/>
              </w:rPr>
              <w:t xml:space="preserve">2.  Gather application screenshots for inclusion as Figures 1–12.</w:t>
            </w:r>
          </w:p>
          <w:p>
            <w:pPr>
              <w:spacing w:after="80" w:before="0"/>
            </w:pPr>
            <w:r>
              <w:rPr>
                <w:rFonts w:ascii="Arial" w:cs="Arial" w:eastAsia="Arial" w:hAnsi="Arial"/>
                <w:b w:val="false"/>
                <w:bCs w:val="false"/>
                <w:color w:val="4A3700"/>
                <w:sz w:val="20"/>
                <w:szCs w:val="20"/>
              </w:rPr>
              <w:t xml:space="preserve">3.  Complete USPTO Form SB/16 (Provisional Application Cover Sheet) and Form SB/15A (Micro-Entity Status).</w:t>
            </w:r>
          </w:p>
          <w:p>
            <w:pPr>
              <w:spacing w:after="80" w:before="0"/>
            </w:pPr>
            <w:r>
              <w:rPr>
                <w:rFonts w:ascii="Arial" w:cs="Arial" w:eastAsia="Arial" w:hAnsi="Arial"/>
                <w:b w:val="false"/>
                <w:bCs w:val="false"/>
                <w:color w:val="4A3700"/>
                <w:sz w:val="20"/>
                <w:szCs w:val="20"/>
              </w:rPr>
              <w:t xml:space="preserve">4.  File at patentcenter.uspto.gov — select Provisional Patent Application.</w:t>
            </w:r>
          </w:p>
          <w:p>
            <w:pPr>
              <w:spacing w:after="80" w:before="0"/>
            </w:pPr>
            <w:r>
              <w:rPr>
                <w:rFonts w:ascii="Arial" w:cs="Arial" w:eastAsia="Arial" w:hAnsi="Arial"/>
                <w:b w:val="false"/>
                <w:bCs w:val="false"/>
                <w:color w:val="4A3700"/>
                <w:sz w:val="20"/>
                <w:szCs w:val="20"/>
              </w:rPr>
              <w:t xml:space="preserve">5.  Pay filing fee ($320 for micro-entity — confirm current fee at USPTO.gov/patents/apply/patent-fees).</w:t>
            </w:r>
          </w:p>
          <w:p>
            <w:pPr>
              <w:spacing w:after="80" w:before="0"/>
            </w:pPr>
            <w:r>
              <w:rPr>
                <w:rFonts w:ascii="Arial" w:cs="Arial" w:eastAsia="Arial" w:hAnsi="Arial"/>
                <w:b w:val="false"/>
                <w:bCs w:val="false"/>
                <w:color w:val="4A3700"/>
                <w:sz w:val="20"/>
                <w:szCs w:val="20"/>
              </w:rPr>
              <w:t xml:space="preserve">6.  Retain the Application Number and Filing Date confirmation. This date is your priority date.</w:t>
            </w:r>
          </w:p>
          <w:p>
            <w:pPr>
              <w:spacing w:after="80" w:before="0"/>
            </w:pPr>
            <w:r>
              <w:rPr>
                <w:rFonts w:ascii="Arial" w:cs="Arial" w:eastAsia="Arial" w:hAnsi="Arial"/>
                <w:b w:val="false"/>
                <w:bCs w:val="false"/>
                <w:color w:val="4A3700"/>
                <w:sz w:val="20"/>
                <w:szCs w:val="20"/>
              </w:rPr>
              <w:t xml:space="preserve">7.  Non-provisional application must be filed within 12 months of this provisional filing 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pPr>
    <w:r>
      <w:rPr>
        <w:rFonts w:ascii="Arial" w:cs="Arial" w:eastAsia="Arial" w:hAnsi="Arial"/>
        <w:i/>
        <w:iCs/>
        <w:color w:val="AAAAAA"/>
        <w:sz w:val="14"/>
        <w:szCs w:val="14"/>
      </w:rPr>
      <w:t xml:space="preserve">ATTORNEY-CLIENT PRIVILEGED &amp; CONFIDENTIAL — DRAFT FOR REVIEW ONLY — NOT A SUBSTITUTE FOR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tabs>
        <w:tab w:val="right" w:pos="9360"/>
      </w:tabs>
    </w:pPr>
    <w:r>
      <w:rPr>
        <w:rFonts w:ascii="Arial" w:cs="Arial" w:eastAsia="Arial" w:hAnsi="Arial"/>
        <w:color w:val="888888"/>
        <w:sz w:val="16"/>
        <w:szCs w:val="16"/>
      </w:rPr>
      <w:t xml:space="preserve">SOLACE LIFE  |  PROVISIONAL PATENT APPLICATION  |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D1B2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2026-05-18T15:34:16.437Z</dcterms:created>
  <dcterms:modified xsi:type="dcterms:W3CDTF">2026-05-18T15:34:16.439Z</dcterms:modified>
</cp:coreProperties>
</file>

<file path=docProps/custom.xml><?xml version="1.0" encoding="utf-8"?>
<Properties xmlns="http://schemas.openxmlformats.org/officeDocument/2006/custom-properties" xmlns:vt="http://schemas.openxmlformats.org/officeDocument/2006/docPropsVTypes"/>
</file>