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60" w:before="240"/>
        <w:jc w:val="center"/>
      </w:pPr>
      <w:r>
        <w:rPr>
          <w:rFonts w:ascii="Arial" w:cs="Arial" w:eastAsia="Arial" w:hAnsi="Arial"/>
          <w:b/>
          <w:bCs/>
          <w:color w:val="1F3864"/>
          <w:sz w:val="52"/>
          <w:szCs w:val="52"/>
        </w:rPr>
        <w:t xml:space="preserve">SOLACE LIFE</w:t>
      </w:r>
    </w:p>
    <w:p>
      <w:pPr>
        <w:spacing w:after="60" w:before="0"/>
        <w:jc w:val="center"/>
      </w:pPr>
      <w:r>
        <w:rPr>
          <w:rFonts w:ascii="Arial" w:cs="Arial" w:eastAsia="Arial" w:hAnsi="Arial"/>
          <w:b/>
          <w:bCs/>
          <w:color w:val="2E4057"/>
          <w:sz w:val="32"/>
          <w:szCs w:val="32"/>
        </w:rPr>
        <w:t xml:space="preserve">PROVISIONAL PATENT APPLICATION</w:t>
      </w:r>
    </w:p>
    <w:p>
      <w:pPr>
        <w:spacing w:after="240" w:before="0"/>
        <w:jc w:val="center"/>
      </w:pPr>
      <w:r>
        <w:rPr>
          <w:rFonts w:ascii="Arial" w:cs="Arial" w:eastAsia="Arial" w:hAnsi="Arial"/>
          <w:i/>
          <w:iCs/>
          <w:color w:val="555555"/>
          <w:sz w:val="24"/>
          <w:szCs w:val="24"/>
        </w:rPr>
        <w:t xml:space="preserve">Written Description of Invention</w:t>
      </w:r>
    </w:p>
    <w:p>
      <w:pPr>
        <w:pBdr>
          <w:bottom w:val="single" w:color="1F3864" w:sz="6" w:space="1"/>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sz w:val="20"/>
                <w:szCs w:val="20"/>
              </w:rPr>
              <w:t xml:space="preserve">Inventor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Sokha Eang</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sz w:val="20"/>
                <w:szCs w:val="20"/>
              </w:rPr>
              <w:t xml:space="preserve">Application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Provisional Patent Application</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sz w:val="20"/>
                <w:szCs w:val="20"/>
              </w:rPr>
              <w:t xml:space="preserve">Filing Basis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U.S.C. § 111(b)</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sz w:val="20"/>
                <w:szCs w:val="20"/>
              </w:rPr>
              <w:t xml:space="preserve">Entity 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 Entity (pending confirmation)</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sz w:val="20"/>
                <w:szCs w:val="20"/>
              </w:rPr>
              <w:t xml:space="preserve">Date Prepared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3, 2026</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sz w:val="20"/>
                <w:szCs w:val="20"/>
              </w:rPr>
              <w:t xml:space="preserve">Number of Inventions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jc w:val="center"/>
            </w:pPr>
            <w:r>
              <w:rPr>
                <w:rFonts w:ascii="Arial" w:cs="Arial" w:eastAsia="Arial" w:hAnsi="Arial"/>
                <w:b/>
                <w:bCs/>
                <w:sz w:val="20"/>
                <w:szCs w:val="20"/>
              </w:rPr>
              <w:t xml:space="preserve">I.</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Contact Lock Screen Notification System with Consent Workflow</w:t>
            </w:r>
          </w:p>
        </w:tc>
      </w:tr>
      <w:tr>
        <w:tc>
          <w:tcPr>
            <w:tcW w:type="dxa" w:w="12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jc w:val="center"/>
            </w:pPr>
            <w:r>
              <w:rPr>
                <w:rFonts w:ascii="Arial" w:cs="Arial" w:eastAsia="Arial" w:hAnsi="Arial"/>
                <w:b/>
                <w:bCs/>
                <w:sz w:val="20"/>
                <w:szCs w:val="20"/>
              </w:rPr>
              <w:t xml:space="preserve">II.</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Personal Memory Delivery System with Web-Based Viewer and Bilateral Exchange</w:t>
            </w:r>
          </w:p>
        </w:tc>
      </w:tr>
      <w:tr>
        <w:tc>
          <w:tcPr>
            <w:tcW w:type="dxa" w:w="12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pPr>
              <w:jc w:val="center"/>
            </w:pPr>
            <w:r>
              <w:rPr>
                <w:rFonts w:ascii="Arial" w:cs="Arial" w:eastAsia="Arial" w:hAnsi="Arial"/>
                <w:b/>
                <w:bCs/>
                <w:sz w:val="20"/>
                <w:szCs w:val="20"/>
              </w:rPr>
              <w:t xml:space="preserve">III.</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Encrypted Personal Legacy Vault with Contextual Document Capture and Category-Aware Templates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A800" w:sz="4"/>
              <w:left w:val="single" w:color="C7A800" w:sz="4"/>
              <w:bottom w:val="single" w:color="C7A800" w:sz="4"/>
              <w:right w:val="single" w:color="C7A800" w:sz="4"/>
            </w:tcBorders>
            <w:shd w:fill="FFFDE7" w:val="clear"/>
            <w:tcMar>
              <w:top w:type="dxa" w:w="120"/>
              <w:left w:type="dxa" w:w="160"/>
              <w:bottom w:type="dxa" w:w="120"/>
              <w:right w:type="dxa" w:w="160"/>
            </w:tcMar>
          </w:tcPr>
          <w:p>
            <w:pPr>
              <w:spacing w:after="40" w:before="40"/>
            </w:pPr>
            <w:r>
              <w:rPr>
                <w:rFonts w:ascii="Arial" w:cs="Arial" w:eastAsia="Arial" w:hAnsi="Arial"/>
                <w:b/>
                <w:bCs/>
                <w:sz w:val="20"/>
                <w:szCs w:val="20"/>
              </w:rPr>
              <w:t xml:space="preserve">⚠  ATTORNEY REVIEW REQUIRED BEFORE FILING</w:t>
            </w:r>
          </w:p>
          <w:p>
            <w:pPr>
              <w:spacing w:after="40" w:before="40"/>
            </w:pPr>
            <w:r>
              <w:rPr>
                <w:rFonts w:ascii="Arial" w:cs="Arial" w:eastAsia="Arial" w:hAnsi="Arial"/>
                <w:b w:val="false"/>
                <w:bCs w:val="false"/>
                <w:sz w:val="20"/>
                <w:szCs w:val="20"/>
              </w:rPr>
              <w:t xml:space="preserve"/>
            </w:r>
          </w:p>
          <w:p>
            <w:pPr>
              <w:spacing w:after="40" w:before="40"/>
            </w:pPr>
            <w:r>
              <w:rPr>
                <w:rFonts w:ascii="Arial" w:cs="Arial" w:eastAsia="Arial" w:hAnsi="Arial"/>
                <w:b w:val="false"/>
                <w:bCs w:val="false"/>
                <w:sz w:val="20"/>
                <w:szCs w:val="20"/>
              </w:rPr>
              <w:t xml:space="preserve">This document constitutes a written description drafted for attorney review. It has been prepared by the</w:t>
            </w:r>
          </w:p>
          <w:p>
            <w:pPr>
              <w:spacing w:after="40" w:before="40"/>
            </w:pPr>
            <w:r>
              <w:rPr>
                <w:rFonts w:ascii="Arial" w:cs="Arial" w:eastAsia="Arial" w:hAnsi="Arial"/>
                <w:b w:val="false"/>
                <w:bCs w:val="false"/>
                <w:sz w:val="20"/>
                <w:szCs w:val="20"/>
              </w:rPr>
              <w:t xml:space="preserve">inventor to the best of their knowledge and belief. Prior to submission to the USPTO, this description</w:t>
            </w:r>
          </w:p>
          <w:p>
            <w:pPr>
              <w:spacing w:after="40" w:before="40"/>
            </w:pPr>
            <w:r>
              <w:rPr>
                <w:rFonts w:ascii="Arial" w:cs="Arial" w:eastAsia="Arial" w:hAnsi="Arial"/>
                <w:b w:val="false"/>
                <w:bCs w:val="false"/>
                <w:sz w:val="20"/>
                <w:szCs w:val="20"/>
              </w:rPr>
              <w:t xml:space="preserve">should be reviewed by a registered patent attorney or agent who can confirm adequacy of disclosure,</w:t>
            </w:r>
          </w:p>
          <w:p>
            <w:pPr>
              <w:spacing w:after="40" w:before="40"/>
            </w:pPr>
            <w:r>
              <w:rPr>
                <w:rFonts w:ascii="Arial" w:cs="Arial" w:eastAsia="Arial" w:hAnsi="Arial"/>
                <w:b w:val="false"/>
                <w:bCs w:val="false"/>
                <w:sz w:val="20"/>
                <w:szCs w:val="20"/>
              </w:rPr>
              <w:t xml:space="preserve">assess prior art, and refine claim scope. Filing fee for a Provisional Patent Application as a</w:t>
            </w:r>
          </w:p>
          <w:p>
            <w:pPr>
              <w:spacing w:after="40" w:before="40"/>
            </w:pPr>
            <w:r>
              <w:rPr>
                <w:rFonts w:ascii="Arial" w:cs="Arial" w:eastAsia="Arial" w:hAnsi="Arial"/>
                <w:b w:val="false"/>
                <w:bCs w:val="false"/>
                <w:sz w:val="20"/>
                <w:szCs w:val="20"/>
              </w:rPr>
              <w:t xml:space="preserve">micro-entity: $320 (confirm current amount at USPTO.gov).</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1F3864"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INVENTION I</w:t>
            </w:r>
          </w:p>
          <w:p>
            <w:pPr>
              <w:jc w:val="center"/>
            </w:pPr>
            <w:r>
              <w:rPr>
                <w:rFonts w:ascii="Arial" w:cs="Arial" w:eastAsia="Arial" w:hAnsi="Arial"/>
                <w:b/>
                <w:bCs/>
                <w:color w:val="FFD700"/>
                <w:sz w:val="24"/>
                <w:szCs w:val="24"/>
              </w:rPr>
              <w:t xml:space="preserve">EMERGENCY CONTACT LOCK SCREEN NOTIFICATION SYSTEM WITH CONSENT WORKFLOW</w:t>
            </w:r>
          </w:p>
        </w:tc>
      </w:tr>
    </w:tbl>
    <w:p>
      <w:pPr>
        <w:spacing w:after="80" w:before="80"/>
      </w:pPr>
      <w:r>
        <w:t xml:space="preserve"/>
      </w:r>
    </w:p>
    <w:p>
      <w:pPr>
        <w:pStyle w:val="Heading2"/>
        <w:spacing w:after="80" w:before="240"/>
      </w:pPr>
      <w:r>
        <w:rPr>
          <w:rFonts w:ascii="Arial" w:cs="Arial" w:eastAsia="Arial" w:hAnsi="Arial"/>
          <w:b/>
          <w:bCs/>
          <w:color w:val="1F3864"/>
          <w:sz w:val="24"/>
          <w:szCs w:val="24"/>
        </w:rPr>
        <w:t xml:space="preserve">1. Title of Invention</w:t>
      </w:r>
    </w:p>
    <w:p>
      <w:pPr>
        <w:spacing w:after="120" w:before="60"/>
      </w:pPr>
      <w:r>
        <w:rPr>
          <w:rFonts w:ascii="Arial" w:cs="Arial" w:eastAsia="Arial" w:hAnsi="Arial"/>
          <w:sz w:val="20"/>
          <w:szCs w:val="20"/>
        </w:rPr>
        <w:t xml:space="preserve">Emergency Contact Lock Screen Notification System for Mobile Devices with Structured Consent, Reminder, and Status-Tracking Workflow</w:t>
      </w:r>
    </w:p>
    <w:p>
      <w:pPr>
        <w:pStyle w:val="Heading2"/>
        <w:spacing w:after="80" w:before="240"/>
      </w:pPr>
      <w:r>
        <w:rPr>
          <w:rFonts w:ascii="Arial" w:cs="Arial" w:eastAsia="Arial" w:hAnsi="Arial"/>
          <w:b/>
          <w:bCs/>
          <w:color w:val="1F3864"/>
          <w:sz w:val="24"/>
          <w:szCs w:val="24"/>
        </w:rPr>
        <w:t xml:space="preserve">2. Field of the Invention</w:t>
      </w:r>
    </w:p>
    <w:p>
      <w:pPr>
        <w:spacing w:after="120" w:before="60"/>
      </w:pPr>
      <w:r>
        <w:rPr>
          <w:rFonts w:ascii="Arial" w:cs="Arial" w:eastAsia="Arial" w:hAnsi="Arial"/>
          <w:sz w:val="20"/>
          <w:szCs w:val="20"/>
        </w:rPr>
        <w:t xml:space="preserve">This invention relates to mobile computing and emergency response systems, and more particularly to a method and system for persistently displaying emergency contact information on the lock screen of a mobile device without requiring device authentication, combined with a structured workflow for obtaining, tracking, and reminding designated contacts of their consent status.</w:t>
      </w:r>
    </w:p>
    <w:p>
      <w:pPr>
        <w:pStyle w:val="Heading2"/>
        <w:spacing w:after="80" w:before="240"/>
      </w:pPr>
      <w:r>
        <w:rPr>
          <w:rFonts w:ascii="Arial" w:cs="Arial" w:eastAsia="Arial" w:hAnsi="Arial"/>
          <w:b/>
          <w:bCs/>
          <w:color w:val="1F3864"/>
          <w:sz w:val="24"/>
          <w:szCs w:val="24"/>
        </w:rPr>
        <w:t xml:space="preserve">3. Background of the Invention</w:t>
      </w:r>
    </w:p>
    <w:p>
      <w:pPr>
        <w:spacing w:after="120" w:before="60"/>
      </w:pPr>
      <w:r>
        <w:rPr>
          <w:rFonts w:ascii="Arial" w:cs="Arial" w:eastAsia="Arial" w:hAnsi="Arial"/>
          <w:sz w:val="20"/>
          <w:szCs w:val="20"/>
        </w:rPr>
        <w:t xml:space="preserve">When a person suffers a medical emergency or other incapacitating event, first responders cannot access the contacts stored on the person's locked smartphone. Modern biometric and passcode locks prevent access without authentication, creating a critical gap in emergency response. Prior art solutions (e.g., iOS Medical ID, Android Emergency Information) are buried within operating system menus, require the responder to know where to look, and provide no mechanism for the device owner to notify designated contacts of their role or obtain acknowledgement.</w:t>
      </w:r>
    </w:p>
    <w:p>
      <w:pPr>
        <w:spacing w:after="120" w:before="60"/>
      </w:pPr>
      <w:r>
        <w:rPr>
          <w:rFonts w:ascii="Arial" w:cs="Arial" w:eastAsia="Arial" w:hAnsi="Arial"/>
          <w:sz w:val="20"/>
          <w:szCs w:val="20"/>
        </w:rPr>
        <w:t xml:space="preserve">Further, no prior art provides a structured consent and reminder workflow in which a designated emergency contact receives notification of their designation, can accept or decline that designation via a web-based interface, and receives automated reminders if they do not respond within defined intervals.</w:t>
      </w:r>
    </w:p>
    <w:p>
      <w:pPr>
        <w:pStyle w:val="Heading2"/>
        <w:spacing w:after="80" w:before="240"/>
      </w:pPr>
      <w:r>
        <w:rPr>
          <w:rFonts w:ascii="Arial" w:cs="Arial" w:eastAsia="Arial" w:hAnsi="Arial"/>
          <w:b/>
          <w:bCs/>
          <w:color w:val="1F3864"/>
          <w:sz w:val="24"/>
          <w:szCs w:val="24"/>
        </w:rPr>
        <w:t xml:space="preserve">4. Summary of the Invention</w:t>
      </w:r>
    </w:p>
    <w:p>
      <w:pPr>
        <w:spacing w:after="120" w:before="60"/>
      </w:pPr>
      <w:r>
        <w:rPr>
          <w:rFonts w:ascii="Arial" w:cs="Arial" w:eastAsia="Arial" w:hAnsi="Arial"/>
          <w:sz w:val="20"/>
          <w:szCs w:val="20"/>
        </w:rPr>
        <w:t xml:space="preserve">The present invention provides a mobile application system that: (a) generates a persistent lock screen notification displaying user-designated emergency contact information without requiring device authentication; (b) transmits structured consent request emails to designated contacts; (c) provides a web-based accept/decline interface; (d) tracks consent status per designee; (e) sends automated reminder emails at defined intervals; and (f) supports resend and status management by the account owner.</w:t>
      </w:r>
    </w:p>
    <w:p>
      <w:pPr>
        <w:pStyle w:val="Heading2"/>
        <w:spacing w:after="80" w:before="240"/>
      </w:pPr>
      <w:r>
        <w:rPr>
          <w:rFonts w:ascii="Arial" w:cs="Arial" w:eastAsia="Arial" w:hAnsi="Arial"/>
          <w:b/>
          <w:bCs/>
          <w:color w:val="1F3864"/>
          <w:sz w:val="24"/>
          <w:szCs w:val="24"/>
        </w:rPr>
        <w:t xml:space="preserve">5. Detailed Description</w:t>
      </w:r>
    </w:p>
    <w:p>
      <w:pPr>
        <w:spacing w:after="60" w:before="180"/>
      </w:pPr>
      <w:r>
        <w:rPr>
          <w:rFonts w:ascii="Arial" w:cs="Arial" w:eastAsia="Arial" w:hAnsi="Arial"/>
          <w:b/>
          <w:bCs/>
          <w:color w:val="2E4057"/>
          <w:sz w:val="22"/>
          <w:szCs w:val="22"/>
        </w:rPr>
        <w:t xml:space="preserve">5.1 System Architecture</w:t>
      </w:r>
    </w:p>
    <w:p>
      <w:pPr>
        <w:spacing w:after="120" w:before="60"/>
      </w:pPr>
      <w:r>
        <w:rPr>
          <w:rFonts w:ascii="Arial" w:cs="Arial" w:eastAsia="Arial" w:hAnsi="Arial"/>
          <w:sz w:val="20"/>
          <w:szCs w:val="20"/>
        </w:rPr>
        <w:t xml:space="preserve">The system comprises a mobile application ("Application") communicating with a cloud-hosted backend ("Backend") comprising a relational database with row-level security, serverless edge functions for email dispatch and consent processing, and a web-based consent interface hosted on the application's domain.</w:t>
      </w:r>
    </w:p>
    <w:p>
      <w:pPr>
        <w:spacing w:after="60" w:before="180"/>
      </w:pPr>
      <w:r>
        <w:rPr>
          <w:rFonts w:ascii="Arial" w:cs="Arial" w:eastAsia="Arial" w:hAnsi="Arial"/>
          <w:b/>
          <w:bCs/>
          <w:color w:val="2E4057"/>
          <w:sz w:val="22"/>
          <w:szCs w:val="22"/>
        </w:rPr>
        <w:t xml:space="preserve">5.2 Emergency Contact Designation</w:t>
      </w:r>
    </w:p>
    <w:p>
      <w:pPr>
        <w:spacing w:after="120" w:before="60"/>
      </w:pPr>
      <w:r>
        <w:rPr>
          <w:rFonts w:ascii="Arial" w:cs="Arial" w:eastAsia="Arial" w:hAnsi="Arial"/>
          <w:sz w:val="20"/>
          <w:szCs w:val="20"/>
        </w:rPr>
        <w:t xml:space="preserve">The user designates up to three family members as emergency contacts from their registered family roster, assigning each a priority order (first, second, third). Priority is visually communicated through distinct color coding. Family members without registered phone numbers cannot be designated. Upon saving, the Backend records fields emergency_contact (boolean) and emergency_priority (integer, 1–3) per family member record, clears prior designations, and triggers the consent notification workflow.</w:t>
      </w:r>
    </w:p>
    <w:p>
      <w:pPr>
        <w:spacing w:after="60" w:before="180"/>
      </w:pPr>
      <w:r>
        <w:rPr>
          <w:rFonts w:ascii="Arial" w:cs="Arial" w:eastAsia="Arial" w:hAnsi="Arial"/>
          <w:b/>
          <w:bCs/>
          <w:color w:val="2E4057"/>
          <w:sz w:val="22"/>
          <w:szCs w:val="22"/>
        </w:rPr>
        <w:t xml:space="preserve">5.3 Lock Screen Notification Generation</w:t>
      </w:r>
    </w:p>
    <w:p>
      <w:pPr>
        <w:spacing w:after="120" w:before="60"/>
      </w:pPr>
      <w:r>
        <w:rPr>
          <w:rFonts w:ascii="Arial" w:cs="Arial" w:eastAsia="Arial" w:hAnsi="Arial"/>
          <w:sz w:val="20"/>
          <w:szCs w:val="20"/>
        </w:rPr>
        <w:t xml:space="preserve">Upon designation, the Application generates a persistent local notification on the device operating system configured with: high importance/time-sensitive priority; contact name, relationship, and phone number in the body; non-dismissible behavior; restart persistence; and a deep-link action initiating a native phone call (tel:// URI scheme) to the first-priority contact on tap.</w:t>
      </w:r>
    </w:p>
    <w:p>
      <w:pPr>
        <w:spacing w:after="60" w:before="180"/>
      </w:pPr>
      <w:r>
        <w:rPr>
          <w:rFonts w:ascii="Arial" w:cs="Arial" w:eastAsia="Arial" w:hAnsi="Arial"/>
          <w:b/>
          <w:bCs/>
          <w:color w:val="2E4057"/>
          <w:sz w:val="22"/>
          <w:szCs w:val="22"/>
        </w:rPr>
        <w:t xml:space="preserve">5.4 Consent Request Email and Web Interface — Novel Addition</w:t>
      </w:r>
    </w:p>
    <w:p>
      <w:pPr>
        <w:spacing w:after="120" w:before="60"/>
      </w:pPr>
      <w:r>
        <w:rPr>
          <w:rFonts w:ascii="Arial" w:cs="Arial" w:eastAsia="Arial" w:hAnsi="Arial"/>
          <w:sz w:val="20"/>
          <w:szCs w:val="20"/>
        </w:rPr>
        <w:t xml:space="preserve">Upon designation, a serverless edge function dispatches a structured consent request email to each designated contact's registered email address. The email notifies the contact of their designation, explains the purpose (their name and phone number will appear on the designator's device lock screen), and provides a unique URL linking to a hosted web consent interface ("consent page") at a domain controlled by the system operator.</w:t>
      </w:r>
    </w:p>
    <w:p>
      <w:pPr>
        <w:spacing w:after="120" w:before="60"/>
      </w:pPr>
      <w:r>
        <w:rPr>
          <w:rFonts w:ascii="Arial" w:cs="Arial" w:eastAsia="Arial" w:hAnsi="Arial"/>
          <w:sz w:val="20"/>
          <w:szCs w:val="20"/>
        </w:rPr>
        <w:t xml:space="preserve">The consent page presents two actions: Accept (confirms the contact acknowledges and accepts their emergency contact status) and Decline (records the contact's preference not to serve in this role). The consent page operates without requiring the contact to create an account or authenticate. URL uniqueness is enforced via a per-designation token stored in the Backend.</w:t>
      </w:r>
    </w:p>
    <w:p>
      <w:pPr>
        <w:spacing w:after="120" w:before="60"/>
      </w:pPr>
      <w:r>
        <w:rPr>
          <w:rFonts w:ascii="Arial" w:cs="Arial" w:eastAsia="Arial" w:hAnsi="Arial"/>
          <w:sz w:val="20"/>
          <w:szCs w:val="20"/>
        </w:rPr>
        <w:t xml:space="preserve">Upon Accept or Decline, the consent page transmits the contact's response to the Backend via a serverless function, which updates the family member record's emergency_consent_status field to "accepted" or "declined" accordingly and records the response timestamp. Duplicate responses (e.g., re-visiting the URL after already responding) are handled gracefully with a contextually appropriate message.</w:t>
      </w:r>
    </w:p>
    <w:p>
      <w:pPr>
        <w:spacing w:after="60" w:before="180"/>
      </w:pPr>
      <w:r>
        <w:rPr>
          <w:rFonts w:ascii="Arial" w:cs="Arial" w:eastAsia="Arial" w:hAnsi="Arial"/>
          <w:b/>
          <w:bCs/>
          <w:color w:val="2E4057"/>
          <w:sz w:val="22"/>
          <w:szCs w:val="22"/>
        </w:rPr>
        <w:t xml:space="preserve">5.5 Consent Status Tracking</w:t>
      </w:r>
    </w:p>
    <w:p>
      <w:pPr>
        <w:spacing w:after="120" w:before="60"/>
      </w:pPr>
      <w:r>
        <w:rPr>
          <w:rFonts w:ascii="Arial" w:cs="Arial" w:eastAsia="Arial" w:hAnsi="Arial"/>
          <w:sz w:val="20"/>
          <w:szCs w:val="20"/>
        </w:rPr>
        <w:t xml:space="preserve">The Backend maintains consent status per emergency contact designee using the field emergency_consent_status with values: null (not yet sent), "pending" (request sent, no response), "accepted", or "declined". The Application displays the current consent status to the account owner in the Family management interface, using distinct visual indicators for each status state. Declined contacts display a non-alarming neutral status indicator rather than an error state, respecting the contact's decision.</w:t>
      </w:r>
    </w:p>
    <w:p>
      <w:pPr>
        <w:spacing w:after="60" w:before="180"/>
      </w:pPr>
      <w:r>
        <w:rPr>
          <w:rFonts w:ascii="Arial" w:cs="Arial" w:eastAsia="Arial" w:hAnsi="Arial"/>
          <w:b/>
          <w:bCs/>
          <w:color w:val="2E4057"/>
          <w:sz w:val="22"/>
          <w:szCs w:val="22"/>
        </w:rPr>
        <w:t xml:space="preserve">5.6 Automated Reminder System — Novel Addition</w:t>
      </w:r>
    </w:p>
    <w:p>
      <w:pPr>
        <w:spacing w:after="120" w:before="60"/>
      </w:pPr>
      <w:r>
        <w:rPr>
          <w:rFonts w:ascii="Arial" w:cs="Arial" w:eastAsia="Arial" w:hAnsi="Arial"/>
          <w:sz w:val="20"/>
          <w:szCs w:val="20"/>
        </w:rPr>
        <w:t xml:space="preserve">For designees whose consent status remains "pending," the system executes an automated reminder workflow managed by a scheduled Backend job running daily. The workflow comprises two reminder waves:</w:t>
      </w:r>
    </w:p>
    <w:p>
      <w:pPr>
        <w:pStyle w:val="ListParagraph"/>
        <w:numPr>
          <w:ilvl w:val="0"/>
          <w:numId w:val="2"/>
        </w:numPr>
        <w:spacing w:after="40" w:before="40"/>
      </w:pPr>
      <w:r>
        <w:rPr>
          <w:rFonts w:ascii="Arial" w:cs="Arial" w:eastAsia="Arial" w:hAnsi="Arial"/>
          <w:sz w:val="20"/>
          <w:szCs w:val="20"/>
        </w:rPr>
        <w:t xml:space="preserve">7-day reminder: transmitted when emergency_consent_requested_at is seven or more days in the past and emergency_reminder_7d_sent_at is null. Subject line uses warm, non-coercive language (e.g., "Just checking in — still hoping you'll say yes").</w:t>
      </w:r>
    </w:p>
    <w:p>
      <w:pPr>
        <w:pStyle w:val="ListParagraph"/>
        <w:numPr>
          <w:ilvl w:val="0"/>
          <w:numId w:val="2"/>
        </w:numPr>
        <w:spacing w:after="40" w:before="40"/>
      </w:pPr>
      <w:r>
        <w:rPr>
          <w:rFonts w:ascii="Arial" w:cs="Arial" w:eastAsia="Arial" w:hAnsi="Arial"/>
          <w:sz w:val="20"/>
          <w:szCs w:val="20"/>
        </w:rPr>
        <w:t xml:space="preserve">30-day final reminder: transmitted when emergency_consent_requested_at is thirty or more days in the past and emergency_reminder_30d_sent_at is null. Subject line acknowledges it is the last reminder (e.g., "A gentle reminder — last one, promise").</w:t>
      </w:r>
    </w:p>
    <w:p>
      <w:pPr>
        <w:spacing w:after="120" w:before="60"/>
      </w:pPr>
      <w:r>
        <w:rPr>
          <w:rFonts w:ascii="Arial" w:cs="Arial" w:eastAsia="Arial" w:hAnsi="Arial"/>
          <w:sz w:val="20"/>
          <w:szCs w:val="20"/>
        </w:rPr>
        <w:t xml:space="preserve">Each reminder is transmitted exactly once, tracked by setting the respective timestamp field upon dispatch. No further reminders are sent after the 30-day wave. The reminder system ceases if the contact responds (accepted or declined) at any point.</w:t>
      </w:r>
    </w:p>
    <w:p>
      <w:pPr>
        <w:spacing w:after="60" w:before="180"/>
      </w:pPr>
      <w:r>
        <w:rPr>
          <w:rFonts w:ascii="Arial" w:cs="Arial" w:eastAsia="Arial" w:hAnsi="Arial"/>
          <w:b/>
          <w:bCs/>
          <w:color w:val="2E4057"/>
          <w:sz w:val="22"/>
          <w:szCs w:val="22"/>
        </w:rPr>
        <w:t xml:space="preserve">5.7 Resend and Status Reset</w:t>
      </w:r>
    </w:p>
    <w:p>
      <w:pPr>
        <w:spacing w:after="120" w:before="60"/>
      </w:pPr>
      <w:r>
        <w:rPr>
          <w:rFonts w:ascii="Arial" w:cs="Arial" w:eastAsia="Arial" w:hAnsi="Arial"/>
          <w:sz w:val="20"/>
          <w:szCs w:val="20"/>
        </w:rPr>
        <w:t xml:space="preserve">The account owner may resend the consent request to any pending or declined designee at any time through the Family interface. Upon resend, the system: re-dispatches the consent email with a fresh unique token; resets emergency_consent_requested_at to the current timestamp; and clears both reminder timestamp fields (emergency_reminder_7d_sent_at and emergency_reminder_30d_sent_at) so the 7-day and 30-day reminder clock restarts from the new request date.</w:t>
      </w:r>
    </w:p>
    <w:p>
      <w:pPr>
        <w:pStyle w:val="Heading2"/>
        <w:spacing w:after="80" w:before="240"/>
      </w:pPr>
      <w:r>
        <w:rPr>
          <w:rFonts w:ascii="Arial" w:cs="Arial" w:eastAsia="Arial" w:hAnsi="Arial"/>
          <w:b/>
          <w:bCs/>
          <w:color w:val="1F3864"/>
          <w:sz w:val="24"/>
          <w:szCs w:val="24"/>
        </w:rPr>
        <w:t xml:space="preserve">6. Advantages</w:t>
      </w:r>
    </w:p>
    <w:p>
      <w:pPr>
        <w:pStyle w:val="ListParagraph"/>
        <w:numPr>
          <w:ilvl w:val="0"/>
          <w:numId w:val="2"/>
        </w:numPr>
        <w:spacing w:after="40" w:before="40"/>
      </w:pPr>
      <w:r>
        <w:rPr>
          <w:rFonts w:ascii="Arial" w:cs="Arial" w:eastAsia="Arial" w:hAnsi="Arial"/>
          <w:sz w:val="20"/>
          <w:szCs w:val="20"/>
        </w:rPr>
        <w:t xml:space="preserve">Passive lock screen protection requires no action at time of emergency.</w:t>
      </w:r>
    </w:p>
    <w:p>
      <w:pPr>
        <w:pStyle w:val="ListParagraph"/>
        <w:numPr>
          <w:ilvl w:val="0"/>
          <w:numId w:val="2"/>
        </w:numPr>
        <w:spacing w:after="40" w:before="40"/>
      </w:pPr>
      <w:r>
        <w:rPr>
          <w:rFonts w:ascii="Arial" w:cs="Arial" w:eastAsia="Arial" w:hAnsi="Arial"/>
          <w:sz w:val="20"/>
          <w:szCs w:val="20"/>
        </w:rPr>
        <w:t xml:space="preserve">Consent workflow respects the autonomy of designated contacts and creates an auditable record of designation acknowledgment.</w:t>
      </w:r>
    </w:p>
    <w:p>
      <w:pPr>
        <w:pStyle w:val="ListParagraph"/>
        <w:numPr>
          <w:ilvl w:val="0"/>
          <w:numId w:val="2"/>
        </w:numPr>
        <w:spacing w:after="40" w:before="40"/>
      </w:pPr>
      <w:r>
        <w:rPr>
          <w:rFonts w:ascii="Arial" w:cs="Arial" w:eastAsia="Arial" w:hAnsi="Arial"/>
          <w:sz w:val="20"/>
          <w:szCs w:val="20"/>
        </w:rPr>
        <w:t xml:space="preserve">Automated reminder system ensures consent requests are not permanently ignored without repeated manual follow-up by the account owner.</w:t>
      </w:r>
    </w:p>
    <w:p>
      <w:pPr>
        <w:pStyle w:val="ListParagraph"/>
        <w:numPr>
          <w:ilvl w:val="0"/>
          <w:numId w:val="2"/>
        </w:numPr>
        <w:spacing w:after="40" w:before="40"/>
      </w:pPr>
      <w:r>
        <w:rPr>
          <w:rFonts w:ascii="Arial" w:cs="Arial" w:eastAsia="Arial" w:hAnsi="Arial"/>
          <w:sz w:val="20"/>
          <w:szCs w:val="20"/>
        </w:rPr>
        <w:t xml:space="preserve">Status tracking gives the account owner visibility into which contacts are confirmed versus pending versus declined.</w:t>
      </w:r>
    </w:p>
    <w:p>
      <w:pPr>
        <w:pStyle w:val="ListParagraph"/>
        <w:numPr>
          <w:ilvl w:val="0"/>
          <w:numId w:val="2"/>
        </w:numPr>
        <w:spacing w:after="40" w:before="40"/>
      </w:pPr>
      <w:r>
        <w:rPr>
          <w:rFonts w:ascii="Arial" w:cs="Arial" w:eastAsia="Arial" w:hAnsi="Arial"/>
          <w:sz w:val="20"/>
          <w:szCs w:val="20"/>
        </w:rPr>
        <w:t xml:space="preserve">Cross-platform: operates on iOS and Android from a shared codebase.</w:t>
      </w:r>
    </w:p>
    <w:p>
      <w:pPr>
        <w:pStyle w:val="Heading2"/>
        <w:spacing w:after="80" w:before="240"/>
      </w:pPr>
      <w:r>
        <w:rPr>
          <w:rFonts w:ascii="Arial" w:cs="Arial" w:eastAsia="Arial" w:hAnsi="Arial"/>
          <w:b/>
          <w:bCs/>
          <w:color w:val="1F3864"/>
          <w:sz w:val="24"/>
          <w:szCs w:val="24"/>
        </w:rPr>
        <w:t xml:space="preserve">7. Brief Description of Drawings</w:t>
      </w:r>
    </w:p>
    <w:p>
      <w:pPr>
        <w:pStyle w:val="ListParagraph"/>
        <w:numPr>
          <w:ilvl w:val="0"/>
          <w:numId w:val="2"/>
        </w:numPr>
        <w:spacing w:after="40" w:before="40"/>
      </w:pPr>
      <w:r>
        <w:rPr>
          <w:rFonts w:ascii="Arial" w:cs="Arial" w:eastAsia="Arial" w:hAnsi="Arial"/>
          <w:sz w:val="20"/>
          <w:szCs w:val="20"/>
        </w:rPr>
        <w:t xml:space="preserve">Figure 1 — Emergency contact designation interface with priority color coding</w:t>
      </w:r>
    </w:p>
    <w:p>
      <w:pPr>
        <w:pStyle w:val="ListParagraph"/>
        <w:numPr>
          <w:ilvl w:val="0"/>
          <w:numId w:val="2"/>
        </w:numPr>
        <w:spacing w:after="40" w:before="40"/>
      </w:pPr>
      <w:r>
        <w:rPr>
          <w:rFonts w:ascii="Arial" w:cs="Arial" w:eastAsia="Arial" w:hAnsi="Arial"/>
          <w:sz w:val="20"/>
          <w:szCs w:val="20"/>
        </w:rPr>
        <w:t xml:space="preserve">Figure 2 — Family interface showing consent status badges (Pending / Accepted / Declined)</w:t>
      </w:r>
    </w:p>
    <w:p>
      <w:pPr>
        <w:pStyle w:val="ListParagraph"/>
        <w:numPr>
          <w:ilvl w:val="0"/>
          <w:numId w:val="2"/>
        </w:numPr>
        <w:spacing w:after="40" w:before="40"/>
      </w:pPr>
      <w:r>
        <w:rPr>
          <w:rFonts w:ascii="Arial" w:cs="Arial" w:eastAsia="Arial" w:hAnsi="Arial"/>
          <w:sz w:val="20"/>
          <w:szCs w:val="20"/>
        </w:rPr>
        <w:t xml:space="preserve">Figure 3 — Device lock screen showing persistent emergency contact notification</w:t>
      </w:r>
    </w:p>
    <w:p>
      <w:pPr>
        <w:pStyle w:val="ListParagraph"/>
        <w:numPr>
          <w:ilvl w:val="0"/>
          <w:numId w:val="2"/>
        </w:numPr>
        <w:spacing w:after="40" w:before="40"/>
      </w:pPr>
      <w:r>
        <w:rPr>
          <w:rFonts w:ascii="Arial" w:cs="Arial" w:eastAsia="Arial" w:hAnsi="Arial"/>
          <w:sz w:val="20"/>
          <w:szCs w:val="20"/>
        </w:rPr>
        <w:t xml:space="preserve">Figure 4 — Consent request email received by designated contact</w:t>
      </w:r>
    </w:p>
    <w:p>
      <w:pPr>
        <w:pStyle w:val="ListParagraph"/>
        <w:numPr>
          <w:ilvl w:val="0"/>
          <w:numId w:val="2"/>
        </w:numPr>
        <w:spacing w:after="40" w:before="40"/>
      </w:pPr>
      <w:r>
        <w:rPr>
          <w:rFonts w:ascii="Arial" w:cs="Arial" w:eastAsia="Arial" w:hAnsi="Arial"/>
          <w:sz w:val="20"/>
          <w:szCs w:val="20"/>
        </w:rPr>
        <w:t xml:space="preserve">Figure 5 — Web-based consent page showing Accept and Decline actions</w:t>
      </w:r>
    </w:p>
    <w:p>
      <w:pPr>
        <w:pStyle w:val="ListParagraph"/>
        <w:numPr>
          <w:ilvl w:val="0"/>
          <w:numId w:val="2"/>
        </w:numPr>
        <w:spacing w:after="40" w:before="40"/>
      </w:pPr>
      <w:r>
        <w:rPr>
          <w:rFonts w:ascii="Arial" w:cs="Arial" w:eastAsia="Arial" w:hAnsi="Arial"/>
          <w:sz w:val="20"/>
          <w:szCs w:val="20"/>
        </w:rPr>
        <w:t xml:space="preserve">Figure 6 — System architecture: Application, Backend, email dispatch, and consent flow</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1F3864"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INVENTION II</w:t>
            </w:r>
          </w:p>
          <w:p>
            <w:pPr>
              <w:jc w:val="center"/>
            </w:pPr>
            <w:r>
              <w:rPr>
                <w:rFonts w:ascii="Arial" w:cs="Arial" w:eastAsia="Arial" w:hAnsi="Arial"/>
                <w:b/>
                <w:bCs/>
                <w:color w:val="FFD700"/>
                <w:sz w:val="24"/>
                <w:szCs w:val="24"/>
              </w:rPr>
              <w:t xml:space="preserve">SCHEDULED PERSONAL MEMORY DELIVERY SYSTEM WITH WEB-BASED VIEWER AND BILATERAL EXCHANGE</w:t>
            </w:r>
          </w:p>
        </w:tc>
      </w:tr>
    </w:tbl>
    <w:p>
      <w:pPr>
        <w:spacing w:after="80" w:before="80"/>
      </w:pPr>
      <w:r>
        <w:t xml:space="preserve"/>
      </w:r>
    </w:p>
    <w:p>
      <w:pPr>
        <w:pStyle w:val="Heading2"/>
        <w:spacing w:after="80" w:before="240"/>
      </w:pPr>
      <w:r>
        <w:rPr>
          <w:rFonts w:ascii="Arial" w:cs="Arial" w:eastAsia="Arial" w:hAnsi="Arial"/>
          <w:b/>
          <w:bCs/>
          <w:color w:val="1F3864"/>
          <w:sz w:val="24"/>
          <w:szCs w:val="24"/>
        </w:rPr>
        <w:t xml:space="preserve">1. Title of Invention</w:t>
      </w:r>
    </w:p>
    <w:p>
      <w:pPr>
        <w:spacing w:after="120" w:before="60"/>
      </w:pPr>
      <w:r>
        <w:rPr>
          <w:rFonts w:ascii="Arial" w:cs="Arial" w:eastAsia="Arial" w:hAnsi="Arial"/>
          <w:sz w:val="20"/>
          <w:szCs w:val="20"/>
        </w:rPr>
        <w:t xml:space="preserve">Scheduled Personal Memory Delivery System for Time-Gated Transmission of Personal Audio, Video, Written, and Photographic Content with Web-Based Recipient Viewer and Bidirectional User Exchange</w:t>
      </w:r>
    </w:p>
    <w:p>
      <w:pPr>
        <w:pStyle w:val="Heading2"/>
        <w:spacing w:after="80" w:before="240"/>
      </w:pPr>
      <w:r>
        <w:rPr>
          <w:rFonts w:ascii="Arial" w:cs="Arial" w:eastAsia="Arial" w:hAnsi="Arial"/>
          <w:b/>
          <w:bCs/>
          <w:color w:val="1F3864"/>
          <w:sz w:val="24"/>
          <w:szCs w:val="24"/>
        </w:rPr>
        <w:t xml:space="preserve">2. Field of the Invention</w:t>
      </w:r>
    </w:p>
    <w:p>
      <w:pPr>
        <w:spacing w:after="120" w:before="60"/>
      </w:pPr>
      <w:r>
        <w:rPr>
          <w:rFonts w:ascii="Arial" w:cs="Arial" w:eastAsia="Arial" w:hAnsi="Arial"/>
          <w:sz w:val="20"/>
          <w:szCs w:val="20"/>
        </w:rPr>
        <w:t xml:space="preserve">This invention relates to personal communication systems and digital legacy management, and more particularly to a method and system by which a person creates personal media content and schedules that content for automatic delivery to designated recipients on specified future dates, with delivery available via both native mobile application and browser-based viewer, and support for bidirectional memory exchange between users.</w:t>
      </w:r>
    </w:p>
    <w:p>
      <w:pPr>
        <w:pStyle w:val="Heading2"/>
        <w:spacing w:after="80" w:before="240"/>
      </w:pPr>
      <w:r>
        <w:rPr>
          <w:rFonts w:ascii="Arial" w:cs="Arial" w:eastAsia="Arial" w:hAnsi="Arial"/>
          <w:b/>
          <w:bCs/>
          <w:color w:val="1F3864"/>
          <w:sz w:val="24"/>
          <w:szCs w:val="24"/>
        </w:rPr>
        <w:t xml:space="preserve">3. Background of the Invention</w:t>
      </w:r>
    </w:p>
    <w:p>
      <w:pPr>
        <w:spacing w:after="120" w:before="60"/>
      </w:pPr>
      <w:r>
        <w:rPr>
          <w:rFonts w:ascii="Arial" w:cs="Arial" w:eastAsia="Arial" w:hAnsi="Arial"/>
          <w:sz w:val="20"/>
          <w:szCs w:val="20"/>
        </w:rPr>
        <w:t xml:space="preserve">No prior art provides a dedicated system enabling a person to build a library of occasion-specific personal memories across multiple media types and deliver them automatically to specific named recipients on future dates spanning years or decades. Further, no prior system provides: (a) browser-based recipient access without application installation; (b) bidirectional exchange where recipients may also become senders to their original senders; or (c) an occasion-aware prompt system that surfaces scheduling suggestions based on upcoming registered family occasions and birthdays detected from family member profile data.</w:t>
      </w:r>
    </w:p>
    <w:p>
      <w:pPr>
        <w:pStyle w:val="Heading2"/>
        <w:spacing w:after="80" w:before="240"/>
      </w:pPr>
      <w:r>
        <w:rPr>
          <w:rFonts w:ascii="Arial" w:cs="Arial" w:eastAsia="Arial" w:hAnsi="Arial"/>
          <w:b/>
          <w:bCs/>
          <w:color w:val="1F3864"/>
          <w:sz w:val="24"/>
          <w:szCs w:val="24"/>
        </w:rPr>
        <w:t xml:space="preserve">4. Summary of the Invention</w:t>
      </w:r>
    </w:p>
    <w:p>
      <w:pPr>
        <w:spacing w:after="120" w:before="60"/>
      </w:pPr>
      <w:r>
        <w:rPr>
          <w:rFonts w:ascii="Arial" w:cs="Arial" w:eastAsia="Arial" w:hAnsi="Arial"/>
          <w:sz w:val="20"/>
          <w:szCs w:val="20"/>
        </w:rPr>
        <w:t xml:space="preserve">The present invention enables a user (the "Sender") to create personal media memories, schedule their delivery to designated recipients, and have the system deliver them automatically on the specified date via push notification and email. Recipients may access delivered memories either through a native application or a browser-based viewer hosted on the system's domain without application installation. The system also supports bidirectional exchange, allowing a recipient user to create and schedule memories for delivery back to the original sender.</w:t>
      </w:r>
    </w:p>
    <w:p>
      <w:pPr>
        <w:pStyle w:val="Heading2"/>
        <w:spacing w:after="80" w:before="240"/>
      </w:pPr>
      <w:r>
        <w:rPr>
          <w:rFonts w:ascii="Arial" w:cs="Arial" w:eastAsia="Arial" w:hAnsi="Arial"/>
          <w:b/>
          <w:bCs/>
          <w:color w:val="1F3864"/>
          <w:sz w:val="24"/>
          <w:szCs w:val="24"/>
        </w:rPr>
        <w:t xml:space="preserve">5. Detailed Description</w:t>
      </w:r>
    </w:p>
    <w:p>
      <w:pPr>
        <w:spacing w:after="60" w:before="180"/>
      </w:pPr>
      <w:r>
        <w:rPr>
          <w:rFonts w:ascii="Arial" w:cs="Arial" w:eastAsia="Arial" w:hAnsi="Arial"/>
          <w:b/>
          <w:bCs/>
          <w:color w:val="2E4057"/>
          <w:sz w:val="22"/>
          <w:szCs w:val="22"/>
        </w:rPr>
        <w:t xml:space="preserve">5.1 System Architecture</w:t>
      </w:r>
    </w:p>
    <w:p>
      <w:pPr>
        <w:spacing w:after="120" w:before="60"/>
      </w:pPr>
      <w:r>
        <w:rPr>
          <w:rFonts w:ascii="Arial" w:cs="Arial" w:eastAsia="Arial" w:hAnsi="Arial"/>
          <w:sz w:val="20"/>
          <w:szCs w:val="20"/>
        </w:rPr>
        <w:t xml:space="preserve">The system comprises: a mobile application for content creation and scheduling; a cloud backend storing memory records and delivery schedules; a delivery execution layer running on a daily scheduled trigger; a native recipient interface within the mobile application; and a web-based memory viewer accessible via unique URL for non-application recipients.</w:t>
      </w:r>
    </w:p>
    <w:p>
      <w:pPr>
        <w:spacing w:after="60" w:before="180"/>
      </w:pPr>
      <w:r>
        <w:rPr>
          <w:rFonts w:ascii="Arial" w:cs="Arial" w:eastAsia="Arial" w:hAnsi="Arial"/>
          <w:b/>
          <w:bCs/>
          <w:color w:val="2E4057"/>
          <w:sz w:val="22"/>
          <w:szCs w:val="22"/>
        </w:rPr>
        <w:t xml:space="preserve">5.2 Content Types — Memory Types</w:t>
      </w:r>
    </w:p>
    <w:p>
      <w:pPr>
        <w:spacing w:after="120" w:before="60"/>
      </w:pPr>
      <w:r>
        <w:rPr>
          <w:rFonts w:ascii="Arial" w:cs="Arial" w:eastAsia="Arial" w:hAnsi="Arial"/>
          <w:sz w:val="20"/>
          <w:szCs w:val="20"/>
        </w:rPr>
        <w:t xml:space="preserve">The system supports four content types collectively referred to as "Memories":</w:t>
      </w:r>
    </w:p>
    <w:p>
      <w:pPr>
        <w:pStyle w:val="ListParagraph"/>
        <w:numPr>
          <w:ilvl w:val="0"/>
          <w:numId w:val="2"/>
        </w:numPr>
        <w:spacing w:after="40" w:before="40"/>
      </w:pPr>
      <w:r>
        <w:rPr>
          <w:rFonts w:ascii="Arial" w:cs="Arial" w:eastAsia="Arial" w:hAnsi="Arial"/>
          <w:sz w:val="20"/>
          <w:szCs w:val="20"/>
        </w:rPr>
        <w:t xml:space="preserve">Audio recording — voice message recorded via device microphone, uploaded to cloud object storage.</w:t>
      </w:r>
    </w:p>
    <w:p>
      <w:pPr>
        <w:pStyle w:val="ListParagraph"/>
        <w:numPr>
          <w:ilvl w:val="0"/>
          <w:numId w:val="2"/>
        </w:numPr>
        <w:spacing w:after="40" w:before="40"/>
      </w:pPr>
      <w:r>
        <w:rPr>
          <w:rFonts w:ascii="Arial" w:cs="Arial" w:eastAsia="Arial" w:hAnsi="Arial"/>
          <w:sz w:val="20"/>
          <w:szCs w:val="20"/>
        </w:rPr>
        <w:t xml:space="preserve">Video recording — video message recorded via device camera, uploaded to cloud storage with local cache download on iOS to address streaming limitations of the CDN layer.</w:t>
      </w:r>
    </w:p>
    <w:p>
      <w:pPr>
        <w:pStyle w:val="ListParagraph"/>
        <w:numPr>
          <w:ilvl w:val="0"/>
          <w:numId w:val="2"/>
        </w:numPr>
        <w:spacing w:after="40" w:before="40"/>
      </w:pPr>
      <w:r>
        <w:rPr>
          <w:rFonts w:ascii="Arial" w:cs="Arial" w:eastAsia="Arial" w:hAnsi="Arial"/>
          <w:sz w:val="20"/>
          <w:szCs w:val="20"/>
        </w:rPr>
        <w:t xml:space="preserve">Written message — text-based personal message composed within a parchment letter interface (described in 5.3).</w:t>
      </w:r>
    </w:p>
    <w:p>
      <w:pPr>
        <w:pStyle w:val="ListParagraph"/>
        <w:numPr>
          <w:ilvl w:val="0"/>
          <w:numId w:val="2"/>
        </w:numPr>
        <w:spacing w:after="40" w:before="40"/>
      </w:pPr>
      <w:r>
        <w:rPr>
          <w:rFonts w:ascii="Arial" w:cs="Arial" w:eastAsia="Arial" w:hAnsi="Arial"/>
          <w:sz w:val="20"/>
          <w:szCs w:val="20"/>
        </w:rPr>
        <w:t xml:space="preserve">Photo album — one or more photographs uploaded from device photo library or captured via camera, organised as a named collection with individual images stored under a common album identifier in cloud storage.</w:t>
      </w:r>
    </w:p>
    <w:p>
      <w:pPr>
        <w:spacing w:after="60" w:before="180"/>
      </w:pPr>
      <w:r>
        <w:rPr>
          <w:rFonts w:ascii="Arial" w:cs="Arial" w:eastAsia="Arial" w:hAnsi="Arial"/>
          <w:b/>
          <w:bCs/>
          <w:color w:val="2E4057"/>
          <w:sz w:val="22"/>
          <w:szCs w:val="22"/>
        </w:rPr>
        <w:t xml:space="preserve">5.3 Parchment Letter Interface — Novel Addition</w:t>
      </w:r>
    </w:p>
    <w:p>
      <w:pPr>
        <w:spacing w:after="120" w:before="60"/>
      </w:pPr>
      <w:r>
        <w:rPr>
          <w:rFonts w:ascii="Arial" w:cs="Arial" w:eastAsia="Arial" w:hAnsi="Arial"/>
          <w:sz w:val="20"/>
          <w:szCs w:val="20"/>
        </w:rPr>
        <w:t xml:space="preserve">Written messages are composed and rendered within a dedicated parchment letter interface that replicates the aesthetic of a handwritten letter on paper. The composition interface comprises: a cream/ivory gradient background; a serif typeface; a vertical red margin line; a gold letterhead with recipient name, italic date, and personal salutation; and an expandable text area with no character limit. The viewing interface presents received written messages within the same parchment letter rendering, creating a consistent and emotionally resonant experience for both sender and recipient. This interface constitutes a novel presentation layer for personal digital correspondence within a scheduled delivery system.</w:t>
      </w:r>
    </w:p>
    <w:p>
      <w:pPr>
        <w:spacing w:after="60" w:before="180"/>
      </w:pPr>
      <w:r>
        <w:rPr>
          <w:rFonts w:ascii="Arial" w:cs="Arial" w:eastAsia="Arial" w:hAnsi="Arial"/>
          <w:b/>
          <w:bCs/>
          <w:color w:val="2E4057"/>
          <w:sz w:val="22"/>
          <w:szCs w:val="22"/>
        </w:rPr>
        <w:t xml:space="preserve">5.4 Occasion Framework and Birthday Auto-Detection — Novel Addition</w:t>
      </w:r>
    </w:p>
    <w:p>
      <w:pPr>
        <w:spacing w:after="120" w:before="60"/>
      </w:pPr>
      <w:r>
        <w:rPr>
          <w:rFonts w:ascii="Arial" w:cs="Arial" w:eastAsia="Arial" w:hAnsi="Arial"/>
          <w:sz w:val="20"/>
          <w:szCs w:val="20"/>
        </w:rPr>
        <w:t xml:space="preserve">Memories are organised around occasions representing the meaningful events for which content is intended (e.g., Birthday, Anniversary, Graduation, Holiday, Just Because). The system maintains date-of-birth fields in family member records. The Application automatically detects upcoming birthdays by computing the number of days until each registered family member's next birthday and surfaces birthday-specific scheduling prompts in the home screen interface when a family member's birthday falls within a configurable window (default: 30 days).</w:t>
      </w:r>
    </w:p>
    <w:p>
      <w:pPr>
        <w:spacing w:after="120" w:before="60"/>
      </w:pPr>
      <w:r>
        <w:rPr>
          <w:rFonts w:ascii="Arial" w:cs="Arial" w:eastAsia="Arial" w:hAnsi="Arial"/>
          <w:sz w:val="20"/>
          <w:szCs w:val="20"/>
        </w:rPr>
        <w:t xml:space="preserve">These birthday-specific prompts are dynamically generated with the family member's first name and the precise days-until value, and are presented in a rotating carousel alongside other occasion-aware prompts. The carousel cycles on a timed interval and fades between prompts using animation. This constitutes a novel occasion-aware guidance system that surfaces personalised scheduling recommendations without explicit user input.</w:t>
      </w:r>
    </w:p>
    <w:p>
      <w:pPr>
        <w:spacing w:after="60" w:before="180"/>
      </w:pPr>
      <w:r>
        <w:rPr>
          <w:rFonts w:ascii="Arial" w:cs="Arial" w:eastAsia="Arial" w:hAnsi="Arial"/>
          <w:b/>
          <w:bCs/>
          <w:color w:val="2E4057"/>
          <w:sz w:val="22"/>
          <w:szCs w:val="22"/>
        </w:rPr>
        <w:t xml:space="preserve">5.5 Recipient Roles and Bidirectional Exchange — Novel Addition</w:t>
      </w:r>
    </w:p>
    <w:p>
      <w:pPr>
        <w:spacing w:after="120" w:before="60"/>
      </w:pPr>
      <w:r>
        <w:rPr>
          <w:rFonts w:ascii="Arial" w:cs="Arial" w:eastAsia="Arial" w:hAnsi="Arial"/>
          <w:sz w:val="20"/>
          <w:szCs w:val="20"/>
        </w:rPr>
        <w:t xml:space="preserve">The system supports two account role types: Sender (default, creates and schedules memories) and Recipient (invited by a Sender to receive memories). Upon accepting a Sender's family invitation and creating an account, a Recipient is automatically linked to the Sender's family member record via a recipient_profile_id field. The system further supports a "both" account type, in which a user who began as a Recipient also activates Sender capabilities.</w:t>
      </w:r>
    </w:p>
    <w:p>
      <w:pPr>
        <w:spacing w:after="120" w:before="60"/>
      </w:pPr>
      <w:r>
        <w:rPr>
          <w:rFonts w:ascii="Arial" w:cs="Arial" w:eastAsia="Arial" w:hAnsi="Arial"/>
          <w:sz w:val="20"/>
          <w:szCs w:val="20"/>
        </w:rPr>
        <w:t xml:space="preserve">Bidirectional exchange is enabled as follows: the Recipient's application automatically detects the Sender as a potential delivery target, creates a reciprocal family member record within the Recipient's account, and presents the Sender as an available recipient in the Recipient's memory scheduling interface. This enables the Recipient to create and schedule memories for delivery back to the original Sender without any additional configuration. The Recipient's Memories screen displays both outgoing scheduled memories and incoming received deliveries in a unified per-person card interface.</w:t>
      </w:r>
    </w:p>
    <w:p>
      <w:pPr>
        <w:spacing w:after="60" w:before="180"/>
      </w:pPr>
      <w:r>
        <w:rPr>
          <w:rFonts w:ascii="Arial" w:cs="Arial" w:eastAsia="Arial" w:hAnsi="Arial"/>
          <w:b/>
          <w:bCs/>
          <w:color w:val="2E4057"/>
          <w:sz w:val="22"/>
          <w:szCs w:val="22"/>
        </w:rPr>
        <w:t xml:space="preserve">5.6 Delivery Execution</w:t>
      </w:r>
    </w:p>
    <w:p>
      <w:pPr>
        <w:spacing w:after="120" w:before="60"/>
      </w:pPr>
      <w:r>
        <w:rPr>
          <w:rFonts w:ascii="Arial" w:cs="Arial" w:eastAsia="Arial" w:hAnsi="Arial"/>
          <w:sz w:val="20"/>
          <w:szCs w:val="20"/>
        </w:rPr>
        <w:t xml:space="preserve">The delivery execution layer runs daily, queries all memory records with delivery_date matching the current date and delivery_status of pending, and for each: retrieves content and recipient information; dispatches push notification and email; updates delivery_status to "delivered"; and for recurring memories, creates the next recurrence record.</w:t>
      </w:r>
    </w:p>
    <w:p>
      <w:pPr>
        <w:spacing w:after="60" w:before="180"/>
      </w:pPr>
      <w:r>
        <w:rPr>
          <w:rFonts w:ascii="Arial" w:cs="Arial" w:eastAsia="Arial" w:hAnsi="Arial"/>
          <w:b/>
          <w:bCs/>
          <w:color w:val="2E4057"/>
          <w:sz w:val="22"/>
          <w:szCs w:val="22"/>
        </w:rPr>
        <w:t xml:space="preserve">5.7 Web-Based Memory Viewer — Novel Addition</w:t>
      </w:r>
    </w:p>
    <w:p>
      <w:pPr>
        <w:spacing w:after="120" w:before="60"/>
      </w:pPr>
      <w:r>
        <w:rPr>
          <w:rFonts w:ascii="Arial" w:cs="Arial" w:eastAsia="Arial" w:hAnsi="Arial"/>
          <w:sz w:val="20"/>
          <w:szCs w:val="20"/>
        </w:rPr>
        <w:t xml:space="preserve">For Recipients who do not have the application installed, the email delivery contains a unique URL linking to a hosted web-based memory viewer ("web viewer") at a domain controlled by the system operator. The web viewer renders the memory content in a browser without requiring application download, account creation, or authentication. Access is controlled by a per-delivery unique token (web_access_token, UUID) stored in the delivery record. The web viewer supports all memory types: written message text, audio playback via HTML5 audio element, video playback via HTML5 video element, and photograph display. A view count field (web_view_count) is incremented on each web viewer access, providing the Sender with engagement data.</w:t>
      </w:r>
    </w:p>
    <w:p>
      <w:pPr>
        <w:spacing w:after="120" w:before="60"/>
      </w:pPr>
      <w:r>
        <w:rPr>
          <w:rFonts w:ascii="Arial" w:cs="Arial" w:eastAsia="Arial" w:hAnsi="Arial"/>
          <w:sz w:val="20"/>
          <w:szCs w:val="20"/>
        </w:rPr>
        <w:t xml:space="preserve">The web viewer includes a time capsule timeline display when the gap between the memory's creation date and delivery date is significant, showing the sender the recorded date and the delivery date with a human-readable interval label (e.g., "recorded 3 years ago — arriving today").</w:t>
      </w:r>
    </w:p>
    <w:p>
      <w:pPr>
        <w:spacing w:after="60" w:before="180"/>
      </w:pPr>
      <w:r>
        <w:rPr>
          <w:rFonts w:ascii="Arial" w:cs="Arial" w:eastAsia="Arial" w:hAnsi="Arial"/>
          <w:b/>
          <w:bCs/>
          <w:color w:val="2E4057"/>
          <w:sz w:val="22"/>
          <w:szCs w:val="22"/>
        </w:rPr>
        <w:t xml:space="preserve">5.8 Estate Planning Integration</w:t>
      </w:r>
    </w:p>
    <w:p>
      <w:pPr>
        <w:spacing w:after="120" w:before="60"/>
      </w:pPr>
      <w:r>
        <w:rPr>
          <w:rFonts w:ascii="Arial" w:cs="Arial" w:eastAsia="Arial" w:hAnsi="Arial"/>
          <w:sz w:val="20"/>
          <w:szCs w:val="20"/>
        </w:rPr>
        <w:t xml:space="preserve">The system includes an estate planning module for memories intended for delivery following the Sender's passing. These memories are held in a protected pending state, with release conditions including explicit activation by a designated trusted contact or estate administrator, or failure of a periodic check-in confirmation mechanism.</w:t>
      </w:r>
    </w:p>
    <w:p>
      <w:pPr>
        <w:pStyle w:val="Heading2"/>
        <w:spacing w:after="80" w:before="240"/>
      </w:pPr>
      <w:r>
        <w:rPr>
          <w:rFonts w:ascii="Arial" w:cs="Arial" w:eastAsia="Arial" w:hAnsi="Arial"/>
          <w:b/>
          <w:bCs/>
          <w:color w:val="1F3864"/>
          <w:sz w:val="24"/>
          <w:szCs w:val="24"/>
        </w:rPr>
        <w:t xml:space="preserve">6. Advantages</w:t>
      </w:r>
    </w:p>
    <w:p>
      <w:pPr>
        <w:pStyle w:val="ListParagraph"/>
        <w:numPr>
          <w:ilvl w:val="0"/>
          <w:numId w:val="2"/>
        </w:numPr>
        <w:spacing w:after="40" w:before="40"/>
      </w:pPr>
      <w:r>
        <w:rPr>
          <w:rFonts w:ascii="Arial" w:cs="Arial" w:eastAsia="Arial" w:hAnsi="Arial"/>
          <w:sz w:val="20"/>
          <w:szCs w:val="20"/>
        </w:rPr>
        <w:t xml:space="preserve">Time-independence: content created today is delivered precisely when intended.</w:t>
      </w:r>
    </w:p>
    <w:p>
      <w:pPr>
        <w:pStyle w:val="ListParagraph"/>
        <w:numPr>
          <w:ilvl w:val="0"/>
          <w:numId w:val="2"/>
        </w:numPr>
        <w:spacing w:after="40" w:before="40"/>
      </w:pPr>
      <w:r>
        <w:rPr>
          <w:rFonts w:ascii="Arial" w:cs="Arial" w:eastAsia="Arial" w:hAnsi="Arial"/>
          <w:sz w:val="20"/>
          <w:szCs w:val="20"/>
        </w:rPr>
        <w:t xml:space="preserve">Web viewer eliminates installation barrier for recipients.</w:t>
      </w:r>
    </w:p>
    <w:p>
      <w:pPr>
        <w:pStyle w:val="ListParagraph"/>
        <w:numPr>
          <w:ilvl w:val="0"/>
          <w:numId w:val="2"/>
        </w:numPr>
        <w:spacing w:after="40" w:before="40"/>
      </w:pPr>
      <w:r>
        <w:rPr>
          <w:rFonts w:ascii="Arial" w:cs="Arial" w:eastAsia="Arial" w:hAnsi="Arial"/>
          <w:sz w:val="20"/>
          <w:szCs w:val="20"/>
        </w:rPr>
        <w:t xml:space="preserve">Bidirectional exchange creates a reciprocal memory-sharing relationship between senders and recipients.</w:t>
      </w:r>
    </w:p>
    <w:p>
      <w:pPr>
        <w:pStyle w:val="ListParagraph"/>
        <w:numPr>
          <w:ilvl w:val="0"/>
          <w:numId w:val="2"/>
        </w:numPr>
        <w:spacing w:after="40" w:before="40"/>
      </w:pPr>
      <w:r>
        <w:rPr>
          <w:rFonts w:ascii="Arial" w:cs="Arial" w:eastAsia="Arial" w:hAnsi="Arial"/>
          <w:sz w:val="20"/>
          <w:szCs w:val="20"/>
        </w:rPr>
        <w:t xml:space="preserve">Birthday auto-detection surfaces personalised scheduling prompts without explicit user input.</w:t>
      </w:r>
    </w:p>
    <w:p>
      <w:pPr>
        <w:pStyle w:val="ListParagraph"/>
        <w:numPr>
          <w:ilvl w:val="0"/>
          <w:numId w:val="2"/>
        </w:numPr>
        <w:spacing w:after="40" w:before="40"/>
      </w:pPr>
      <w:r>
        <w:rPr>
          <w:rFonts w:ascii="Arial" w:cs="Arial" w:eastAsia="Arial" w:hAnsi="Arial"/>
          <w:sz w:val="20"/>
          <w:szCs w:val="20"/>
        </w:rPr>
        <w:t xml:space="preserve">Parchment letter interface provides emotionally resonant written message experience.</w:t>
      </w:r>
    </w:p>
    <w:p>
      <w:pPr>
        <w:pStyle w:val="ListParagraph"/>
        <w:numPr>
          <w:ilvl w:val="0"/>
          <w:numId w:val="2"/>
        </w:numPr>
        <w:spacing w:after="40" w:before="40"/>
      </w:pPr>
      <w:r>
        <w:rPr>
          <w:rFonts w:ascii="Arial" w:cs="Arial" w:eastAsia="Arial" w:hAnsi="Arial"/>
          <w:sz w:val="20"/>
          <w:szCs w:val="20"/>
        </w:rPr>
        <w:t xml:space="preserve">Multi-format richness: audio, video, written, and photo album types.</w:t>
      </w:r>
    </w:p>
    <w:p>
      <w:pPr>
        <w:pStyle w:val="ListParagraph"/>
        <w:numPr>
          <w:ilvl w:val="0"/>
          <w:numId w:val="2"/>
        </w:numPr>
        <w:spacing w:after="40" w:before="40"/>
      </w:pPr>
      <w:r>
        <w:rPr>
          <w:rFonts w:ascii="Arial" w:cs="Arial" w:eastAsia="Arial" w:hAnsi="Arial"/>
          <w:sz w:val="20"/>
          <w:szCs w:val="20"/>
        </w:rPr>
        <w:t xml:space="preserve">Occasion-aware organisation creates a structured personal archive.</w:t>
      </w:r>
    </w:p>
    <w:p>
      <w:pPr>
        <w:pStyle w:val="Heading2"/>
        <w:spacing w:after="80" w:before="240"/>
      </w:pPr>
      <w:r>
        <w:rPr>
          <w:rFonts w:ascii="Arial" w:cs="Arial" w:eastAsia="Arial" w:hAnsi="Arial"/>
          <w:b/>
          <w:bCs/>
          <w:color w:val="1F3864"/>
          <w:sz w:val="24"/>
          <w:szCs w:val="24"/>
        </w:rPr>
        <w:t xml:space="preserve">7. Brief Description of Drawings</w:t>
      </w:r>
    </w:p>
    <w:p>
      <w:pPr>
        <w:pStyle w:val="ListParagraph"/>
        <w:numPr>
          <w:ilvl w:val="0"/>
          <w:numId w:val="2"/>
        </w:numPr>
        <w:spacing w:after="40" w:before="40"/>
      </w:pPr>
      <w:r>
        <w:rPr>
          <w:rFonts w:ascii="Arial" w:cs="Arial" w:eastAsia="Arial" w:hAnsi="Arial"/>
          <w:sz w:val="20"/>
          <w:szCs w:val="20"/>
        </w:rPr>
        <w:t xml:space="preserve">Figure 7 — Memory type selection screen</w:t>
      </w:r>
    </w:p>
    <w:p>
      <w:pPr>
        <w:pStyle w:val="ListParagraph"/>
        <w:numPr>
          <w:ilvl w:val="0"/>
          <w:numId w:val="2"/>
        </w:numPr>
        <w:spacing w:after="40" w:before="40"/>
      </w:pPr>
      <w:r>
        <w:rPr>
          <w:rFonts w:ascii="Arial" w:cs="Arial" w:eastAsia="Arial" w:hAnsi="Arial"/>
          <w:sz w:val="20"/>
          <w:szCs w:val="20"/>
        </w:rPr>
        <w:t xml:space="preserve">Figure 8 — Parchment letter composition interface</w:t>
      </w:r>
    </w:p>
    <w:p>
      <w:pPr>
        <w:pStyle w:val="ListParagraph"/>
        <w:numPr>
          <w:ilvl w:val="0"/>
          <w:numId w:val="2"/>
        </w:numPr>
        <w:spacing w:after="40" w:before="40"/>
      </w:pPr>
      <w:r>
        <w:rPr>
          <w:rFonts w:ascii="Arial" w:cs="Arial" w:eastAsia="Arial" w:hAnsi="Arial"/>
          <w:sz w:val="20"/>
          <w:szCs w:val="20"/>
        </w:rPr>
        <w:t xml:space="preserve">Figure 9 — Occasion selection and delivery date picker</w:t>
      </w:r>
    </w:p>
    <w:p>
      <w:pPr>
        <w:pStyle w:val="ListParagraph"/>
        <w:numPr>
          <w:ilvl w:val="0"/>
          <w:numId w:val="2"/>
        </w:numPr>
        <w:spacing w:after="40" w:before="40"/>
      </w:pPr>
      <w:r>
        <w:rPr>
          <w:rFonts w:ascii="Arial" w:cs="Arial" w:eastAsia="Arial" w:hAnsi="Arial"/>
          <w:sz w:val="20"/>
          <w:szCs w:val="20"/>
        </w:rPr>
        <w:t xml:space="preserve">Figure 10 — Birthday nudge carousel on home screen</w:t>
      </w:r>
    </w:p>
    <w:p>
      <w:pPr>
        <w:pStyle w:val="ListParagraph"/>
        <w:numPr>
          <w:ilvl w:val="0"/>
          <w:numId w:val="2"/>
        </w:numPr>
        <w:spacing w:after="40" w:before="40"/>
      </w:pPr>
      <w:r>
        <w:rPr>
          <w:rFonts w:ascii="Arial" w:cs="Arial" w:eastAsia="Arial" w:hAnsi="Arial"/>
          <w:sz w:val="20"/>
          <w:szCs w:val="20"/>
        </w:rPr>
        <w:t xml:space="preserve">Figure 11 — Sender memory management showing scheduled and delivered memories</w:t>
      </w:r>
    </w:p>
    <w:p>
      <w:pPr>
        <w:pStyle w:val="ListParagraph"/>
        <w:numPr>
          <w:ilvl w:val="0"/>
          <w:numId w:val="2"/>
        </w:numPr>
        <w:spacing w:after="40" w:before="40"/>
      </w:pPr>
      <w:r>
        <w:rPr>
          <w:rFonts w:ascii="Arial" w:cs="Arial" w:eastAsia="Arial" w:hAnsi="Arial"/>
          <w:sz w:val="20"/>
          <w:szCs w:val="20"/>
        </w:rPr>
        <w:t xml:space="preserve">Figure 12 — Recipient unified memory view showing outgoing and incoming</w:t>
      </w:r>
    </w:p>
    <w:p>
      <w:pPr>
        <w:pStyle w:val="ListParagraph"/>
        <w:numPr>
          <w:ilvl w:val="0"/>
          <w:numId w:val="2"/>
        </w:numPr>
        <w:spacing w:after="40" w:before="40"/>
      </w:pPr>
      <w:r>
        <w:rPr>
          <w:rFonts w:ascii="Arial" w:cs="Arial" w:eastAsia="Arial" w:hAnsi="Arial"/>
          <w:sz w:val="20"/>
          <w:szCs w:val="20"/>
        </w:rPr>
        <w:t xml:space="preserve">Figure 13 — Web-based memory viewer with time capsule timeline</w:t>
      </w:r>
    </w:p>
    <w:p>
      <w:pPr>
        <w:pStyle w:val="ListParagraph"/>
        <w:numPr>
          <w:ilvl w:val="0"/>
          <w:numId w:val="2"/>
        </w:numPr>
        <w:spacing w:after="40" w:before="40"/>
      </w:pPr>
      <w:r>
        <w:rPr>
          <w:rFonts w:ascii="Arial" w:cs="Arial" w:eastAsia="Arial" w:hAnsi="Arial"/>
          <w:sz w:val="20"/>
          <w:szCs w:val="20"/>
        </w:rPr>
        <w:t xml:space="preserve">Figure 14 — System architecture: delivery execution and web viewer flow</w:t>
      </w:r>
    </w:p>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1F3864"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INVENTION III</w:t>
            </w:r>
          </w:p>
          <w:p>
            <w:pPr>
              <w:jc w:val="center"/>
            </w:pPr>
            <w:r>
              <w:rPr>
                <w:rFonts w:ascii="Arial" w:cs="Arial" w:eastAsia="Arial" w:hAnsi="Arial"/>
                <w:b/>
                <w:bCs/>
                <w:color w:val="FFD700"/>
                <w:sz w:val="24"/>
                <w:szCs w:val="24"/>
              </w:rPr>
              <w:t xml:space="preserve">ENCRYPTED PERSONAL LEGACY VAULT WITH CONTEXTUAL DOCUMENT CAPTURE AND CATEGORY-AWARE TEMPLATES</w:t>
            </w:r>
          </w:p>
        </w:tc>
      </w:tr>
    </w:tbl>
    <w:p>
      <w:pPr>
        <w:spacing w:after="80" w:before="80"/>
      </w:pPr>
      <w:r>
        <w:t xml:space="preserve"/>
      </w:r>
    </w:p>
    <w:p>
      <w:pPr>
        <w:pStyle w:val="Heading2"/>
        <w:spacing w:after="80" w:before="240"/>
      </w:pPr>
      <w:r>
        <w:rPr>
          <w:rFonts w:ascii="Arial" w:cs="Arial" w:eastAsia="Arial" w:hAnsi="Arial"/>
          <w:b/>
          <w:bCs/>
          <w:color w:val="1F3864"/>
          <w:sz w:val="24"/>
          <w:szCs w:val="24"/>
        </w:rPr>
        <w:t xml:space="preserve">1. Title of Invention</w:t>
      </w:r>
    </w:p>
    <w:p>
      <w:pPr>
        <w:spacing w:after="120" w:before="60"/>
      </w:pPr>
      <w:r>
        <w:rPr>
          <w:rFonts w:ascii="Arial" w:cs="Arial" w:eastAsia="Arial" w:hAnsi="Arial"/>
          <w:sz w:val="20"/>
          <w:szCs w:val="20"/>
        </w:rPr>
        <w:t xml:space="preserve">Encrypted Personal Legacy Vault System for Categorised Storage of Personal, Medical, Legal, Financial, and Digital Credential Information with Contextual Document Capture and Category-Aware Form Templates</w:t>
      </w:r>
    </w:p>
    <w:p>
      <w:pPr>
        <w:pStyle w:val="Heading2"/>
        <w:spacing w:after="80" w:before="240"/>
      </w:pPr>
      <w:r>
        <w:rPr>
          <w:rFonts w:ascii="Arial" w:cs="Arial" w:eastAsia="Arial" w:hAnsi="Arial"/>
          <w:b/>
          <w:bCs/>
          <w:color w:val="1F3864"/>
          <w:sz w:val="24"/>
          <w:szCs w:val="24"/>
        </w:rPr>
        <w:t xml:space="preserve">2. Field of the Invention</w:t>
      </w:r>
    </w:p>
    <w:p>
      <w:pPr>
        <w:spacing w:after="120" w:before="60"/>
      </w:pPr>
      <w:r>
        <w:rPr>
          <w:rFonts w:ascii="Arial" w:cs="Arial" w:eastAsia="Arial" w:hAnsi="Arial"/>
          <w:sz w:val="20"/>
          <w:szCs w:val="20"/>
        </w:rPr>
        <w:t xml:space="preserve">This invention relates to personal information management and digital legacy systems, and more particularly to a mobile application method and system for securely storing, organising, and preserving personal information across defined life categories using client-side AES-256 encryption, camera-based document capture, and dynamically generated form templates adapted to the specific document or credential type being stored.</w:t>
      </w:r>
    </w:p>
    <w:p>
      <w:pPr>
        <w:pStyle w:val="Heading2"/>
        <w:spacing w:after="80" w:before="240"/>
      </w:pPr>
      <w:r>
        <w:rPr>
          <w:rFonts w:ascii="Arial" w:cs="Arial" w:eastAsia="Arial" w:hAnsi="Arial"/>
          <w:b/>
          <w:bCs/>
          <w:color w:val="1F3864"/>
          <w:sz w:val="24"/>
          <w:szCs w:val="24"/>
        </w:rPr>
        <w:t xml:space="preserve">3. Background of the Invention</w:t>
      </w:r>
    </w:p>
    <w:p>
      <w:pPr>
        <w:spacing w:after="120" w:before="60"/>
      </w:pPr>
      <w:r>
        <w:rPr>
          <w:rFonts w:ascii="Arial" w:cs="Arial" w:eastAsia="Arial" w:hAnsi="Arial"/>
          <w:sz w:val="20"/>
          <w:szCs w:val="20"/>
        </w:rPr>
        <w:t xml:space="preserve">A significant gap exists between the personal information a person accumulates during their lifetime and the ability of their family or estate to locate, access, and act upon that information following incapacitation or death. Medical prescriptions, legal documents (wills, powers of attorney, trust documents), financial accounts, insurance policies, device passcodes, and digital account credentials are typically scattered across physical files, email inboxes, and various digital systems with no unified, secure, family-accessible repository.</w:t>
      </w:r>
    </w:p>
    <w:p>
      <w:pPr>
        <w:spacing w:after="120" w:before="60"/>
      </w:pPr>
      <w:r>
        <w:rPr>
          <w:rFonts w:ascii="Arial" w:cs="Arial" w:eastAsia="Arial" w:hAnsi="Arial"/>
          <w:sz w:val="20"/>
          <w:szCs w:val="20"/>
        </w:rPr>
        <w:t xml:space="preserve">Existing password managers store only digital credentials and are not designed for the broader personal information lifecycle. Document scanning apps capture images but provide no contextual organisation or structured metadata. Estate planning software is typically web-based, not optimised for mobile use by older adults, and does not provide the specific document-type-aware templates required for efficient data entry by non-professional users.</w:t>
      </w:r>
    </w:p>
    <w:p>
      <w:pPr>
        <w:spacing w:after="120" w:before="60"/>
      </w:pPr>
      <w:r>
        <w:rPr>
          <w:rFonts w:ascii="Arial" w:cs="Arial" w:eastAsia="Arial" w:hAnsi="Arial"/>
          <w:sz w:val="20"/>
          <w:szCs w:val="20"/>
        </w:rPr>
        <w:t xml:space="preserve">No prior art provides a unified, encrypted, mobile-first personal vault system with: category-aware form templates that adapt their field labels and placeholders to the specific document type; integrated camera-based document capture within the context of a specific vault item; and a design approach explicitly optimised for older adult users.</w:t>
      </w:r>
    </w:p>
    <w:p>
      <w:pPr>
        <w:pStyle w:val="Heading2"/>
        <w:spacing w:after="80" w:before="240"/>
      </w:pPr>
      <w:r>
        <w:rPr>
          <w:rFonts w:ascii="Arial" w:cs="Arial" w:eastAsia="Arial" w:hAnsi="Arial"/>
          <w:b/>
          <w:bCs/>
          <w:color w:val="1F3864"/>
          <w:sz w:val="24"/>
          <w:szCs w:val="24"/>
        </w:rPr>
        <w:t xml:space="preserve">4. Summary of the Invention</w:t>
      </w:r>
    </w:p>
    <w:p>
      <w:pPr>
        <w:spacing w:after="120" w:before="60"/>
      </w:pPr>
      <w:r>
        <w:rPr>
          <w:rFonts w:ascii="Arial" w:cs="Arial" w:eastAsia="Arial" w:hAnsi="Arial"/>
          <w:sz w:val="20"/>
          <w:szCs w:val="20"/>
        </w:rPr>
        <w:t xml:space="preserve">The present invention provides a mobile application vault system ("Vault") that enables a user to store personal information across defined categories using encrypted structured records and optionally attached media files. The Vault presents category-specific form templates with dynamically adapted field labels, input keyboards, and placeholder text based on the document type selected. The system supports camera-based capture of physical documents within the context of a specific vault item. All sensitive field values are encrypted using AES-256-GCM before transmission to the Backend, and are decrypted client-side upon retrieval.</w:t>
      </w:r>
    </w:p>
    <w:p>
      <w:pPr>
        <w:pStyle w:val="Heading2"/>
        <w:spacing w:after="80" w:before="240"/>
      </w:pPr>
      <w:r>
        <w:rPr>
          <w:rFonts w:ascii="Arial" w:cs="Arial" w:eastAsia="Arial" w:hAnsi="Arial"/>
          <w:b/>
          <w:bCs/>
          <w:color w:val="1F3864"/>
          <w:sz w:val="24"/>
          <w:szCs w:val="24"/>
        </w:rPr>
        <w:t xml:space="preserve">5. Detailed Description</w:t>
      </w:r>
    </w:p>
    <w:p>
      <w:pPr>
        <w:spacing w:after="60" w:before="180"/>
      </w:pPr>
      <w:r>
        <w:rPr>
          <w:rFonts w:ascii="Arial" w:cs="Arial" w:eastAsia="Arial" w:hAnsi="Arial"/>
          <w:b/>
          <w:bCs/>
          <w:color w:val="2E4057"/>
          <w:sz w:val="22"/>
          <w:szCs w:val="22"/>
        </w:rPr>
        <w:t xml:space="preserve">5.1 System Architecture</w:t>
      </w:r>
    </w:p>
    <w:p>
      <w:pPr>
        <w:spacing w:after="120" w:before="60"/>
      </w:pPr>
      <w:r>
        <w:rPr>
          <w:rFonts w:ascii="Arial" w:cs="Arial" w:eastAsia="Arial" w:hAnsi="Arial"/>
          <w:sz w:val="20"/>
          <w:szCs w:val="20"/>
        </w:rPr>
        <w:t xml:space="preserve">The Vault comprises a mobile application interface, a cloud Backend storing vault item records and associated media assets in an access-controlled cloud storage bucket, and a client-side encryption library. Row-level security on the Backend restricts vault item access to the authenticated account owner exclusively.</w:t>
      </w:r>
    </w:p>
    <w:p>
      <w:pPr>
        <w:spacing w:after="60" w:before="180"/>
      </w:pPr>
      <w:r>
        <w:rPr>
          <w:rFonts w:ascii="Arial" w:cs="Arial" w:eastAsia="Arial" w:hAnsi="Arial"/>
          <w:b/>
          <w:bCs/>
          <w:color w:val="2E4057"/>
          <w:sz w:val="22"/>
          <w:szCs w:val="22"/>
        </w:rPr>
        <w:t xml:space="preserve">5.2 Vault Categories</w:t>
      </w:r>
    </w:p>
    <w:p>
      <w:pPr>
        <w:spacing w:after="120" w:before="60"/>
      </w:pPr>
      <w:r>
        <w:rPr>
          <w:rFonts w:ascii="Arial" w:cs="Arial" w:eastAsia="Arial" w:hAnsi="Arial"/>
          <w:sz w:val="20"/>
          <w:szCs w:val="20"/>
        </w:rPr>
        <w:t xml:space="preserve">The Vault organises information into the following predefined categories:</w:t>
      </w:r>
    </w:p>
    <w:p>
      <w:pPr>
        <w:pStyle w:val="ListParagraph"/>
        <w:numPr>
          <w:ilvl w:val="0"/>
          <w:numId w:val="2"/>
        </w:numPr>
        <w:spacing w:after="40" w:before="40"/>
      </w:pPr>
      <w:r>
        <w:rPr>
          <w:rFonts w:ascii="Arial" w:cs="Arial" w:eastAsia="Arial" w:hAnsi="Arial"/>
          <w:sz w:val="20"/>
          <w:szCs w:val="20"/>
        </w:rPr>
        <w:t xml:space="preserve">Medical — medical records, prescriptions, doctor contacts, allergies, healthcare directives</w:t>
      </w:r>
    </w:p>
    <w:p>
      <w:pPr>
        <w:pStyle w:val="ListParagraph"/>
        <w:numPr>
          <w:ilvl w:val="0"/>
          <w:numId w:val="2"/>
        </w:numPr>
        <w:spacing w:after="40" w:before="40"/>
      </w:pPr>
      <w:r>
        <w:rPr>
          <w:rFonts w:ascii="Arial" w:cs="Arial" w:eastAsia="Arial" w:hAnsi="Arial"/>
          <w:sz w:val="20"/>
          <w:szCs w:val="20"/>
        </w:rPr>
        <w:t xml:space="preserve">Legal — wills, powers of attorney, trust documents, beneficiary forms, other legal documents</w:t>
      </w:r>
    </w:p>
    <w:p>
      <w:pPr>
        <w:pStyle w:val="ListParagraph"/>
        <w:numPr>
          <w:ilvl w:val="0"/>
          <w:numId w:val="2"/>
        </w:numPr>
        <w:spacing w:after="40" w:before="40"/>
      </w:pPr>
      <w:r>
        <w:rPr>
          <w:rFonts w:ascii="Arial" w:cs="Arial" w:eastAsia="Arial" w:hAnsi="Arial"/>
          <w:sz w:val="20"/>
          <w:szCs w:val="20"/>
        </w:rPr>
        <w:t xml:space="preserve">Financial — bank accounts, investments, insurance policies, pensions, beneficiary designations, credit and debt</w:t>
      </w:r>
    </w:p>
    <w:p>
      <w:pPr>
        <w:pStyle w:val="ListParagraph"/>
        <w:numPr>
          <w:ilvl w:val="0"/>
          <w:numId w:val="2"/>
        </w:numPr>
        <w:spacing w:after="40" w:before="40"/>
      </w:pPr>
      <w:r>
        <w:rPr>
          <w:rFonts w:ascii="Arial" w:cs="Arial" w:eastAsia="Arial" w:hAnsi="Arial"/>
          <w:sz w:val="20"/>
          <w:szCs w:val="20"/>
        </w:rPr>
        <w:t xml:space="preserve">Passwords — social media accounts, email accounts, streaming services, shopping accounts, government portals, device PINs, other digital credentials</w:t>
      </w:r>
    </w:p>
    <w:p>
      <w:pPr>
        <w:pStyle w:val="ListParagraph"/>
        <w:numPr>
          <w:ilvl w:val="0"/>
          <w:numId w:val="2"/>
        </w:numPr>
        <w:spacing w:after="40" w:before="40"/>
      </w:pPr>
      <w:r>
        <w:rPr>
          <w:rFonts w:ascii="Arial" w:cs="Arial" w:eastAsia="Arial" w:hAnsi="Arial"/>
          <w:sz w:val="20"/>
          <w:szCs w:val="20"/>
        </w:rPr>
        <w:t xml:space="preserve">Property — deeds, titles, mortgages, and other property-related documents</w:t>
      </w:r>
    </w:p>
    <w:p>
      <w:pPr>
        <w:pStyle w:val="ListParagraph"/>
        <w:numPr>
          <w:ilvl w:val="0"/>
          <w:numId w:val="2"/>
        </w:numPr>
        <w:spacing w:after="40" w:before="40"/>
      </w:pPr>
      <w:r>
        <w:rPr>
          <w:rFonts w:ascii="Arial" w:cs="Arial" w:eastAsia="Arial" w:hAnsi="Arial"/>
          <w:sz w:val="20"/>
          <w:szCs w:val="20"/>
        </w:rPr>
        <w:t xml:space="preserve">Personal Messages — letters and video messages</w:t>
      </w:r>
    </w:p>
    <w:p>
      <w:pPr>
        <w:pStyle w:val="ListParagraph"/>
        <w:numPr>
          <w:ilvl w:val="0"/>
          <w:numId w:val="2"/>
        </w:numPr>
        <w:spacing w:after="40" w:before="40"/>
      </w:pPr>
      <w:r>
        <w:rPr>
          <w:rFonts w:ascii="Arial" w:cs="Arial" w:eastAsia="Arial" w:hAnsi="Arial"/>
          <w:sz w:val="20"/>
          <w:szCs w:val="20"/>
        </w:rPr>
        <w:t xml:space="preserve">Precious Media — highest-significance photographs and moments designated for family preservation</w:t>
      </w:r>
    </w:p>
    <w:p>
      <w:pPr>
        <w:spacing w:after="120" w:before="60"/>
      </w:pPr>
      <w:r>
        <w:rPr>
          <w:rFonts w:ascii="Arial" w:cs="Arial" w:eastAsia="Arial" w:hAnsi="Arial"/>
          <w:sz w:val="20"/>
          <w:szCs w:val="20"/>
        </w:rPr>
        <w:t xml:space="preserve">The Vault landing screen presents these categories as interactive tiles with animated accent effects, displaying item counts per category. Selecting a category navigates to a filtered item list for that category.</w:t>
      </w:r>
    </w:p>
    <w:p>
      <w:pPr>
        <w:spacing w:after="60" w:before="180"/>
      </w:pPr>
      <w:r>
        <w:rPr>
          <w:rFonts w:ascii="Arial" w:cs="Arial" w:eastAsia="Arial" w:hAnsi="Arial"/>
          <w:b/>
          <w:bCs/>
          <w:color w:val="2E4057"/>
          <w:sz w:val="22"/>
          <w:szCs w:val="22"/>
        </w:rPr>
        <w:t xml:space="preserve">5.3 Category-Aware Document Type Templates — Novel Addition</w:t>
      </w:r>
    </w:p>
    <w:p>
      <w:pPr>
        <w:spacing w:after="120" w:before="60"/>
      </w:pPr>
      <w:r>
        <w:rPr>
          <w:rFonts w:ascii="Arial" w:cs="Arial" w:eastAsia="Arial" w:hAnsi="Arial"/>
          <w:sz w:val="20"/>
          <w:szCs w:val="20"/>
        </w:rPr>
        <w:t xml:space="preserve">Within each category, the Vault further classifies items by document type. Each document type is associated with a type definition record comprising adapted field labels, title placeholder text, and notes placeholder text specific to that document type. The document type definitions for each category are:</w:t>
      </w:r>
    </w:p>
    <w:p>
      <w:pPr>
        <w:spacing w:after="120" w:before="60"/>
      </w:pPr>
      <w:r>
        <w:rPr>
          <w:rFonts w:ascii="Arial" w:cs="Arial" w:eastAsia="Arial" w:hAnsi="Arial"/>
          <w:sz w:val="20"/>
          <w:szCs w:val="20"/>
        </w:rPr>
        <w:t xml:space="preserve">Medical category types: Medical Record, Prescription, Doctor Contact, Allergy, Directive. For the Prescription type specifically, field labels are adapted to: Medication name (title), Dosage (secondary field), Prescribing doctor (tertiary field), and a notes field with pharmacy/refill date/frequency guidance.</w:t>
      </w:r>
    </w:p>
    <w:p>
      <w:pPr>
        <w:spacing w:after="120" w:before="60"/>
      </w:pPr>
      <w:r>
        <w:rPr>
          <w:rFonts w:ascii="Arial" w:cs="Arial" w:eastAsia="Arial" w:hAnsi="Arial"/>
          <w:sz w:val="20"/>
          <w:szCs w:val="20"/>
        </w:rPr>
        <w:t xml:space="preserve">Legal category types: Will, Power of Attorney, Trust, Other Document. Field labels adapt to the lawyer or trustee name, relevant contact information, and notes guidance specific to each document type (e.g., executor name and notarization details for Will; scope of authority and expiry for Power of Attorney).</w:t>
      </w:r>
    </w:p>
    <w:p>
      <w:pPr>
        <w:spacing w:after="120" w:before="60"/>
      </w:pPr>
      <w:r>
        <w:rPr>
          <w:rFonts w:ascii="Arial" w:cs="Arial" w:eastAsia="Arial" w:hAnsi="Arial"/>
          <w:sz w:val="20"/>
          <w:szCs w:val="20"/>
        </w:rPr>
        <w:t xml:space="preserve">Financial category types: Bank Account, Investment, Insurance, Pension/CPP, Beneficiary, Credit/Debt. Fields adapt to institution name, account or policy number (stored encrypted), and type-specific notes guidance including contact phone.</w:t>
      </w:r>
    </w:p>
    <w:p>
      <w:pPr>
        <w:spacing w:after="120" w:before="60"/>
      </w:pPr>
      <w:r>
        <w:rPr>
          <w:rFonts w:ascii="Arial" w:cs="Arial" w:eastAsia="Arial" w:hAnsi="Arial"/>
          <w:sz w:val="20"/>
          <w:szCs w:val="20"/>
        </w:rPr>
        <w:t xml:space="preserve">Password category types: Social Media, Email, Streaming, Shopping, Gov/Health, Device/PIN, Other Login. Field labels adapt the username field description (e.g., "Email address" for email accounts, "Username or SIN" for government portals, "Device ID/username" for device PINs). The password input keyboard type adapts between email-address and default based on account type. The Device/PIN type relabels the password field as "PIN/Passcode."</w:t>
      </w:r>
    </w:p>
    <w:p>
      <w:pPr>
        <w:spacing w:after="120" w:before="60"/>
      </w:pPr>
      <w:r>
        <w:rPr>
          <w:rFonts w:ascii="Arial" w:cs="Arial" w:eastAsia="Arial" w:hAnsi="Arial"/>
          <w:sz w:val="20"/>
          <w:szCs w:val="20"/>
        </w:rPr>
        <w:t xml:space="preserve">The document type selection is presented as a horizontally wrappable pill picker at the top of the entry form. The modal title updates dynamically to reflect the selected document type (e.g., "Prescription Information," "Power of Attorney," "Bank Account"). This adaptive template system reduces data entry friction and surfaces contextually appropriate guidance without requiring the user to know what fields are relevant for a given document type.</w:t>
      </w:r>
    </w:p>
    <w:p>
      <w:pPr>
        <w:spacing w:after="60" w:before="180"/>
      </w:pPr>
      <w:r>
        <w:rPr>
          <w:rFonts w:ascii="Arial" w:cs="Arial" w:eastAsia="Arial" w:hAnsi="Arial"/>
          <w:b/>
          <w:bCs/>
          <w:color w:val="2E4057"/>
          <w:sz w:val="22"/>
          <w:szCs w:val="22"/>
        </w:rPr>
        <w:t xml:space="preserve">5.4 Camera-Based Document Capture — Novel Addition</w:t>
      </w:r>
    </w:p>
    <w:p>
      <w:pPr>
        <w:spacing w:after="120" w:before="60"/>
      </w:pPr>
      <w:r>
        <w:rPr>
          <w:rFonts w:ascii="Arial" w:cs="Arial" w:eastAsia="Arial" w:hAnsi="Arial"/>
          <w:sz w:val="20"/>
          <w:szCs w:val="20"/>
        </w:rPr>
        <w:t xml:space="preserve">For document types where a physical original exists, the Vault presents an inline camera capture interface within the vault item entry form. Specifically:</w:t>
      </w:r>
    </w:p>
    <w:p>
      <w:pPr>
        <w:pStyle w:val="ListParagraph"/>
        <w:numPr>
          <w:ilvl w:val="0"/>
          <w:numId w:val="2"/>
        </w:numPr>
        <w:spacing w:after="40" w:before="40"/>
      </w:pPr>
      <w:r>
        <w:rPr>
          <w:rFonts w:ascii="Arial" w:cs="Arial" w:eastAsia="Arial" w:hAnsi="Arial"/>
          <w:sz w:val="20"/>
          <w:szCs w:val="20"/>
        </w:rPr>
        <w:t xml:space="preserve">Medical / Prescription type: "Take Photo" and "Choose Photo" buttons enable capture of a medication bottle label or prescription slip. The captured image is stored as the vault item's attached file and displayed as a thumbnail preview within the form before saving.</w:t>
      </w:r>
    </w:p>
    <w:p>
      <w:pPr>
        <w:pStyle w:val="ListParagraph"/>
        <w:numPr>
          <w:ilvl w:val="0"/>
          <w:numId w:val="2"/>
        </w:numPr>
        <w:spacing w:after="40" w:before="40"/>
      </w:pPr>
      <w:r>
        <w:rPr>
          <w:rFonts w:ascii="Arial" w:cs="Arial" w:eastAsia="Arial" w:hAnsi="Arial"/>
          <w:sz w:val="20"/>
          <w:szCs w:val="20"/>
        </w:rPr>
        <w:t xml:space="preserve">Legal document types: a "Scan with Camera" button enables capture of a signed paper document. The captured image is stored as the vault item's attached file.</w:t>
      </w:r>
    </w:p>
    <w:p>
      <w:pPr>
        <w:pStyle w:val="ListParagraph"/>
        <w:numPr>
          <w:ilvl w:val="0"/>
          <w:numId w:val="2"/>
        </w:numPr>
        <w:spacing w:after="40" w:before="40"/>
      </w:pPr>
      <w:r>
        <w:rPr>
          <w:rFonts w:ascii="Arial" w:cs="Arial" w:eastAsia="Arial" w:hAnsi="Arial"/>
          <w:sz w:val="20"/>
          <w:szCs w:val="20"/>
        </w:rPr>
        <w:t xml:space="preserve">Financial document types: a "Scan with Camera" button enables capture of a bank statement, insurance card, or policy letter.</w:t>
      </w:r>
    </w:p>
    <w:p>
      <w:pPr>
        <w:spacing w:after="120" w:before="60"/>
      </w:pPr>
      <w:r>
        <w:rPr>
          <w:rFonts w:ascii="Arial" w:cs="Arial" w:eastAsia="Arial" w:hAnsi="Arial"/>
          <w:sz w:val="20"/>
          <w:szCs w:val="20"/>
        </w:rPr>
        <w:t xml:space="preserve">Camera capture uses the device's native camera via the application's image picker library. The captured image is normalized to a consistent file object format and stored in cloud object storage via the same upload pathway as other vault file attachments. The camera interface requests appropriate device permissions with contextually specific permission request strings explaining the purpose of camera access.</w:t>
      </w:r>
    </w:p>
    <w:p>
      <w:pPr>
        <w:spacing w:after="120" w:before="60"/>
      </w:pPr>
      <w:r>
        <w:rPr>
          <w:rFonts w:ascii="Arial" w:cs="Arial" w:eastAsia="Arial" w:hAnsi="Arial"/>
          <w:sz w:val="20"/>
          <w:szCs w:val="20"/>
        </w:rPr>
        <w:t xml:space="preserve">The inline camera capture within a structured vault record entry form — where the camera is invoked in the specific context of a prescription, legal document, or financial statement being stored — constitutes a novel integration of document capture within a category-aware personal information management system.</w:t>
      </w:r>
    </w:p>
    <w:p>
      <w:pPr>
        <w:spacing w:after="60" w:before="180"/>
      </w:pPr>
      <w:r>
        <w:rPr>
          <w:rFonts w:ascii="Arial" w:cs="Arial" w:eastAsia="Arial" w:hAnsi="Arial"/>
          <w:b/>
          <w:bCs/>
          <w:color w:val="2E4057"/>
          <w:sz w:val="22"/>
          <w:szCs w:val="22"/>
        </w:rPr>
        <w:t xml:space="preserve">5.5 AES-256-GCM Client-Side Encryption</w:t>
      </w:r>
    </w:p>
    <w:p>
      <w:pPr>
        <w:spacing w:after="120" w:before="60"/>
      </w:pPr>
      <w:r>
        <w:rPr>
          <w:rFonts w:ascii="Arial" w:cs="Arial" w:eastAsia="Arial" w:hAnsi="Arial"/>
          <w:sz w:val="20"/>
          <w:szCs w:val="20"/>
        </w:rPr>
        <w:t xml:space="preserve">Sensitive vault item fields are encrypted on the client device before transmission to the Backend. Specifically, the password/credential field, account number field, and notes content field are encrypted using AES-256-GCM with a key derived from the authenticated user's session. Encrypted values are stored as ciphertext in the Backend database. Decryption occurs client-side upon retrieval of vault items, ensuring that the Backend stores only ciphertext for sensitive fields and cannot access plaintext values without the user's active session.</w:t>
      </w:r>
    </w:p>
    <w:p>
      <w:pPr>
        <w:spacing w:after="60" w:before="180"/>
      </w:pPr>
      <w:r>
        <w:rPr>
          <w:rFonts w:ascii="Arial" w:cs="Arial" w:eastAsia="Arial" w:hAnsi="Arial"/>
          <w:b/>
          <w:bCs/>
          <w:color w:val="2E4057"/>
          <w:sz w:val="22"/>
          <w:szCs w:val="22"/>
        </w:rPr>
        <w:t xml:space="preserve">5.6 File Attachment System</w:t>
      </w:r>
    </w:p>
    <w:p>
      <w:pPr>
        <w:spacing w:after="120" w:before="60"/>
      </w:pPr>
      <w:r>
        <w:rPr>
          <w:rFonts w:ascii="Arial" w:cs="Arial" w:eastAsia="Arial" w:hAnsi="Arial"/>
          <w:sz w:val="20"/>
          <w:szCs w:val="20"/>
        </w:rPr>
        <w:t xml:space="preserve">Each vault item may have one associated file attachment (document scan, photograph, PDF, or other file type). Attachments are stored in a dedicated cloud storage bucket ("vault-files") under a path comprising the user's identifier and a timestamped filename. File metadata (name, size, MIME type, storage path) is stored in the vault item record. On retrieval, time-limited signed URLs are generated for attachment access. The attachment system supports document picker (for PDF and document files) and camera capture (for physical document scanning) as input methods.</w:t>
      </w:r>
    </w:p>
    <w:p>
      <w:pPr>
        <w:spacing w:after="60" w:before="180"/>
      </w:pPr>
      <w:r>
        <w:rPr>
          <w:rFonts w:ascii="Arial" w:cs="Arial" w:eastAsia="Arial" w:hAnsi="Arial"/>
          <w:b/>
          <w:bCs/>
          <w:color w:val="2E4057"/>
          <w:sz w:val="22"/>
          <w:szCs w:val="22"/>
        </w:rPr>
        <w:t xml:space="preserve">5.7 Vault Item Management</w:t>
      </w:r>
    </w:p>
    <w:p>
      <w:pPr>
        <w:spacing w:after="120" w:before="60"/>
      </w:pPr>
      <w:r>
        <w:rPr>
          <w:rFonts w:ascii="Arial" w:cs="Arial" w:eastAsia="Arial" w:hAnsi="Arial"/>
          <w:sz w:val="20"/>
          <w:szCs w:val="20"/>
        </w:rPr>
        <w:t xml:space="preserve">The user may create, view, edit, and delete vault items at any time. The item list within each category displays the item title, category icon, a credential-saved indicator where applicable, and attached file indicator. The entry and edit forms share a common modal interface with a minimum height reservation ensuring consistent modal dimensions across document types of varying form length.</w:t>
      </w:r>
    </w:p>
    <w:p>
      <w:pPr>
        <w:spacing w:after="60" w:before="180"/>
      </w:pPr>
      <w:r>
        <w:rPr>
          <w:rFonts w:ascii="Arial" w:cs="Arial" w:eastAsia="Arial" w:hAnsi="Arial"/>
          <w:b/>
          <w:bCs/>
          <w:color w:val="2E4057"/>
          <w:sz w:val="22"/>
          <w:szCs w:val="22"/>
        </w:rPr>
        <w:t xml:space="preserve">5.8 Precious Media Category</w:t>
      </w:r>
    </w:p>
    <w:p>
      <w:pPr>
        <w:spacing w:after="120" w:before="60"/>
      </w:pPr>
      <w:r>
        <w:rPr>
          <w:rFonts w:ascii="Arial" w:cs="Arial" w:eastAsia="Arial" w:hAnsi="Arial"/>
          <w:sz w:val="20"/>
          <w:szCs w:val="20"/>
        </w:rPr>
        <w:t xml:space="preserve">The Precious Media category functions as a high-significance photograph archive distinct from the general device photo library. Users add photographs from their device library or via camera capture. Photos are displayed in a grid layout within the Vault. This category is designed to help family members identify the most significant photographs from the user's life following their passing, reducing the burden of sorting through undifferentiated photo libraries.</w:t>
      </w:r>
    </w:p>
    <w:p>
      <w:pPr>
        <w:pStyle w:val="Heading2"/>
        <w:spacing w:after="80" w:before="240"/>
      </w:pPr>
      <w:r>
        <w:rPr>
          <w:rFonts w:ascii="Arial" w:cs="Arial" w:eastAsia="Arial" w:hAnsi="Arial"/>
          <w:b/>
          <w:bCs/>
          <w:color w:val="1F3864"/>
          <w:sz w:val="24"/>
          <w:szCs w:val="24"/>
        </w:rPr>
        <w:t xml:space="preserve">6. Advantages</w:t>
      </w:r>
    </w:p>
    <w:p>
      <w:pPr>
        <w:pStyle w:val="ListParagraph"/>
        <w:numPr>
          <w:ilvl w:val="0"/>
          <w:numId w:val="2"/>
        </w:numPr>
        <w:spacing w:after="40" w:before="40"/>
      </w:pPr>
      <w:r>
        <w:rPr>
          <w:rFonts w:ascii="Arial" w:cs="Arial" w:eastAsia="Arial" w:hAnsi="Arial"/>
          <w:sz w:val="20"/>
          <w:szCs w:val="20"/>
        </w:rPr>
        <w:t xml:space="preserve">Unified repository eliminates information scatter across physical files and digital systems.</w:t>
      </w:r>
    </w:p>
    <w:p>
      <w:pPr>
        <w:pStyle w:val="ListParagraph"/>
        <w:numPr>
          <w:ilvl w:val="0"/>
          <w:numId w:val="2"/>
        </w:numPr>
        <w:spacing w:after="40" w:before="40"/>
      </w:pPr>
      <w:r>
        <w:rPr>
          <w:rFonts w:ascii="Arial" w:cs="Arial" w:eastAsia="Arial" w:hAnsi="Arial"/>
          <w:sz w:val="20"/>
          <w:szCs w:val="20"/>
        </w:rPr>
        <w:t xml:space="preserve">Category-aware templates reduce data entry friction and guide users to record contextually relevant information without professional knowledge of document types.</w:t>
      </w:r>
    </w:p>
    <w:p>
      <w:pPr>
        <w:pStyle w:val="ListParagraph"/>
        <w:numPr>
          <w:ilvl w:val="0"/>
          <w:numId w:val="2"/>
        </w:numPr>
        <w:spacing w:after="40" w:before="40"/>
      </w:pPr>
      <w:r>
        <w:rPr>
          <w:rFonts w:ascii="Arial" w:cs="Arial" w:eastAsia="Arial" w:hAnsi="Arial"/>
          <w:sz w:val="20"/>
          <w:szCs w:val="20"/>
        </w:rPr>
        <w:t xml:space="preserve">Inline camera capture in document context enables efficient digitization of physical documents at the point of vault entry.</w:t>
      </w:r>
    </w:p>
    <w:p>
      <w:pPr>
        <w:pStyle w:val="ListParagraph"/>
        <w:numPr>
          <w:ilvl w:val="0"/>
          <w:numId w:val="2"/>
        </w:numPr>
        <w:spacing w:after="40" w:before="40"/>
      </w:pPr>
      <w:r>
        <w:rPr>
          <w:rFonts w:ascii="Arial" w:cs="Arial" w:eastAsia="Arial" w:hAnsi="Arial"/>
          <w:sz w:val="20"/>
          <w:szCs w:val="20"/>
        </w:rPr>
        <w:t xml:space="preserve">AES-256-GCM client-side encryption ensures sensitive fields cannot be read from the Backend without the user's active session.</w:t>
      </w:r>
    </w:p>
    <w:p>
      <w:pPr>
        <w:pStyle w:val="ListParagraph"/>
        <w:numPr>
          <w:ilvl w:val="0"/>
          <w:numId w:val="2"/>
        </w:numPr>
        <w:spacing w:after="40" w:before="40"/>
      </w:pPr>
      <w:r>
        <w:rPr>
          <w:rFonts w:ascii="Arial" w:cs="Arial" w:eastAsia="Arial" w:hAnsi="Arial"/>
          <w:sz w:val="20"/>
          <w:szCs w:val="20"/>
        </w:rPr>
        <w:t xml:space="preserve">Accessibility-first design with enlarged tap targets, high-contrast typography, and simplified navigation for older adult users.</w:t>
      </w:r>
    </w:p>
    <w:p>
      <w:pPr>
        <w:pStyle w:val="ListParagraph"/>
        <w:numPr>
          <w:ilvl w:val="0"/>
          <w:numId w:val="2"/>
        </w:numPr>
        <w:spacing w:after="40" w:before="40"/>
      </w:pPr>
      <w:r>
        <w:rPr>
          <w:rFonts w:ascii="Arial" w:cs="Arial" w:eastAsia="Arial" w:hAnsi="Arial"/>
          <w:sz w:val="20"/>
          <w:szCs w:val="20"/>
        </w:rPr>
        <w:t xml:space="preserve">Legacy-oriented organisation — the vault is explicitly designed to be accessible and comprehensible to family members following the user's passing.</w:t>
      </w:r>
    </w:p>
    <w:p>
      <w:pPr>
        <w:pStyle w:val="Heading2"/>
        <w:spacing w:after="80" w:before="240"/>
      </w:pPr>
      <w:r>
        <w:rPr>
          <w:rFonts w:ascii="Arial" w:cs="Arial" w:eastAsia="Arial" w:hAnsi="Arial"/>
          <w:b/>
          <w:bCs/>
          <w:color w:val="1F3864"/>
          <w:sz w:val="24"/>
          <w:szCs w:val="24"/>
        </w:rPr>
        <w:t xml:space="preserve">7. Brief Description of Drawings</w:t>
      </w:r>
    </w:p>
    <w:p>
      <w:pPr>
        <w:pStyle w:val="ListParagraph"/>
        <w:numPr>
          <w:ilvl w:val="0"/>
          <w:numId w:val="2"/>
        </w:numPr>
        <w:spacing w:after="40" w:before="40"/>
      </w:pPr>
      <w:r>
        <w:rPr>
          <w:rFonts w:ascii="Arial" w:cs="Arial" w:eastAsia="Arial" w:hAnsi="Arial"/>
          <w:sz w:val="20"/>
          <w:szCs w:val="20"/>
        </w:rPr>
        <w:t xml:space="preserve">Figure 15 — Vault landing screen showing animated category tiles with item counts</w:t>
      </w:r>
    </w:p>
    <w:p>
      <w:pPr>
        <w:pStyle w:val="ListParagraph"/>
        <w:numPr>
          <w:ilvl w:val="0"/>
          <w:numId w:val="2"/>
        </w:numPr>
        <w:spacing w:after="40" w:before="40"/>
      </w:pPr>
      <w:r>
        <w:rPr>
          <w:rFonts w:ascii="Arial" w:cs="Arial" w:eastAsia="Arial" w:hAnsi="Arial"/>
          <w:sz w:val="20"/>
          <w:szCs w:val="20"/>
        </w:rPr>
        <w:t xml:space="preserve">Figure 16 — Prescription Information form showing Medication name, Dosage, Prescribing doctor fields and camera capture buttons</w:t>
      </w:r>
    </w:p>
    <w:p>
      <w:pPr>
        <w:pStyle w:val="ListParagraph"/>
        <w:numPr>
          <w:ilvl w:val="0"/>
          <w:numId w:val="2"/>
        </w:numPr>
        <w:spacing w:after="40" w:before="40"/>
      </w:pPr>
      <w:r>
        <w:rPr>
          <w:rFonts w:ascii="Arial" w:cs="Arial" w:eastAsia="Arial" w:hAnsi="Arial"/>
          <w:sz w:val="20"/>
          <w:szCs w:val="20"/>
        </w:rPr>
        <w:t xml:space="preserve">Figure 17 — Legal document type picker showing Will, Power of Attorney, Trust options</w:t>
      </w:r>
    </w:p>
    <w:p>
      <w:pPr>
        <w:pStyle w:val="ListParagraph"/>
        <w:numPr>
          <w:ilvl w:val="0"/>
          <w:numId w:val="2"/>
        </w:numPr>
        <w:spacing w:after="40" w:before="40"/>
      </w:pPr>
      <w:r>
        <w:rPr>
          <w:rFonts w:ascii="Arial" w:cs="Arial" w:eastAsia="Arial" w:hAnsi="Arial"/>
          <w:sz w:val="20"/>
          <w:szCs w:val="20"/>
        </w:rPr>
        <w:t xml:space="preserve">Figure 18 — Financial vault form showing Bank Account type with account number field</w:t>
      </w:r>
    </w:p>
    <w:p>
      <w:pPr>
        <w:pStyle w:val="ListParagraph"/>
        <w:numPr>
          <w:ilvl w:val="0"/>
          <w:numId w:val="2"/>
        </w:numPr>
        <w:spacing w:after="40" w:before="40"/>
      </w:pPr>
      <w:r>
        <w:rPr>
          <w:rFonts w:ascii="Arial" w:cs="Arial" w:eastAsia="Arial" w:hAnsi="Arial"/>
          <w:sz w:val="20"/>
          <w:szCs w:val="20"/>
        </w:rPr>
        <w:t xml:space="preserve">Figure 19 — Password vault form showing Social Media type with username and password fields</w:t>
      </w:r>
    </w:p>
    <w:p>
      <w:pPr>
        <w:pStyle w:val="ListParagraph"/>
        <w:numPr>
          <w:ilvl w:val="0"/>
          <w:numId w:val="2"/>
        </w:numPr>
        <w:spacing w:after="40" w:before="40"/>
      </w:pPr>
      <w:r>
        <w:rPr>
          <w:rFonts w:ascii="Arial" w:cs="Arial" w:eastAsia="Arial" w:hAnsi="Arial"/>
          <w:sz w:val="20"/>
          <w:szCs w:val="20"/>
        </w:rPr>
        <w:t xml:space="preserve">Figure 20 — Camera scan preview thumbnail within vault item form</w:t>
      </w:r>
    </w:p>
    <w:p>
      <w:pPr>
        <w:pStyle w:val="ListParagraph"/>
        <w:numPr>
          <w:ilvl w:val="0"/>
          <w:numId w:val="2"/>
        </w:numPr>
        <w:spacing w:after="40" w:before="40"/>
      </w:pPr>
      <w:r>
        <w:rPr>
          <w:rFonts w:ascii="Arial" w:cs="Arial" w:eastAsia="Arial" w:hAnsi="Arial"/>
          <w:sz w:val="20"/>
          <w:szCs w:val="20"/>
        </w:rPr>
        <w:t xml:space="preserve">Figure 21 — System architecture: client-side encryption, cloud storage, and retrieval flow</w:t>
      </w:r>
    </w:p>
    <w:p>
      <w:pPr>
        <w:pageBreakBefore/>
      </w:pPr>
    </w:p>
    <w:p>
      <w:pPr>
        <w:pStyle w:val="Heading1"/>
        <w:spacing w:after="120" w:before="360"/>
      </w:pPr>
      <w:r>
        <w:rPr>
          <w:rFonts w:ascii="Arial" w:cs="Arial" w:eastAsia="Arial" w:hAnsi="Arial"/>
          <w:b/>
          <w:bCs/>
          <w:color w:val="1F3864"/>
          <w:sz w:val="28"/>
          <w:szCs w:val="28"/>
        </w:rPr>
        <w:t xml:space="preserve">Inventor's Declaration</w:t>
      </w:r>
    </w:p>
    <w:p>
      <w:pPr>
        <w:spacing w:after="120" w:before="60"/>
      </w:pPr>
      <w:r>
        <w:rPr>
          <w:rFonts w:ascii="Arial" w:cs="Arial" w:eastAsia="Arial" w:hAnsi="Arial"/>
          <w:sz w:val="20"/>
          <w:szCs w:val="20"/>
        </w:rPr>
        <w:t xml:space="preserve">I, Sokha Eang, am the original inventor of the inventions described in this provisional patent application. I believe the foregoing disclosure to be a true and complete description of the inventions to the best of my knowledge and understanding. I acknowledge the duty to disclose to the United States Patent and Trademark Office all information known to me to be material to patentability.</w:t>
      </w:r>
    </w:p>
    <w:p>
      <w:pPr>
        <w:spacing w:after="120" w:before="60"/>
      </w:pPr>
      <w:r>
        <w:rPr>
          <w:rFonts w:ascii="Arial" w:cs="Arial" w:eastAsia="Arial" w:hAnsi="Arial"/>
          <w:sz w:val="20"/>
          <w:szCs w:val="20"/>
        </w:rPr>
        <w:t xml:space="preserve">This written description has been prepared for review by a registered patent attorney or agent prior to filing. I understand that a provisional patent application establishes a priority date and provides twelve (12) months within which a non-provisional patent application claiming priority to this provisional application must be filed.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400"/>
              <w:left w:type="dxa" w:w="120"/>
              <w:bottom w:type="dxa" w:w="400"/>
              <w:right w:type="dxa" w:w="120"/>
            </w:tcMar>
          </w:tcPr>
          <w:p>
            <w:r>
              <w:rPr>
                <w:rFonts w:ascii="Arial" w:cs="Arial" w:eastAsia="Arial" w:hAnsi="Arial"/>
                <w:b/>
                <w:bCs/>
                <w:sz w:val="20"/>
                <w:szCs w:val="20"/>
              </w:rPr>
              <w:t xml:space="preserve">Inventor Signature:</w:t>
            </w:r>
          </w:p>
          <w:p>
            <w:pPr>
              <w:spacing w:after="80" w:before="80"/>
            </w:pPr>
            <w:r>
              <w:t xml:space="preserve"/>
            </w:r>
          </w:p>
          <w:p>
            <w:pPr>
              <w:pBdr>
                <w:bottom w:val="single" w:color="000000" w:sz="4" w:space="1"/>
              </w:pBdr>
            </w:pPr>
            <w:r>
              <w:rPr>
                <w:rFonts w:ascii="Arial" w:cs="Arial" w:eastAsia="Arial" w:hAnsi="Arial"/>
                <w:sz w:val="20"/>
                <w:szCs w:val="20"/>
              </w:rPr>
              <w:t xml:space="preserve">Sokha Eang</w:t>
            </w:r>
          </w:p>
        </w:tc>
        <w:tc>
          <w:tcPr>
            <w:tcW w:type="dxa" w:w="4680"/>
            <w:tcBorders>
              <w:top w:val="single" w:color="CCCCCC" w:sz="1"/>
              <w:left w:val="single" w:color="CCCCCC" w:sz="1"/>
              <w:bottom w:val="single" w:color="CCCCCC" w:sz="1"/>
              <w:right w:val="single" w:color="CCCCCC" w:sz="1"/>
            </w:tcBorders>
            <w:tcMar>
              <w:top w:type="dxa" w:w="400"/>
              <w:left w:type="dxa" w:w="120"/>
              <w:bottom w:type="dxa" w:w="400"/>
              <w:right w:type="dxa" w:w="120"/>
            </w:tcMar>
          </w:tcPr>
          <w:p>
            <w:r>
              <w:rPr>
                <w:rFonts w:ascii="Arial" w:cs="Arial" w:eastAsia="Arial" w:hAnsi="Arial"/>
                <w:b/>
                <w:bCs/>
                <w:sz w:val="20"/>
                <w:szCs w:val="20"/>
              </w:rPr>
              <w:t xml:space="preserve">Date:</w:t>
            </w:r>
          </w:p>
          <w:p>
            <w:pPr>
              <w:spacing w:after="80" w:before="80"/>
            </w:pPr>
            <w:r>
              <w:t xml:space="preserve"/>
            </w:r>
          </w:p>
          <w:p>
            <w:pPr>
              <w:pBdr>
                <w:bottom w:val="single" w:color="000000" w:sz="4" w:space="1"/>
              </w:pBdr>
            </w:pPr>
            <w:r>
              <w:rPr>
                <w:rFonts w:ascii="Arial" w:cs="Arial" w:eastAsia="Arial" w:hAnsi="Arial"/>
                <w:sz w:val="20"/>
                <w:szCs w:val="20"/>
              </w:rPr>
              <w:t xml:space="preserve">June 3,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A800" w:sz="4"/>
              <w:left w:val="single" w:color="C7A800" w:sz="4"/>
              <w:bottom w:val="single" w:color="C7A800" w:sz="4"/>
              <w:right w:val="single" w:color="C7A800" w:sz="4"/>
            </w:tcBorders>
            <w:shd w:fill="FFFDE7" w:val="clear"/>
            <w:tcMar>
              <w:top w:type="dxa" w:w="120"/>
              <w:left w:type="dxa" w:w="160"/>
              <w:bottom w:type="dxa" w:w="120"/>
              <w:right w:type="dxa" w:w="160"/>
            </w:tcMar>
          </w:tcPr>
          <w:p>
            <w:pPr>
              <w:spacing w:after="40" w:before="40"/>
            </w:pPr>
            <w:r>
              <w:rPr>
                <w:rFonts w:ascii="Arial" w:cs="Arial" w:eastAsia="Arial" w:hAnsi="Arial"/>
                <w:b/>
                <w:bCs/>
                <w:sz w:val="20"/>
                <w:szCs w:val="20"/>
              </w:rPr>
              <w:t xml:space="preserve">⚠  NEXT STEPS</w:t>
            </w:r>
          </w:p>
          <w:p>
            <w:pPr>
              <w:spacing w:after="40" w:before="40"/>
            </w:pPr>
            <w:r>
              <w:rPr>
                <w:rFonts w:ascii="Arial" w:cs="Arial" w:eastAsia="Arial" w:hAnsi="Arial"/>
                <w:b w:val="false"/>
                <w:bCs w:val="false"/>
                <w:sz w:val="20"/>
                <w:szCs w:val="20"/>
              </w:rPr>
              <w:t xml:space="preserve"/>
            </w:r>
          </w:p>
          <w:p>
            <w:pPr>
              <w:spacing w:after="40" w:before="40"/>
            </w:pPr>
            <w:r>
              <w:rPr>
                <w:rFonts w:ascii="Arial" w:cs="Arial" w:eastAsia="Arial" w:hAnsi="Arial"/>
                <w:b w:val="false"/>
                <w:bCs w:val="false"/>
                <w:sz w:val="20"/>
                <w:szCs w:val="20"/>
              </w:rPr>
              <w:t xml:space="preserve">1. Have this document reviewed by a registered USPTO patent attorney or agent.</w:t>
            </w:r>
          </w:p>
          <w:p>
            <w:pPr>
              <w:spacing w:after="40" w:before="40"/>
            </w:pPr>
            <w:r>
              <w:rPr>
                <w:rFonts w:ascii="Arial" w:cs="Arial" w:eastAsia="Arial" w:hAnsi="Arial"/>
                <w:b w:val="false"/>
                <w:bCs w:val="false"/>
                <w:sz w:val="20"/>
                <w:szCs w:val="20"/>
              </w:rPr>
              <w:t xml:space="preserve">2. Gather application screenshots for inclusion as Figures 1–21.</w:t>
            </w:r>
          </w:p>
          <w:p>
            <w:pPr>
              <w:spacing w:after="40" w:before="40"/>
            </w:pPr>
            <w:r>
              <w:rPr>
                <w:rFonts w:ascii="Arial" w:cs="Arial" w:eastAsia="Arial" w:hAnsi="Arial"/>
                <w:b w:val="false"/>
                <w:bCs w:val="false"/>
                <w:sz w:val="20"/>
                <w:szCs w:val="20"/>
              </w:rPr>
              <w:t xml:space="preserve">3. Complete USPTO Form SB/16 (Provisional Application Cover Sheet) and Form SB/15A (Micro-Entity Status).</w:t>
            </w:r>
          </w:p>
          <w:p>
            <w:pPr>
              <w:spacing w:after="40" w:before="40"/>
            </w:pPr>
            <w:r>
              <w:rPr>
                <w:rFonts w:ascii="Arial" w:cs="Arial" w:eastAsia="Arial" w:hAnsi="Arial"/>
                <w:b w:val="false"/>
                <w:bCs w:val="false"/>
                <w:sz w:val="20"/>
                <w:szCs w:val="20"/>
              </w:rPr>
              <w:t xml:space="preserve">4. File at patentcenter.uspto.gov — select Provisional Patent Application.</w:t>
            </w:r>
          </w:p>
          <w:p>
            <w:pPr>
              <w:spacing w:after="40" w:before="40"/>
            </w:pPr>
            <w:r>
              <w:rPr>
                <w:rFonts w:ascii="Arial" w:cs="Arial" w:eastAsia="Arial" w:hAnsi="Arial"/>
                <w:b w:val="false"/>
                <w:bCs w:val="false"/>
                <w:sz w:val="20"/>
                <w:szCs w:val="20"/>
              </w:rPr>
              <w:t xml:space="preserve">5. Pay filing fee ($320 for micro-entity — confirm current fee at USPTO.gov/patents/apply/patent-fees).</w:t>
            </w:r>
          </w:p>
          <w:p>
            <w:pPr>
              <w:spacing w:after="40" w:before="40"/>
            </w:pPr>
            <w:r>
              <w:rPr>
                <w:rFonts w:ascii="Arial" w:cs="Arial" w:eastAsia="Arial" w:hAnsi="Arial"/>
                <w:b w:val="false"/>
                <w:bCs w:val="false"/>
                <w:sz w:val="20"/>
                <w:szCs w:val="20"/>
              </w:rPr>
              <w:t xml:space="preserve">6. Retain the Application Number and Filing Date confirmation. This date is your priority date.</w:t>
            </w:r>
          </w:p>
          <w:p>
            <w:pPr>
              <w:spacing w:after="40" w:before="40"/>
            </w:pPr>
            <w:r>
              <w:rPr>
                <w:rFonts w:ascii="Arial" w:cs="Arial" w:eastAsia="Arial" w:hAnsi="Arial"/>
                <w:b w:val="false"/>
                <w:bCs w:val="false"/>
                <w:sz w:val="20"/>
                <w:szCs w:val="20"/>
              </w:rPr>
              <w:t xml:space="preserve">7. Non-provisional application must be filed within 12 months of this provisional filing date.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Solace Life — Provisional Patent Application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2026-06-03T14:58:13.390Z</dcterms:created>
  <dcterms:modified xsi:type="dcterms:W3CDTF">2026-06-03T14:58:13.390Z</dcterms:modified>
</cp:coreProperties>
</file>

<file path=docProps/custom.xml><?xml version="1.0" encoding="utf-8"?>
<Properties xmlns="http://schemas.openxmlformats.org/officeDocument/2006/custom-properties" xmlns:vt="http://schemas.openxmlformats.org/officeDocument/2006/docPropsVTypes"/>
</file>