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211E17"/>
          <w:spacing w:val="80"/>
          <w:sz w:val="48"/>
          <w:szCs w:val="48"/>
        </w:rPr>
        <w:t xml:space="preserve">SOLACE LIFE</w:t>
      </w:r>
    </w:p>
    <w:p>
      <w:pPr>
        <w:spacing w:after="80" w:before="0"/>
      </w:pPr>
      <w:r>
        <w:rPr>
          <w:rFonts w:ascii="Arial" w:cs="Arial" w:eastAsia="Arial" w:hAnsi="Arial"/>
          <w:color w:val="8C3040"/>
          <w:sz w:val="32"/>
          <w:szCs w:val="32"/>
        </w:rPr>
        <w:t xml:space="preserve">Referral Partner Strategy &amp; Compensation Framework</w:t>
      </w:r>
    </w:p>
    <w:p>
      <w:pPr>
        <w:spacing w:after="400" w:before="40"/>
      </w:pPr>
      <w:r>
        <w:rPr>
          <w:rFonts w:ascii="Arial" w:cs="Arial" w:eastAsia="Arial" w:hAnsi="Arial"/>
          <w:color w:val="7A7060"/>
          <w:sz w:val="20"/>
          <w:szCs w:val="20"/>
        </w:rPr>
        <w:t xml:space="preserve">Internal Document — Version 1.0  |  May 2025  |  Confidential</w:t>
      </w:r>
    </w:p>
    <w:p>
      <w:pPr>
        <w:pBdr>
          <w:bottom w:val="single" w:color="C49A3C" w:sz="4" w:space="1"/>
        </w:pBdr>
        <w:spacing w:after="0" w:before="160"/>
      </w:pPr>
    </w:p>
    <w:p>
      <w:pPr>
        <w:spacing w:after="0" w:before="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F5E0" w:val="clear"/>
            <w:tcMar>
              <w:top w:type="dxa" w:w="160"/>
              <w:left w:type="dxa" w:w="200"/>
              <w:bottom w:type="dxa" w:w="160"/>
              <w:right w:type="dxa" w:w="200"/>
            </w:tcMar>
          </w:tcPr>
          <w:p>
            <w:pPr>
              <w:spacing w:after="80" w:before="0"/>
            </w:pPr>
            <w:r>
              <w:rPr>
                <w:rFonts w:ascii="Arial" w:cs="Arial" w:eastAsia="Arial" w:hAnsi="Arial"/>
                <w:b/>
                <w:bCs/>
                <w:color w:val="211E17"/>
                <w:sz w:val="20"/>
                <w:szCs w:val="20"/>
              </w:rPr>
              <w:t xml:space="preserve">Purpose of this document</w:t>
            </w:r>
          </w:p>
          <w:p>
            <w:pPr>
              <w:spacing w:after="80" w:before="0"/>
            </w:pPr>
            <w:r>
              <w:rPr>
                <w:rFonts w:ascii="Arial" w:cs="Arial" w:eastAsia="Arial" w:hAnsi="Arial"/>
                <w:color w:val="211E17"/>
                <w:sz w:val="20"/>
                <w:szCs w:val="20"/>
              </w:rPr>
              <w:t xml:space="preserve">This document defines Solace Life’s referral partner strategy, compensation models, tier structure, legal considerations, onboarding process, and roadmap for the in-app professional chat feature. It is intended for internal use only and should not be shared with partners prior to executing a partner agreement.</w:t>
            </w:r>
          </w:p>
        </w:tc>
      </w:tr>
    </w:tbl>
    <w:p>
      <w:pPr>
        <w:spacing w:after="0" w:before="240"/>
      </w:pPr>
    </w:p>
    <w:p>
      <w:pPr>
        <w:pStyle w:val="Heading1"/>
        <w:spacing w:after="120" w:before="360"/>
      </w:pPr>
      <w:r>
        <w:rPr>
          <w:rFonts w:ascii="Arial" w:cs="Arial" w:eastAsia="Arial" w:hAnsi="Arial"/>
          <w:b/>
          <w:bCs/>
          <w:color w:val="211E17"/>
          <w:sz w:val="32"/>
          <w:szCs w:val="32"/>
        </w:rPr>
        <w:t xml:space="preserve">1.  Strategic Rationale</w:t>
      </w:r>
    </w:p>
    <w:p>
      <w:pPr>
        <w:spacing w:after="80" w:before="80"/>
      </w:pPr>
      <w:r>
        <w:rPr>
          <w:rFonts w:ascii="Arial" w:cs="Arial" w:eastAsia="Arial" w:hAnsi="Arial"/>
          <w:color w:val="211E17"/>
          <w:sz w:val="22"/>
          <w:szCs w:val="22"/>
        </w:rPr>
        <w:t xml:space="preserve">Solace Life operates in the grieftech and legacy planning space. Our target users — adults aged 45–80 and their families — are already engaged with professionals who handle end-of-life planning: estate lawyers, financial planners, senior care providers, and hospice workers.</w:t>
      </w:r>
    </w:p>
    <w:p>
      <w:pPr>
        <w:spacing w:after="0" w:before="80"/>
      </w:pPr>
    </w:p>
    <w:p>
      <w:pPr>
        <w:spacing w:after="80" w:before="80"/>
      </w:pPr>
      <w:r>
        <w:rPr>
          <w:rFonts w:ascii="Arial" w:cs="Arial" w:eastAsia="Arial" w:hAnsi="Arial"/>
          <w:color w:val="211E17"/>
          <w:sz w:val="22"/>
          <w:szCs w:val="22"/>
        </w:rPr>
        <w:t xml:space="preserve">A referral partner program achieves three things simultaneously:</w:t>
      </w:r>
    </w:p>
    <w:p>
      <w:pPr>
        <w:spacing w:after="0" w:before="60"/>
      </w:pPr>
    </w:p>
    <w:p>
      <w:pPr>
        <w:pStyle w:val="ListParagraph"/>
        <w:numPr>
          <w:ilvl w:val="0"/>
          <w:numId w:val="2"/>
        </w:numPr>
        <w:spacing w:after="60" w:before="60"/>
      </w:pPr>
      <w:r>
        <w:rPr>
          <w:rFonts w:ascii="Arial" w:cs="Arial" w:eastAsia="Arial" w:hAnsi="Arial"/>
          <w:color w:val="211E17"/>
          <w:sz w:val="22"/>
          <w:szCs w:val="22"/>
        </w:rPr>
        <w:t xml:space="preserve">Distribution at the point of need: Partners introduce Solace Life during conversations where clients are already thinking about legacy, care, and emergency preparedness.</w:t>
      </w:r>
    </w:p>
    <w:p>
      <w:pPr>
        <w:pStyle w:val="ListParagraph"/>
        <w:numPr>
          <w:ilvl w:val="0"/>
          <w:numId w:val="2"/>
        </w:numPr>
        <w:spacing w:after="60" w:before="60"/>
      </w:pPr>
      <w:r>
        <w:rPr>
          <w:rFonts w:ascii="Arial" w:cs="Arial" w:eastAsia="Arial" w:hAnsi="Arial"/>
          <w:color w:val="211E17"/>
          <w:sz w:val="22"/>
          <w:szCs w:val="22"/>
        </w:rPr>
        <w:t xml:space="preserve">Trust transfer: A recommendation from a trusted professional dramatically shortens the sales cycle and improves activation rates.</w:t>
      </w:r>
    </w:p>
    <w:p>
      <w:pPr>
        <w:pStyle w:val="ListParagraph"/>
        <w:numPr>
          <w:ilvl w:val="0"/>
          <w:numId w:val="2"/>
        </w:numPr>
        <w:spacing w:after="60" w:before="60"/>
      </w:pPr>
      <w:r>
        <w:rPr>
          <w:rFonts w:ascii="Arial" w:cs="Arial" w:eastAsia="Arial" w:hAnsi="Arial"/>
          <w:color w:val="211E17"/>
          <w:sz w:val="22"/>
          <w:szCs w:val="22"/>
        </w:rPr>
        <w:t xml:space="preserve">Revenue without advertising spend: Partner commissions are paid on activated users — we pay only for results, not clicks.</w:t>
      </w:r>
    </w:p>
    <w:p>
      <w:pPr>
        <w:spacing w:after="0" w:before="120"/>
      </w:pPr>
    </w:p>
    <w:p>
      <w:pPr>
        <w:spacing w:after="80" w:before="80"/>
      </w:pPr>
      <w:r>
        <w:rPr>
          <w:rFonts w:ascii="Arial" w:cs="Arial" w:eastAsia="Arial" w:hAnsi="Arial"/>
          <w:color w:val="211E17"/>
          <w:sz w:val="22"/>
          <w:szCs w:val="22"/>
        </w:rPr>
        <w:t xml:space="preserve">The in-app professional chat feature (roadmap Phase 4) deepens this flywheel: once a user is in the app, their lawyer, care manager, or financial planner becomes reachable with one tap. This creates a recurring reason for the partner to stay engaged — and a recurring reason for the user not to churn.</w:t>
      </w:r>
    </w:p>
    <w:p>
      <w:pPr>
        <w:spacing w:after="0" w:before="200"/>
      </w:pPr>
    </w:p>
    <w:p>
      <w:pPr>
        <w:pStyle w:val="Heading1"/>
        <w:spacing w:after="120" w:before="360"/>
      </w:pPr>
      <w:r>
        <w:rPr>
          <w:rFonts w:ascii="Arial" w:cs="Arial" w:eastAsia="Arial" w:hAnsi="Arial"/>
          <w:b/>
          <w:bCs/>
          <w:color w:val="211E17"/>
          <w:sz w:val="32"/>
          <w:szCs w:val="32"/>
        </w:rPr>
        <w:t xml:space="preserve">2.  Proven Referral &amp; Compensation Models</w:t>
      </w:r>
    </w:p>
    <w:p>
      <w:pPr>
        <w:spacing w:after="80" w:before="80"/>
      </w:pPr>
      <w:r>
        <w:rPr>
          <w:rFonts w:ascii="Arial" w:cs="Arial" w:eastAsia="Arial" w:hAnsi="Arial"/>
          <w:color w:val="211E17"/>
          <w:sz w:val="22"/>
          <w:szCs w:val="22"/>
        </w:rPr>
        <w:t xml:space="preserve">The following five models are used across healthcare, legal-tech, fintech, and senior care SaaS companies. Each has documented evidence of success. We evaluate each against Solace Life’s constraints (early-stage, Canadian, B2C with professional channel).</w:t>
      </w:r>
    </w:p>
    <w:p>
      <w:pPr>
        <w:spacing w:after="0" w:before="160"/>
      </w:pPr>
    </w:p>
    <w:p>
      <w:pPr>
        <w:pStyle w:val="Heading2"/>
        <w:spacing w:after="100" w:before="280"/>
      </w:pPr>
      <w:r>
        <w:rPr>
          <w:rFonts w:ascii="Arial" w:cs="Arial" w:eastAsia="Arial" w:hAnsi="Arial"/>
          <w:b/>
          <w:bCs/>
          <w:color w:val="8C3040"/>
          <w:sz w:val="26"/>
          <w:szCs w:val="26"/>
        </w:rPr>
        <w:t xml:space="preserve">Model A — Flat Activation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5EE" w:val="clear"/>
            <w:tcMar>
              <w:top w:type="dxa" w:w="160"/>
              <w:left w:type="dxa" w:w="200"/>
              <w:bottom w:type="dxa" w:w="160"/>
              <w:right w:type="dxa" w:w="200"/>
            </w:tcMar>
          </w:tcPr>
          <w:p>
            <w:pPr>
              <w:spacing w:after="60" w:before="0"/>
            </w:pPr>
            <w:r>
              <w:rPr>
                <w:rFonts w:ascii="Arial" w:cs="Arial" w:eastAsia="Arial" w:hAnsi="Arial"/>
                <w:b/>
                <w:bCs/>
                <w:color w:val="211E17"/>
                <w:sz w:val="20"/>
                <w:szCs w:val="20"/>
              </w:rPr>
              <w:t xml:space="preserve">How it works: </w:t>
            </w:r>
            <w:r>
              <w:rPr>
                <w:rFonts w:ascii="Arial" w:cs="Arial" w:eastAsia="Arial" w:hAnsi="Arial"/>
                <w:color w:val="211E17"/>
                <w:sz w:val="20"/>
                <w:szCs w:val="20"/>
              </w:rPr>
              <w:t xml:space="preserve">Partner earns a fixed dollar amount for each referred user who completes account setup and activates a paid or free subscription.</w:t>
            </w:r>
          </w:p>
          <w:p>
            <w:pPr>
              <w:spacing w:after="60" w:before="60"/>
            </w:pPr>
            <w:r>
              <w:rPr>
                <w:rFonts w:ascii="Arial" w:cs="Arial" w:eastAsia="Arial" w:hAnsi="Arial"/>
                <w:b/>
                <w:bCs/>
                <w:color w:val="211E17"/>
                <w:sz w:val="20"/>
                <w:szCs w:val="20"/>
              </w:rPr>
              <w:t xml:space="preserve">Best for: </w:t>
            </w:r>
            <w:r>
              <w:rPr>
                <w:rFonts w:ascii="Arial" w:cs="Arial" w:eastAsia="Arial" w:hAnsi="Arial"/>
                <w:color w:val="211E17"/>
                <w:sz w:val="20"/>
                <w:szCs w:val="20"/>
              </w:rPr>
              <w:t xml:space="preserve">Estate lawyers, sole-practitioner CPAs, and small-volume referrers who prefer predictable, per-transaction income.</w:t>
            </w:r>
          </w:p>
          <w:p>
            <w:pPr>
              <w:spacing w:after="0" w:before="60"/>
            </w:pPr>
            <w:r>
              <w:rPr>
                <w:rFonts w:ascii="Arial" w:cs="Arial" w:eastAsia="Arial" w:hAnsi="Arial"/>
                <w:b/>
                <w:bCs/>
                <w:color w:val="211E17"/>
                <w:sz w:val="20"/>
                <w:szCs w:val="20"/>
              </w:rPr>
              <w:t xml:space="preserve">Industry benchmark: </w:t>
            </w:r>
            <w:r>
              <w:rPr>
                <w:rFonts w:ascii="Arial" w:cs="Arial" w:eastAsia="Arial" w:hAnsi="Arial"/>
                <w:color w:val="211E17"/>
                <w:sz w:val="20"/>
                <w:szCs w:val="20"/>
              </w:rPr>
              <w:t xml:space="preserve">Health/wellness SaaS: $15–$35 per activation. Legal-tech referrals: $25–$75. Senior care add-ons: $20–$40.</w:t>
            </w:r>
          </w:p>
        </w:tc>
      </w:tr>
    </w:tbl>
    <w:p>
      <w:pPr>
        <w:spacing w:after="0" w:before="120"/>
      </w:pPr>
    </w:p>
    <w:p>
      <w:pPr>
        <w:spacing w:after="80" w:before="80"/>
      </w:pPr>
      <w:r>
        <w:rPr>
          <w:rFonts w:ascii="Arial" w:cs="Arial" w:eastAsia="Arial" w:hAnsi="Arial"/>
          <w:color w:val="211E17"/>
          <w:sz w:val="22"/>
          <w:szCs w:val="22"/>
        </w:rPr>
        <w:t xml:space="preserve">Real-world precedents:</w:t>
      </w:r>
    </w:p>
    <w:p>
      <w:pPr>
        <w:pStyle w:val="ListParagraph"/>
        <w:numPr>
          <w:ilvl w:val="0"/>
          <w:numId w:val="2"/>
        </w:numPr>
        <w:spacing w:after="60" w:before="60"/>
      </w:pPr>
      <w:r>
        <w:rPr>
          <w:rFonts w:ascii="Arial" w:cs="Arial" w:eastAsia="Arial" w:hAnsi="Arial"/>
          <w:color w:val="211E17"/>
          <w:sz w:val="22"/>
          <w:szCs w:val="22"/>
        </w:rPr>
        <w:t xml:space="preserve">Everplans (US legacy platform) uses $25–$40 flat fees for estate attorney referrals.</w:t>
      </w:r>
    </w:p>
    <w:p>
      <w:pPr>
        <w:pStyle w:val="ListParagraph"/>
        <w:numPr>
          <w:ilvl w:val="0"/>
          <w:numId w:val="2"/>
        </w:numPr>
        <w:spacing w:after="60" w:before="60"/>
      </w:pPr>
      <w:r>
        <w:rPr>
          <w:rFonts w:ascii="Arial" w:cs="Arial" w:eastAsia="Arial" w:hAnsi="Arial"/>
          <w:color w:val="211E17"/>
          <w:sz w:val="22"/>
          <w:szCs w:val="22"/>
        </w:rPr>
        <w:t xml:space="preserve">Lasting (advance directive app) uses flat activation fees of $20–$30 via elder law attorney channels.</w:t>
      </w:r>
    </w:p>
    <w:p>
      <w:pPr>
        <w:pStyle w:val="ListParagraph"/>
        <w:numPr>
          <w:ilvl w:val="0"/>
          <w:numId w:val="2"/>
        </w:numPr>
        <w:spacing w:after="60" w:before="60"/>
      </w:pPr>
      <w:r>
        <w:rPr>
          <w:rFonts w:ascii="Arial" w:cs="Arial" w:eastAsia="Arial" w:hAnsi="Arial"/>
          <w:color w:val="211E17"/>
          <w:sz w:val="22"/>
          <w:szCs w:val="22"/>
        </w:rPr>
        <w:t xml:space="preserve">GoodTrust (digital legacy) uses $25/activation with hospice and senior care partners.</w:t>
      </w:r>
    </w:p>
    <w:p>
      <w:pPr>
        <w:spacing w:after="0" w:before="80"/>
      </w:pPr>
    </w:p>
    <w:p>
      <w:pPr>
        <w:spacing w:after="80" w:before="80"/>
      </w:pPr>
      <w:r>
        <w:rPr>
          <w:rFonts w:ascii="Arial" w:cs="Arial" w:eastAsia="Arial" w:hAnsi="Arial"/>
          <w:b/>
          <w:bCs/>
          <w:color w:val="211E17"/>
          <w:sz w:val="22"/>
          <w:szCs w:val="22"/>
        </w:rPr>
        <w:t xml:space="preserve">Solace Life recommendation: </w:t>
      </w:r>
      <w:r>
        <w:rPr>
          <w:rFonts w:ascii="Arial" w:cs="Arial" w:eastAsia="Arial" w:hAnsi="Arial"/>
          <w:color w:val="211E17"/>
          <w:sz w:val="22"/>
          <w:szCs w:val="22"/>
        </w:rPr>
        <w:t xml:space="preserve">Use as the base model for Starter tier partners. Simple to explain, zero accounting complexity, low barrier to adopt.</w:t>
      </w:r>
    </w:p>
    <w:p>
      <w:pPr>
        <w:spacing w:after="0" w:before="200"/>
      </w:pPr>
    </w:p>
    <w:p>
      <w:pPr>
        <w:pStyle w:val="Heading2"/>
        <w:spacing w:after="100" w:before="280"/>
      </w:pPr>
      <w:r>
        <w:rPr>
          <w:rFonts w:ascii="Arial" w:cs="Arial" w:eastAsia="Arial" w:hAnsi="Arial"/>
          <w:b/>
          <w:bCs/>
          <w:color w:val="8C3040"/>
          <w:sz w:val="26"/>
          <w:szCs w:val="26"/>
        </w:rPr>
        <w:t xml:space="preserve">Model B — Revenue Share (Percentage of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4FB" w:val="clear"/>
            <w:tcMar>
              <w:top w:type="dxa" w:w="160"/>
              <w:left w:type="dxa" w:w="200"/>
              <w:bottom w:type="dxa" w:w="160"/>
              <w:right w:type="dxa" w:w="200"/>
            </w:tcMar>
          </w:tcPr>
          <w:p>
            <w:pPr>
              <w:spacing w:after="60" w:before="0"/>
            </w:pPr>
            <w:r>
              <w:rPr>
                <w:rFonts w:ascii="Arial" w:cs="Arial" w:eastAsia="Arial" w:hAnsi="Arial"/>
                <w:b/>
                <w:bCs/>
                <w:color w:val="211E17"/>
                <w:sz w:val="20"/>
                <w:szCs w:val="20"/>
              </w:rPr>
              <w:t xml:space="preserve">How it works: </w:t>
            </w:r>
            <w:r>
              <w:rPr>
                <w:rFonts w:ascii="Arial" w:cs="Arial" w:eastAsia="Arial" w:hAnsi="Arial"/>
                <w:color w:val="211E17"/>
                <w:sz w:val="20"/>
                <w:szCs w:val="20"/>
              </w:rPr>
              <w:t xml:space="preserve">Partner earns a percentage of the user’s subscription revenue for a defined period (typically 6–12 months). Creates ongoing income tied to user retention.</w:t>
            </w:r>
          </w:p>
          <w:p>
            <w:pPr>
              <w:spacing w:after="60" w:before="60"/>
            </w:pPr>
            <w:r>
              <w:rPr>
                <w:rFonts w:ascii="Arial" w:cs="Arial" w:eastAsia="Arial" w:hAnsi="Arial"/>
                <w:b/>
                <w:bCs/>
                <w:color w:val="211E17"/>
                <w:sz w:val="20"/>
                <w:szCs w:val="20"/>
              </w:rPr>
              <w:t xml:space="preserve">Best for: </w:t>
            </w:r>
            <w:r>
              <w:rPr>
                <w:rFonts w:ascii="Arial" w:cs="Arial" w:eastAsia="Arial" w:hAnsi="Arial"/>
                <w:color w:val="211E17"/>
                <w:sz w:val="20"/>
                <w:szCs w:val="20"/>
              </w:rPr>
              <w:t xml:space="preserve">Senior living operators, financial planners, and care managers who have ongoing client relationships and benefit from recurring income.</w:t>
            </w:r>
          </w:p>
          <w:p>
            <w:pPr>
              <w:spacing w:after="0" w:before="60"/>
            </w:pPr>
            <w:r>
              <w:rPr>
                <w:rFonts w:ascii="Arial" w:cs="Arial" w:eastAsia="Arial" w:hAnsi="Arial"/>
                <w:b/>
                <w:bCs/>
                <w:color w:val="211E17"/>
                <w:sz w:val="20"/>
                <w:szCs w:val="20"/>
              </w:rPr>
              <w:t xml:space="preserve">Industry benchmark: </w:t>
            </w:r>
            <w:r>
              <w:rPr>
                <w:rFonts w:ascii="Arial" w:cs="Arial" w:eastAsia="Arial" w:hAnsi="Arial"/>
                <w:color w:val="211E17"/>
                <w:sz w:val="20"/>
                <w:szCs w:val="20"/>
              </w:rPr>
              <w:t xml:space="preserve">SaaS affiliate programs: 10–30% for 6–12 months. Healthcare channel: 10–20%. Senior care SaaS: 15–25%.</w:t>
            </w:r>
          </w:p>
        </w:tc>
      </w:tr>
    </w:tbl>
    <w:p>
      <w:pPr>
        <w:spacing w:after="0" w:before="120"/>
      </w:pPr>
    </w:p>
    <w:p>
      <w:pPr>
        <w:spacing w:after="80" w:before="80"/>
      </w:pPr>
      <w:r>
        <w:rPr>
          <w:rFonts w:ascii="Arial" w:cs="Arial" w:eastAsia="Arial" w:hAnsi="Arial"/>
          <w:color w:val="211E17"/>
          <w:sz w:val="22"/>
          <w:szCs w:val="22"/>
        </w:rPr>
        <w:t xml:space="preserve">Real-world precedents:</w:t>
      </w:r>
    </w:p>
    <w:p>
      <w:pPr>
        <w:pStyle w:val="ListParagraph"/>
        <w:numPr>
          <w:ilvl w:val="0"/>
          <w:numId w:val="2"/>
        </w:numPr>
        <w:spacing w:after="60" w:before="60"/>
      </w:pPr>
      <w:r>
        <w:rPr>
          <w:rFonts w:ascii="Arial" w:cs="Arial" w:eastAsia="Arial" w:hAnsi="Arial"/>
          <w:color w:val="211E17"/>
          <w:sz w:val="22"/>
          <w:szCs w:val="22"/>
        </w:rPr>
        <w:t xml:space="preserve">Cake (end-of-life planning) pays 20% rev share for 12 months via hospice partner channels.</w:t>
      </w:r>
    </w:p>
    <w:p>
      <w:pPr>
        <w:pStyle w:val="ListParagraph"/>
        <w:numPr>
          <w:ilvl w:val="0"/>
          <w:numId w:val="2"/>
        </w:numPr>
        <w:spacing w:after="60" w:before="60"/>
      </w:pPr>
      <w:r>
        <w:rPr>
          <w:rFonts w:ascii="Arial" w:cs="Arial" w:eastAsia="Arial" w:hAnsi="Arial"/>
          <w:color w:val="211E17"/>
          <w:sz w:val="22"/>
          <w:szCs w:val="22"/>
        </w:rPr>
        <w:t xml:space="preserve">Trustworthy (family document vault) offers 15% rev share for 6 months via financial planner channel.</w:t>
      </w:r>
    </w:p>
    <w:p>
      <w:pPr>
        <w:pStyle w:val="ListParagraph"/>
        <w:numPr>
          <w:ilvl w:val="0"/>
          <w:numId w:val="2"/>
        </w:numPr>
        <w:spacing w:after="60" w:before="60"/>
      </w:pPr>
      <w:r>
        <w:rPr>
          <w:rFonts w:ascii="Arial" w:cs="Arial" w:eastAsia="Arial" w:hAnsi="Arial"/>
          <w:color w:val="211E17"/>
          <w:sz w:val="22"/>
          <w:szCs w:val="22"/>
        </w:rPr>
        <w:t xml:space="preserve">Docubank (Australia) uses 15–20% rev share with senior living facility partners.</w:t>
      </w:r>
    </w:p>
    <w:p>
      <w:pPr>
        <w:spacing w:after="0" w:before="80"/>
      </w:pPr>
    </w:p>
    <w:p>
      <w:pPr>
        <w:spacing w:after="80" w:before="80"/>
      </w:pPr>
      <w:r>
        <w:rPr>
          <w:rFonts w:ascii="Arial" w:cs="Arial" w:eastAsia="Arial" w:hAnsi="Arial"/>
          <w:b/>
          <w:bCs/>
          <w:color w:val="211E17"/>
          <w:sz w:val="22"/>
          <w:szCs w:val="22"/>
        </w:rPr>
        <w:t xml:space="preserve">Solace Life recommendation: </w:t>
      </w:r>
      <w:r>
        <w:rPr>
          <w:rFonts w:ascii="Arial" w:cs="Arial" w:eastAsia="Arial" w:hAnsi="Arial"/>
          <w:color w:val="211E17"/>
          <w:sz w:val="22"/>
          <w:szCs w:val="22"/>
        </w:rPr>
        <w:t xml:space="preserve">Layer onto flat fee for Growth and Strategic tiers. The combination of flat + rev share is the industry sweet spot — partners feel rewarded immediately (flat) and have reason to stay engaged long-term (rev share).</w:t>
      </w:r>
    </w:p>
    <w:p>
      <w:pPr>
        <w:spacing w:after="0" w:before="200"/>
      </w:pPr>
    </w:p>
    <w:p>
      <w:pPr>
        <w:pStyle w:val="Heading2"/>
        <w:spacing w:after="100" w:before="280"/>
      </w:pPr>
      <w:r>
        <w:rPr>
          <w:rFonts w:ascii="Arial" w:cs="Arial" w:eastAsia="Arial" w:hAnsi="Arial"/>
          <w:b/>
          <w:bCs/>
          <w:color w:val="8C3040"/>
          <w:sz w:val="26"/>
          <w:szCs w:val="26"/>
        </w:rPr>
        <w:t xml:space="preserve">Model C — Volume Tier (Escalating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BF0F2" w:val="clear"/>
            <w:tcMar>
              <w:top w:type="dxa" w:w="160"/>
              <w:left w:type="dxa" w:w="200"/>
              <w:bottom w:type="dxa" w:w="160"/>
              <w:right w:type="dxa" w:w="200"/>
            </w:tcMar>
          </w:tcPr>
          <w:p>
            <w:pPr>
              <w:spacing w:after="60" w:before="0"/>
            </w:pPr>
            <w:r>
              <w:rPr>
                <w:rFonts w:ascii="Arial" w:cs="Arial" w:eastAsia="Arial" w:hAnsi="Arial"/>
                <w:b/>
                <w:bCs/>
                <w:color w:val="211E17"/>
                <w:sz w:val="20"/>
                <w:szCs w:val="20"/>
              </w:rPr>
              <w:t xml:space="preserve">How it works: </w:t>
            </w:r>
            <w:r>
              <w:rPr>
                <w:rFonts w:ascii="Arial" w:cs="Arial" w:eastAsia="Arial" w:hAnsi="Arial"/>
                <w:color w:val="211E17"/>
                <w:sz w:val="20"/>
                <w:szCs w:val="20"/>
              </w:rPr>
              <w:t xml:space="preserve">Base rate increases automatically as monthly referral volume grows. No manual renegotiation required — the system handles tier movement.</w:t>
            </w:r>
          </w:p>
          <w:p>
            <w:pPr>
              <w:spacing w:after="60" w:before="60"/>
            </w:pPr>
            <w:r>
              <w:rPr>
                <w:rFonts w:ascii="Arial" w:cs="Arial" w:eastAsia="Arial" w:hAnsi="Arial"/>
                <w:b/>
                <w:bCs/>
                <w:color w:val="211E17"/>
                <w:sz w:val="20"/>
                <w:szCs w:val="20"/>
              </w:rPr>
              <w:t xml:space="preserve">Best for: </w:t>
            </w:r>
            <w:r>
              <w:rPr>
                <w:rFonts w:ascii="Arial" w:cs="Arial" w:eastAsia="Arial" w:hAnsi="Arial"/>
                <w:color w:val="211E17"/>
                <w:sz w:val="20"/>
                <w:szCs w:val="20"/>
              </w:rPr>
              <w:t xml:space="preserve">Senior living chains, hospital networks, and any partner with variable referral volume. Creates a natural incentive to promote more actively.</w:t>
            </w:r>
          </w:p>
          <w:p>
            <w:pPr>
              <w:spacing w:after="0" w:before="60"/>
            </w:pPr>
            <w:r>
              <w:rPr>
                <w:rFonts w:ascii="Arial" w:cs="Arial" w:eastAsia="Arial" w:hAnsi="Arial"/>
                <w:b/>
                <w:bCs/>
                <w:color w:val="211E17"/>
                <w:sz w:val="20"/>
                <w:szCs w:val="20"/>
              </w:rPr>
              <w:t xml:space="preserve">Industry benchmark: </w:t>
            </w:r>
            <w:r>
              <w:rPr>
                <w:rFonts w:ascii="Arial" w:cs="Arial" w:eastAsia="Arial" w:hAnsi="Arial"/>
                <w:color w:val="211E17"/>
                <w:sz w:val="20"/>
                <w:szCs w:val="20"/>
              </w:rPr>
              <w:t xml:space="preserve">Used by Shopify Partner Program, Freshbooks Affiliate, and most healthcare referral networks. Typical: 3–4 tiers, 5–15% rate increase per tier.</w:t>
            </w:r>
          </w:p>
        </w:tc>
      </w:tr>
    </w:tbl>
    <w:p>
      <w:pPr>
        <w:spacing w:after="0" w:before="120"/>
      </w:pPr>
    </w:p>
    <w:p>
      <w:pPr>
        <w:spacing w:after="80" w:before="80"/>
      </w:pPr>
      <w:r>
        <w:rPr>
          <w:rFonts w:ascii="Arial" w:cs="Arial" w:eastAsia="Arial" w:hAnsi="Arial"/>
          <w:b/>
          <w:bCs/>
          <w:color w:val="211E17"/>
          <w:sz w:val="22"/>
          <w:szCs w:val="22"/>
        </w:rPr>
        <w:t xml:space="preserve">Solace Life recommendation: </w:t>
      </w:r>
      <w:r>
        <w:rPr>
          <w:rFonts w:ascii="Arial" w:cs="Arial" w:eastAsia="Arial" w:hAnsi="Arial"/>
          <w:color w:val="211E17"/>
          <w:sz w:val="22"/>
          <w:szCs w:val="22"/>
        </w:rPr>
        <w:t xml:space="preserve">This is the structural backbone of our tier model (Starter / Growth / Strategic). Use 30-day rolling average for tier calculation to avoid gaming and reduce admin overhead.</w:t>
      </w:r>
    </w:p>
    <w:p>
      <w:pPr>
        <w:spacing w:after="0" w:before="200"/>
      </w:pPr>
    </w:p>
    <w:p>
      <w:pPr>
        <w:pStyle w:val="Heading2"/>
        <w:spacing w:after="100" w:before="280"/>
      </w:pPr>
      <w:r>
        <w:rPr>
          <w:rFonts w:ascii="Arial" w:cs="Arial" w:eastAsia="Arial" w:hAnsi="Arial"/>
          <w:b/>
          <w:bCs/>
          <w:color w:val="8C3040"/>
          <w:sz w:val="26"/>
          <w:szCs w:val="26"/>
        </w:rPr>
        <w:t xml:space="preserve">Model D — Co-Branding / White-Label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4F3F0" w:val="clear"/>
            <w:tcMar>
              <w:top w:type="dxa" w:w="160"/>
              <w:left w:type="dxa" w:w="200"/>
              <w:bottom w:type="dxa" w:w="160"/>
              <w:right w:type="dxa" w:w="200"/>
            </w:tcMar>
          </w:tcPr>
          <w:p>
            <w:pPr>
              <w:spacing w:after="60" w:before="0"/>
            </w:pPr>
            <w:r>
              <w:rPr>
                <w:rFonts w:ascii="Arial" w:cs="Arial" w:eastAsia="Arial" w:hAnsi="Arial"/>
                <w:b/>
                <w:bCs/>
                <w:color w:val="211E17"/>
                <w:sz w:val="20"/>
                <w:szCs w:val="20"/>
              </w:rPr>
              <w:t xml:space="preserve">How it works: </w:t>
            </w:r>
            <w:r>
              <w:rPr>
                <w:rFonts w:ascii="Arial" w:cs="Arial" w:eastAsia="Arial" w:hAnsi="Arial"/>
                <w:color w:val="211E17"/>
                <w:sz w:val="20"/>
                <w:szCs w:val="20"/>
              </w:rPr>
              <w:t xml:space="preserve">Partner gets a branded version of Solace Life to offer under their own name to their client base. They pay a wholesale per-seat fee and charge their clients directly.</w:t>
            </w:r>
          </w:p>
          <w:p>
            <w:pPr>
              <w:spacing w:after="60" w:before="60"/>
            </w:pPr>
            <w:r>
              <w:rPr>
                <w:rFonts w:ascii="Arial" w:cs="Arial" w:eastAsia="Arial" w:hAnsi="Arial"/>
                <w:b/>
                <w:bCs/>
                <w:color w:val="211E17"/>
                <w:sz w:val="20"/>
                <w:szCs w:val="20"/>
              </w:rPr>
              <w:t xml:space="preserve">Best for: </w:t>
            </w:r>
            <w:r>
              <w:rPr>
                <w:rFonts w:ascii="Arial" w:cs="Arial" w:eastAsia="Arial" w:hAnsi="Arial"/>
                <w:color w:val="211E17"/>
                <w:sz w:val="20"/>
                <w:szCs w:val="20"/>
              </w:rPr>
              <w:t xml:space="preserve">Large senior living chains, hospital health systems, and professional associations (e.g. provincial bar associations, CPA Canada chapters) that want a branded offering for their members.</w:t>
            </w:r>
          </w:p>
          <w:p>
            <w:pPr>
              <w:spacing w:after="0" w:before="60"/>
            </w:pPr>
            <w:r>
              <w:rPr>
                <w:rFonts w:ascii="Arial" w:cs="Arial" w:eastAsia="Arial" w:hAnsi="Arial"/>
                <w:b/>
                <w:bCs/>
                <w:color w:val="211E17"/>
                <w:sz w:val="20"/>
                <w:szCs w:val="20"/>
              </w:rPr>
              <w:t xml:space="preserve">Timeline consideration: </w:t>
            </w:r>
            <w:r>
              <w:rPr>
                <w:rFonts w:ascii="Arial" w:cs="Arial" w:eastAsia="Arial" w:hAnsi="Arial"/>
                <w:color w:val="211E17"/>
                <w:sz w:val="20"/>
                <w:szCs w:val="20"/>
              </w:rPr>
              <w:t xml:space="preserve">Requires custom branding work and a separate agreement. Do NOT offer in MVP phase — revisit once product is stable and team has bandwidth.</w:t>
            </w:r>
          </w:p>
        </w:tc>
      </w:tr>
    </w:tbl>
    <w:p>
      <w:pPr>
        <w:spacing w:after="0" w:before="120"/>
      </w:pPr>
    </w:p>
    <w:p>
      <w:pPr>
        <w:spacing w:after="80" w:before="80"/>
      </w:pPr>
      <w:r>
        <w:rPr>
          <w:rFonts w:ascii="Arial" w:cs="Arial" w:eastAsia="Arial" w:hAnsi="Arial"/>
          <w:b/>
          <w:bCs/>
          <w:color w:val="211E17"/>
          <w:sz w:val="22"/>
          <w:szCs w:val="22"/>
        </w:rPr>
        <w:t xml:space="preserve">Solace Life recommendation: </w:t>
      </w:r>
      <w:r>
        <w:rPr>
          <w:rFonts w:ascii="Arial" w:cs="Arial" w:eastAsia="Arial" w:hAnsi="Arial"/>
          <w:color w:val="211E17"/>
          <w:sz w:val="22"/>
          <w:szCs w:val="22"/>
        </w:rPr>
        <w:t xml:space="preserve">Hold for Phase 2 (post-App Store launch). Keep as a premium conversation for large-volume prospects who are not well served by the standard tier model.</w:t>
      </w:r>
    </w:p>
    <w:p>
      <w:pPr>
        <w:spacing w:after="0" w:before="200"/>
      </w:pPr>
    </w:p>
    <w:p>
      <w:pPr>
        <w:pStyle w:val="Heading2"/>
        <w:spacing w:after="100" w:before="280"/>
      </w:pPr>
      <w:r>
        <w:rPr>
          <w:rFonts w:ascii="Arial" w:cs="Arial" w:eastAsia="Arial" w:hAnsi="Arial"/>
          <w:b/>
          <w:bCs/>
          <w:color w:val="8C3040"/>
          <w:sz w:val="26"/>
          <w:szCs w:val="26"/>
        </w:rPr>
        <w:t xml:space="preserve">Model E — Freemium Seat + Conversion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5EE" w:val="clear"/>
            <w:tcMar>
              <w:top w:type="dxa" w:w="160"/>
              <w:left w:type="dxa" w:w="200"/>
              <w:bottom w:type="dxa" w:w="160"/>
              <w:right w:type="dxa" w:w="200"/>
            </w:tcMar>
          </w:tcPr>
          <w:p>
            <w:pPr>
              <w:spacing w:after="60" w:before="0"/>
            </w:pPr>
            <w:r>
              <w:rPr>
                <w:rFonts w:ascii="Arial" w:cs="Arial" w:eastAsia="Arial" w:hAnsi="Arial"/>
                <w:b/>
                <w:bCs/>
                <w:color w:val="211E17"/>
                <w:sz w:val="20"/>
                <w:szCs w:val="20"/>
              </w:rPr>
              <w:t xml:space="preserve">How it works: </w:t>
            </w:r>
            <w:r>
              <w:rPr>
                <w:rFonts w:ascii="Arial" w:cs="Arial" w:eastAsia="Arial" w:hAnsi="Arial"/>
                <w:color w:val="211E17"/>
                <w:sz w:val="20"/>
                <w:szCs w:val="20"/>
              </w:rPr>
              <w:t xml:space="preserve">Partner receives a block of free accounts for demo or staff use. When a free user converts to paid, the partner earns a conversion bonus.</w:t>
            </w:r>
          </w:p>
          <w:p>
            <w:pPr>
              <w:spacing w:after="60" w:before="60"/>
            </w:pPr>
            <w:r>
              <w:rPr>
                <w:rFonts w:ascii="Arial" w:cs="Arial" w:eastAsia="Arial" w:hAnsi="Arial"/>
                <w:b/>
                <w:bCs/>
                <w:color w:val="211E17"/>
                <w:sz w:val="20"/>
                <w:szCs w:val="20"/>
              </w:rPr>
              <w:t xml:space="preserve">Best for: </w:t>
            </w:r>
            <w:r>
              <w:rPr>
                <w:rFonts w:ascii="Arial" w:cs="Arial" w:eastAsia="Arial" w:hAnsi="Arial"/>
                <w:color w:val="211E17"/>
                <w:sz w:val="20"/>
                <w:szCs w:val="20"/>
              </w:rPr>
              <w:t xml:space="preserve">Senior homes where staff can use the app themselves and become organic advocates, or medical clinics where staff recommend from personal experience.</w:t>
            </w:r>
          </w:p>
          <w:p>
            <w:pPr>
              <w:spacing w:after="0" w:before="60"/>
            </w:pPr>
            <w:r>
              <w:rPr>
                <w:rFonts w:ascii="Arial" w:cs="Arial" w:eastAsia="Arial" w:hAnsi="Arial"/>
                <w:b/>
                <w:bCs/>
                <w:color w:val="211E17"/>
                <w:sz w:val="20"/>
                <w:szCs w:val="20"/>
              </w:rPr>
              <w:t xml:space="preserve">Industry benchmark: </w:t>
            </w:r>
            <w:r>
              <w:rPr>
                <w:rFonts w:ascii="Arial" w:cs="Arial" w:eastAsia="Arial" w:hAnsi="Arial"/>
                <w:color w:val="211E17"/>
                <w:sz w:val="20"/>
                <w:szCs w:val="20"/>
              </w:rPr>
              <w:t xml:space="preserve">3–5 free seats per partner; $15–$25 conversion bonus when free user upgrades to paid within 90 days.</w:t>
            </w:r>
          </w:p>
        </w:tc>
      </w:tr>
    </w:tbl>
    <w:p>
      <w:pPr>
        <w:spacing w:after="0" w:before="120"/>
      </w:pPr>
    </w:p>
    <w:p>
      <w:pPr>
        <w:spacing w:after="80" w:before="80"/>
      </w:pPr>
      <w:r>
        <w:rPr>
          <w:rFonts w:ascii="Arial" w:cs="Arial" w:eastAsia="Arial" w:hAnsi="Arial"/>
          <w:b/>
          <w:bCs/>
          <w:color w:val="211E17"/>
          <w:sz w:val="22"/>
          <w:szCs w:val="22"/>
        </w:rPr>
        <w:t xml:space="preserve">Solace Life recommendation: </w:t>
      </w:r>
      <w:r>
        <w:rPr>
          <w:rFonts w:ascii="Arial" w:cs="Arial" w:eastAsia="Arial" w:hAnsi="Arial"/>
          <w:color w:val="211E17"/>
          <w:sz w:val="22"/>
          <w:szCs w:val="22"/>
        </w:rPr>
        <w:t xml:space="preserve">Offer 3 free accounts to all Growth and Strategic partners for internal use. Creates genuine word-of-mouth inside the organization, not just referral-for-pay.</w:t>
      </w:r>
    </w:p>
    <w:p>
      <w:pPr>
        <w:spacing w:after="0" w:before="200"/>
      </w:pPr>
    </w:p>
    <w:p>
      <w:pPr>
        <w:pStyle w:val="Heading1"/>
        <w:spacing w:after="120" w:before="360"/>
      </w:pPr>
      <w:r>
        <w:rPr>
          <w:rFonts w:ascii="Arial" w:cs="Arial" w:eastAsia="Arial" w:hAnsi="Arial"/>
          <w:b/>
          <w:bCs/>
          <w:color w:val="211E17"/>
          <w:sz w:val="32"/>
          <w:szCs w:val="32"/>
        </w:rPr>
        <w:t xml:space="preserve">3.  Recommended Tier Structure</w:t>
      </w:r>
    </w:p>
    <w:p>
      <w:pPr>
        <w:spacing w:after="80" w:before="80"/>
      </w:pPr>
      <w:r>
        <w:rPr>
          <w:rFonts w:ascii="Arial" w:cs="Arial" w:eastAsia="Arial" w:hAnsi="Arial"/>
          <w:color w:val="211E17"/>
          <w:sz w:val="22"/>
          <w:szCs w:val="22"/>
        </w:rPr>
        <w:t xml:space="preserve">The following structure combines Model A (flat fee), Model B (rev share), and Model C (volume escalation) into a single coherent framework. All amounts in CAD.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60"/>
      </w:tblGrid>
      <w:tr>
        <w:trPr>
          <w:tblHeader/>
        </w:trPr>
        <w:tc>
          <w:tcPr>
            <w:tcW w:type="dxa" w:w="1800"/>
            <w:tcBorders>
              <w:top w:val="single" w:color="CCCCCC" w:sz="1"/>
              <w:left w:val="single" w:color="CCCCCC" w:sz="1"/>
              <w:bottom w:val="single" w:color="CCCCCC" w:sz="1"/>
              <w:right w:val="single" w:color="CCCCCC" w:sz="1"/>
            </w:tcBorders>
            <w:shd w:fill="F4F3F0" w:val="clear"/>
            <w:tcMar>
              <w:top w:type="dxa" w:w="120"/>
              <w:left w:type="dxa" w:w="120"/>
              <w:bottom w:type="dxa" w:w="120"/>
              <w:right w:type="dxa" w:w="120"/>
            </w:tcMar>
          </w:tcPr>
          <w:p>
            <w:r>
              <w:rPr>
                <w:rFonts w:ascii="Arial" w:cs="Arial" w:eastAsia="Arial" w:hAnsi="Arial"/>
                <w:b/>
                <w:bCs/>
                <w:color w:val="211E17"/>
                <w:sz w:val="20"/>
                <w:szCs w:val="20"/>
              </w:rPr>
              <w:t xml:space="preserve">Tier</w:t>
            </w:r>
          </w:p>
        </w:tc>
        <w:tc>
          <w:tcPr>
            <w:tcW w:type="dxa" w:w="2100"/>
            <w:tcBorders>
              <w:top w:val="single" w:color="CCCCCC" w:sz="1"/>
              <w:left w:val="single" w:color="CCCCCC" w:sz="1"/>
              <w:bottom w:val="single" w:color="CCCCCC" w:sz="1"/>
              <w:right w:val="single" w:color="CCCCCC" w:sz="1"/>
            </w:tcBorders>
            <w:shd w:fill="FDF5E0" w:val="clear"/>
            <w:tcMar>
              <w:top w:type="dxa" w:w="120"/>
              <w:left w:type="dxa" w:w="120"/>
              <w:bottom w:type="dxa" w:w="120"/>
              <w:right w:type="dxa" w:w="120"/>
            </w:tcMar>
          </w:tcPr>
          <w:p>
            <w:r>
              <w:rPr>
                <w:rFonts w:ascii="Arial" w:cs="Arial" w:eastAsia="Arial" w:hAnsi="Arial"/>
                <w:b/>
                <w:bCs/>
                <w:color w:val="211E17"/>
                <w:sz w:val="20"/>
                <w:szCs w:val="20"/>
              </w:rPr>
              <w:t xml:space="preserve">Starter</w:t>
            </w:r>
          </w:p>
        </w:tc>
        <w:tc>
          <w:tcPr>
            <w:tcW w:type="dxa" w:w="2100"/>
            <w:tcBorders>
              <w:top w:val="single" w:color="CCCCCC" w:sz="1"/>
              <w:left w:val="single" w:color="CCCCCC" w:sz="1"/>
              <w:bottom w:val="single" w:color="CCCCCC" w:sz="1"/>
              <w:right w:val="single" w:color="CCCCCC" w:sz="1"/>
            </w:tcBorders>
            <w:shd w:fill="FDF5E0" w:val="clear"/>
            <w:tcMar>
              <w:top w:type="dxa" w:w="120"/>
              <w:left w:type="dxa" w:w="120"/>
              <w:bottom w:type="dxa" w:w="120"/>
              <w:right w:type="dxa" w:w="120"/>
            </w:tcMar>
          </w:tcPr>
          <w:p>
            <w:r>
              <w:rPr>
                <w:rFonts w:ascii="Arial" w:cs="Arial" w:eastAsia="Arial" w:hAnsi="Arial"/>
                <w:b/>
                <w:bCs/>
                <w:color w:val="211E17"/>
                <w:sz w:val="20"/>
                <w:szCs w:val="20"/>
              </w:rPr>
              <w:t xml:space="preserve">Growth</w:t>
            </w:r>
          </w:p>
        </w:tc>
        <w:tc>
          <w:tcPr>
            <w:tcW w:type="dxa" w:w="3360"/>
            <w:tcBorders>
              <w:top w:val="single" w:color="CCCCCC" w:sz="1"/>
              <w:left w:val="single" w:color="CCCCCC" w:sz="1"/>
              <w:bottom w:val="single" w:color="CCCCCC" w:sz="1"/>
              <w:right w:val="single" w:color="CCCCCC" w:sz="1"/>
            </w:tcBorders>
            <w:shd w:fill="FDF5E0" w:val="clear"/>
            <w:tcMar>
              <w:top w:type="dxa" w:w="120"/>
              <w:left w:type="dxa" w:w="120"/>
              <w:bottom w:type="dxa" w:w="120"/>
              <w:right w:type="dxa" w:w="120"/>
            </w:tcMar>
          </w:tcPr>
          <w:p>
            <w:r>
              <w:rPr>
                <w:rFonts w:ascii="Arial" w:cs="Arial" w:eastAsia="Arial" w:hAnsi="Arial"/>
                <w:b/>
                <w:bCs/>
                <w:color w:val="211E17"/>
                <w:sz w:val="20"/>
                <w:szCs w:val="20"/>
              </w:rPr>
              <w:t xml:space="preserve">Strategic</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7A7060"/>
                <w:sz w:val="20"/>
                <w:szCs w:val="20"/>
              </w:rPr>
              <w:t xml:space="preserve">Monthly referrals</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1–9 users</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10–29 users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30+ users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7A7060"/>
                <w:sz w:val="20"/>
                <w:szCs w:val="20"/>
              </w:rPr>
              <w:t xml:space="preserve">Flat fee per activation</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$20 CAD</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$25 CAD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$30 CAD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7A7060"/>
                <w:sz w:val="20"/>
                <w:szCs w:val="20"/>
              </w:rPr>
              <w:t xml:space="preserve">Rev share</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10% for 6 months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15% for 12 months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7A7060"/>
                <w:sz w:val="20"/>
                <w:szCs w:val="20"/>
              </w:rPr>
              <w:t xml:space="preserve">Free partner seats</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3 accounts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5 accounts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7A7060"/>
                <w:sz w:val="20"/>
                <w:szCs w:val="20"/>
              </w:rPr>
              <w:t xml:space="preserve">Co-branded materials</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Link + QR code</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Link + custom page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Branded portal</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7A7060"/>
                <w:sz w:val="20"/>
                <w:szCs w:val="20"/>
              </w:rPr>
              <w:t xml:space="preserve">Support</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Email</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Priority email + onboarding call</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Dedicated contact + QBR</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7A7060"/>
                <w:sz w:val="20"/>
                <w:szCs w:val="20"/>
              </w:rPr>
              <w:t xml:space="preserve">Early feature access</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In-app chat (beta)</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bCs/>
                <w:color w:val="7A7060"/>
                <w:sz w:val="20"/>
                <w:szCs w:val="20"/>
              </w:rPr>
              <w:t xml:space="preserve">Payout frequency</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Monthly</w:t>
            </w:r>
          </w:p>
        </w:tc>
        <w:tc>
          <w:tcPr>
            <w:tcW w:type="dxa" w:w="21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Monthly</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Monthly</w:t>
            </w:r>
          </w:p>
        </w:tc>
      </w:tr>
    </w:tbl>
    <w:p>
      <w:pPr>
        <w:spacing w:after="0" w:before="160"/>
      </w:pPr>
    </w:p>
    <w:p>
      <w:pPr>
        <w:spacing w:after="80" w:before="80"/>
      </w:pPr>
      <w:r>
        <w:rPr>
          <w:rFonts w:ascii="Arial" w:cs="Arial" w:eastAsia="Arial" w:hAnsi="Arial"/>
          <w:color w:val="211E17"/>
          <w:sz w:val="22"/>
          <w:szCs w:val="22"/>
        </w:rPr>
        <w:t xml:space="preserve">Tier calculation uses a 30-day rolling average. Partners move up automatically when they exceed the threshold; they do not move down for 90 days after a downward shift in volume (grace period prevents gaming and accounts for seasonal variation).</w:t>
      </w:r>
    </w:p>
    <w:p>
      <w:pPr>
        <w:spacing w:after="0" w:before="200"/>
      </w:pPr>
    </w:p>
    <w:p>
      <w:pPr>
        <w:pStyle w:val="Heading1"/>
        <w:spacing w:after="120" w:before="360"/>
      </w:pPr>
      <w:r>
        <w:rPr>
          <w:rFonts w:ascii="Arial" w:cs="Arial" w:eastAsia="Arial" w:hAnsi="Arial"/>
          <w:b/>
          <w:bCs/>
          <w:color w:val="211E17"/>
          <w:sz w:val="32"/>
          <w:szCs w:val="32"/>
        </w:rPr>
        <w:t xml:space="preserve">4.  Compensation by Partner Type</w:t>
      </w:r>
    </w:p>
    <w:p>
      <w:pPr>
        <w:spacing w:after="80" w:before="80"/>
      </w:pPr>
      <w:r>
        <w:rPr>
          <w:rFonts w:ascii="Arial" w:cs="Arial" w:eastAsia="Arial" w:hAnsi="Arial"/>
          <w:color w:val="211E17"/>
          <w:sz w:val="22"/>
          <w:szCs w:val="22"/>
        </w:rPr>
        <w:t xml:space="preserve">Different partner types have different referral cadences, sensitivity to monetary incentives, and preferred introduction methods. The following guidance helps calibrate conversations with each segment.</w:t>
      </w:r>
    </w:p>
    <w:p>
      <w:pPr>
        <w:spacing w:after="0" w:before="160"/>
      </w:pPr>
    </w:p>
    <w:p>
      <w:pPr>
        <w:pStyle w:val="Heading2"/>
        <w:spacing w:after="100" w:before="280"/>
      </w:pPr>
      <w:r>
        <w:rPr>
          <w:rFonts w:ascii="Arial" w:cs="Arial" w:eastAsia="Arial" w:hAnsi="Arial"/>
          <w:b/>
          <w:bCs/>
          <w:color w:val="8C3040"/>
          <w:sz w:val="26"/>
          <w:szCs w:val="26"/>
        </w:rPr>
        <w:t xml:space="preserve">4.1  Senior Living &amp; Care Homes</w:t>
      </w:r>
    </w:p>
    <w:p>
      <w:pPr>
        <w:pStyle w:val="ListParagraph"/>
        <w:numPr>
          <w:ilvl w:val="0"/>
          <w:numId w:val="2"/>
        </w:numPr>
        <w:spacing w:after="60" w:before="60"/>
      </w:pPr>
      <w:r>
        <w:rPr>
          <w:rFonts w:ascii="Arial" w:cs="Arial" w:eastAsia="Arial" w:hAnsi="Arial"/>
          <w:color w:val="211E17"/>
          <w:sz w:val="22"/>
          <w:szCs w:val="22"/>
        </w:rPr>
        <w:t xml:space="preserve">Typical volume: 5–40 referrals/month (depending on facility size)</w:t>
      </w:r>
    </w:p>
    <w:p>
      <w:pPr>
        <w:pStyle w:val="ListParagraph"/>
        <w:numPr>
          <w:ilvl w:val="0"/>
          <w:numId w:val="2"/>
        </w:numPr>
        <w:spacing w:after="60" w:before="60"/>
      </w:pPr>
      <w:r>
        <w:rPr>
          <w:rFonts w:ascii="Arial" w:cs="Arial" w:eastAsia="Arial" w:hAnsi="Arial"/>
          <w:color w:val="211E17"/>
          <w:sz w:val="22"/>
          <w:szCs w:val="22"/>
        </w:rPr>
        <w:t xml:space="preserve">Best model: Volume tier + freemium staff seats</w:t>
      </w:r>
    </w:p>
    <w:p>
      <w:pPr>
        <w:pStyle w:val="ListParagraph"/>
        <w:numPr>
          <w:ilvl w:val="0"/>
          <w:numId w:val="2"/>
        </w:numPr>
        <w:spacing w:after="60" w:before="60"/>
      </w:pPr>
      <w:r>
        <w:rPr>
          <w:rFonts w:ascii="Arial" w:cs="Arial" w:eastAsia="Arial" w:hAnsi="Arial"/>
          <w:color w:val="211E17"/>
          <w:sz w:val="22"/>
          <w:szCs w:val="22"/>
        </w:rPr>
        <w:t xml:space="preserve">Introduction approach: Resident family engagement programs, new-resident welcome kits, staff recommendations</w:t>
      </w:r>
    </w:p>
    <w:p>
      <w:pPr>
        <w:pStyle w:val="ListParagraph"/>
        <w:numPr>
          <w:ilvl w:val="0"/>
          <w:numId w:val="2"/>
        </w:numPr>
        <w:spacing w:after="60" w:before="60"/>
      </w:pPr>
      <w:r>
        <w:rPr>
          <w:rFonts w:ascii="Arial" w:cs="Arial" w:eastAsia="Arial" w:hAnsi="Arial"/>
          <w:color w:val="211E17"/>
          <w:sz w:val="22"/>
          <w:szCs w:val="22"/>
        </w:rPr>
        <w:t xml:space="preserve">Key value prop: Emergency contact lock screen feature — families want it and care homes benefit from fewer “we couldn’t reach you” incidents</w:t>
      </w:r>
    </w:p>
    <w:p>
      <w:pPr>
        <w:pStyle w:val="ListParagraph"/>
        <w:numPr>
          <w:ilvl w:val="0"/>
          <w:numId w:val="2"/>
        </w:numPr>
        <w:spacing w:after="60" w:before="60"/>
      </w:pPr>
      <w:r>
        <w:rPr>
          <w:rFonts w:ascii="Arial" w:cs="Arial" w:eastAsia="Arial" w:hAnsi="Arial"/>
          <w:color w:val="211E17"/>
          <w:sz w:val="22"/>
          <w:szCs w:val="22"/>
        </w:rPr>
        <w:t xml:space="preserve">Revenue share sensitivity: Moderate — care homes appreciate recurring income but are primarily motivated by resident/family service enhancement</w:t>
      </w:r>
    </w:p>
    <w:p>
      <w:pPr>
        <w:pStyle w:val="ListParagraph"/>
        <w:numPr>
          <w:ilvl w:val="0"/>
          <w:numId w:val="2"/>
        </w:numPr>
        <w:spacing w:after="60" w:before="60"/>
      </w:pPr>
      <w:r>
        <w:rPr>
          <w:rFonts w:ascii="Arial" w:cs="Arial" w:eastAsia="Arial" w:hAnsi="Arial"/>
          <w:color w:val="211E17"/>
          <w:sz w:val="22"/>
          <w:szCs w:val="22"/>
        </w:rPr>
        <w:t xml:space="preserve">Suggested starting ask: “Can we set up a 20-minute call with your Director of Care and Family Engagement Coordinator?”</w:t>
      </w:r>
    </w:p>
    <w:p>
      <w:pPr>
        <w:spacing w:after="0" w:before="160"/>
      </w:pPr>
    </w:p>
    <w:p>
      <w:pPr>
        <w:pStyle w:val="Heading2"/>
        <w:spacing w:after="100" w:before="280"/>
      </w:pPr>
      <w:r>
        <w:rPr>
          <w:rFonts w:ascii="Arial" w:cs="Arial" w:eastAsia="Arial" w:hAnsi="Arial"/>
          <w:b/>
          <w:bCs/>
          <w:color w:val="8C3040"/>
          <w:sz w:val="26"/>
          <w:szCs w:val="26"/>
        </w:rPr>
        <w:t xml:space="preserve">4.2  Estate &amp; Wills Lawyers</w:t>
      </w:r>
    </w:p>
    <w:p>
      <w:pPr>
        <w:pStyle w:val="ListParagraph"/>
        <w:numPr>
          <w:ilvl w:val="0"/>
          <w:numId w:val="2"/>
        </w:numPr>
        <w:spacing w:after="60" w:before="60"/>
      </w:pPr>
      <w:r>
        <w:rPr>
          <w:rFonts w:ascii="Arial" w:cs="Arial" w:eastAsia="Arial" w:hAnsi="Arial"/>
          <w:color w:val="211E17"/>
          <w:sz w:val="22"/>
          <w:szCs w:val="22"/>
        </w:rPr>
        <w:t xml:space="preserve">Typical volume: 2–15 referrals/month (most are sole practitioners or small firms)</w:t>
      </w:r>
    </w:p>
    <w:p>
      <w:pPr>
        <w:pStyle w:val="ListParagraph"/>
        <w:numPr>
          <w:ilvl w:val="0"/>
          <w:numId w:val="2"/>
        </w:numPr>
        <w:spacing w:after="60" w:before="60"/>
      </w:pPr>
      <w:r>
        <w:rPr>
          <w:rFonts w:ascii="Arial" w:cs="Arial" w:eastAsia="Arial" w:hAnsi="Arial"/>
          <w:color w:val="211E17"/>
          <w:sz w:val="22"/>
          <w:szCs w:val="22"/>
        </w:rPr>
        <w:t xml:space="preserve">Best model: Flat fee per activation, keep it simple</w:t>
      </w:r>
    </w:p>
    <w:p>
      <w:pPr>
        <w:pStyle w:val="ListParagraph"/>
        <w:numPr>
          <w:ilvl w:val="0"/>
          <w:numId w:val="2"/>
        </w:numPr>
        <w:spacing w:after="60" w:before="60"/>
      </w:pPr>
      <w:r>
        <w:rPr>
          <w:rFonts w:ascii="Arial" w:cs="Arial" w:eastAsia="Arial" w:hAnsi="Arial"/>
          <w:color w:val="211E17"/>
          <w:sz w:val="22"/>
          <w:szCs w:val="22"/>
        </w:rPr>
        <w:t xml:space="preserve">Introduction approach: At the end of will/estate review appointments; include in follow-up email as a resource</w:t>
      </w:r>
    </w:p>
    <w:p>
      <w:pPr>
        <w:pStyle w:val="ListParagraph"/>
        <w:numPr>
          <w:ilvl w:val="0"/>
          <w:numId w:val="2"/>
        </w:numPr>
        <w:spacing w:after="60" w:before="60"/>
      </w:pPr>
      <w:r>
        <w:rPr>
          <w:rFonts w:ascii="Arial" w:cs="Arial" w:eastAsia="Arial" w:hAnsi="Arial"/>
          <w:color w:val="211E17"/>
          <w:sz w:val="22"/>
          <w:szCs w:val="22"/>
        </w:rPr>
        <w:t xml:space="preserve">Key value prop: Solace Life gives clients something actionable to do immediately after meeting with you — captures voice/stories/wishes while they’re thinking about it</w:t>
      </w:r>
    </w:p>
    <w:p>
      <w:pPr>
        <w:pStyle w:val="ListParagraph"/>
        <w:numPr>
          <w:ilvl w:val="0"/>
          <w:numId w:val="2"/>
        </w:numPr>
        <w:spacing w:after="60" w:before="60"/>
      </w:pPr>
      <w:r>
        <w:rPr>
          <w:rFonts w:ascii="Arial" w:cs="Arial" w:eastAsia="Arial" w:hAnsi="Arial"/>
          <w:color w:val="211E17"/>
          <w:sz w:val="22"/>
          <w:szCs w:val="22"/>
        </w:rPr>
        <w:t xml:space="preserve">Revenue share sensitivity: Low — lawyers prefer clean, per-transaction compensation with minimal admin</w:t>
      </w:r>
    </w:p>
    <w:p>
      <w:pPr>
        <w:pStyle w:val="ListParagraph"/>
        <w:numPr>
          <w:ilvl w:val="0"/>
          <w:numId w:val="2"/>
        </w:numPr>
        <w:spacing w:after="60" w:before="60"/>
      </w:pPr>
      <w:r>
        <w:rPr>
          <w:rFonts w:ascii="Arial" w:cs="Arial" w:eastAsia="Arial" w:hAnsi="Arial"/>
          <w:color w:val="211E17"/>
          <w:sz w:val="22"/>
          <w:szCs w:val="22"/>
        </w:rPr>
        <w:t xml:space="preserve">Regulatory note: In some provinces, lawyers cannot receive referral fees for non-legal services (see Section 5). Use “educational partnership” framing as needed.</w:t>
      </w:r>
    </w:p>
    <w:p>
      <w:pPr>
        <w:pStyle w:val="ListParagraph"/>
        <w:numPr>
          <w:ilvl w:val="0"/>
          <w:numId w:val="2"/>
        </w:numPr>
        <w:spacing w:after="60" w:before="60"/>
      </w:pPr>
      <w:r>
        <w:rPr>
          <w:rFonts w:ascii="Arial" w:cs="Arial" w:eastAsia="Arial" w:hAnsi="Arial"/>
          <w:color w:val="211E17"/>
          <w:sz w:val="22"/>
          <w:szCs w:val="22"/>
        </w:rPr>
        <w:t xml:space="preserve">Suggested starting ask: “Would you like a referral code to share with clients as a complimentary resource after estate appointments?”</w:t>
      </w:r>
    </w:p>
    <w:p>
      <w:pPr>
        <w:spacing w:after="0" w:before="160"/>
      </w:pPr>
    </w:p>
    <w:p>
      <w:pPr>
        <w:pStyle w:val="Heading2"/>
        <w:spacing w:after="100" w:before="280"/>
      </w:pPr>
      <w:r>
        <w:rPr>
          <w:rFonts w:ascii="Arial" w:cs="Arial" w:eastAsia="Arial" w:hAnsi="Arial"/>
          <w:b/>
          <w:bCs/>
          <w:color w:val="8C3040"/>
          <w:sz w:val="26"/>
          <w:szCs w:val="26"/>
        </w:rPr>
        <w:t xml:space="preserve">4.3  Financial Planners &amp; CPAs</w:t>
      </w:r>
    </w:p>
    <w:p>
      <w:pPr>
        <w:pStyle w:val="ListParagraph"/>
        <w:numPr>
          <w:ilvl w:val="0"/>
          <w:numId w:val="2"/>
        </w:numPr>
        <w:spacing w:after="60" w:before="60"/>
      </w:pPr>
      <w:r>
        <w:rPr>
          <w:rFonts w:ascii="Arial" w:cs="Arial" w:eastAsia="Arial" w:hAnsi="Arial"/>
          <w:color w:val="211E17"/>
          <w:sz w:val="22"/>
          <w:szCs w:val="22"/>
        </w:rPr>
        <w:t xml:space="preserve">Typical volume: 5–25 referrals/month (ongoing client relationships make this a natural fit)</w:t>
      </w:r>
    </w:p>
    <w:p>
      <w:pPr>
        <w:pStyle w:val="ListParagraph"/>
        <w:numPr>
          <w:ilvl w:val="0"/>
          <w:numId w:val="2"/>
        </w:numPr>
        <w:spacing w:after="60" w:before="60"/>
      </w:pPr>
      <w:r>
        <w:rPr>
          <w:rFonts w:ascii="Arial" w:cs="Arial" w:eastAsia="Arial" w:hAnsi="Arial"/>
          <w:color w:val="211E17"/>
          <w:sz w:val="22"/>
          <w:szCs w:val="22"/>
        </w:rPr>
        <w:t xml:space="preserve">Best model: Flat fee + rev share (Growth tier is the natural landing zone)</w:t>
      </w:r>
    </w:p>
    <w:p>
      <w:pPr>
        <w:pStyle w:val="ListParagraph"/>
        <w:numPr>
          <w:ilvl w:val="0"/>
          <w:numId w:val="2"/>
        </w:numPr>
        <w:spacing w:after="60" w:before="60"/>
      </w:pPr>
      <w:r>
        <w:rPr>
          <w:rFonts w:ascii="Arial" w:cs="Arial" w:eastAsia="Arial" w:hAnsi="Arial"/>
          <w:color w:val="211E17"/>
          <w:sz w:val="22"/>
          <w:szCs w:val="22"/>
        </w:rPr>
        <w:t xml:space="preserve">Introduction approach: Annual review meetings, estate planning discussions, retirement planning conversations</w:t>
      </w:r>
    </w:p>
    <w:p>
      <w:pPr>
        <w:pStyle w:val="ListParagraph"/>
        <w:numPr>
          <w:ilvl w:val="0"/>
          <w:numId w:val="2"/>
        </w:numPr>
        <w:spacing w:after="60" w:before="60"/>
      </w:pPr>
      <w:r>
        <w:rPr>
          <w:rFonts w:ascii="Arial" w:cs="Arial" w:eastAsia="Arial" w:hAnsi="Arial"/>
          <w:color w:val="211E17"/>
          <w:sz w:val="22"/>
          <w:szCs w:val="22"/>
        </w:rPr>
        <w:t xml:space="preserve">Key value prop: Complements the financial conversation with the emotional — helps clients act on intentions, not just numbers</w:t>
      </w:r>
    </w:p>
    <w:p>
      <w:pPr>
        <w:pStyle w:val="ListParagraph"/>
        <w:numPr>
          <w:ilvl w:val="0"/>
          <w:numId w:val="2"/>
        </w:numPr>
        <w:spacing w:after="60" w:before="60"/>
      </w:pPr>
      <w:r>
        <w:rPr>
          <w:rFonts w:ascii="Arial" w:cs="Arial" w:eastAsia="Arial" w:hAnsi="Arial"/>
          <w:color w:val="211E17"/>
          <w:sz w:val="22"/>
          <w:szCs w:val="22"/>
        </w:rPr>
        <w:t xml:space="preserve">Revenue share sensitivity: High — financial professionals understand the value of recurring income and are comfortable with percentage-based compensation</w:t>
      </w:r>
    </w:p>
    <w:p>
      <w:pPr>
        <w:pStyle w:val="ListParagraph"/>
        <w:numPr>
          <w:ilvl w:val="0"/>
          <w:numId w:val="2"/>
        </w:numPr>
        <w:spacing w:after="60" w:before="60"/>
      </w:pPr>
      <w:r>
        <w:rPr>
          <w:rFonts w:ascii="Arial" w:cs="Arial" w:eastAsia="Arial" w:hAnsi="Arial"/>
          <w:color w:val="211E17"/>
          <w:sz w:val="22"/>
          <w:szCs w:val="22"/>
        </w:rPr>
        <w:t xml:space="preserve">Compliance note: CFPs must disclose all compensation to clients under IIROC/MFDA rules. Provide a clear one-paragraph disclosure template.</w:t>
      </w:r>
    </w:p>
    <w:p>
      <w:pPr>
        <w:spacing w:after="0" w:before="160"/>
      </w:pPr>
    </w:p>
    <w:p>
      <w:pPr>
        <w:pStyle w:val="Heading2"/>
        <w:spacing w:after="100" w:before="280"/>
      </w:pPr>
      <w:r>
        <w:rPr>
          <w:rFonts w:ascii="Arial" w:cs="Arial" w:eastAsia="Arial" w:hAnsi="Arial"/>
          <w:b/>
          <w:bCs/>
          <w:color w:val="8C3040"/>
          <w:sz w:val="26"/>
          <w:szCs w:val="26"/>
        </w:rPr>
        <w:t xml:space="preserve">4.4  Funeral Homes &amp; Cremation Services</w:t>
      </w:r>
    </w:p>
    <w:p>
      <w:pPr>
        <w:pStyle w:val="ListParagraph"/>
        <w:numPr>
          <w:ilvl w:val="0"/>
          <w:numId w:val="2"/>
        </w:numPr>
        <w:spacing w:after="60" w:before="60"/>
      </w:pPr>
      <w:r>
        <w:rPr>
          <w:rFonts w:ascii="Arial" w:cs="Arial" w:eastAsia="Arial" w:hAnsi="Arial"/>
          <w:color w:val="211E17"/>
          <w:sz w:val="22"/>
          <w:szCs w:val="22"/>
        </w:rPr>
        <w:t xml:space="preserve">Typical volume: 2–10 referrals/month (often introducing to pre-planning clients, not bereaved families)</w:t>
      </w:r>
    </w:p>
    <w:p>
      <w:pPr>
        <w:pStyle w:val="ListParagraph"/>
        <w:numPr>
          <w:ilvl w:val="0"/>
          <w:numId w:val="2"/>
        </w:numPr>
        <w:spacing w:after="60" w:before="60"/>
      </w:pPr>
      <w:r>
        <w:rPr>
          <w:rFonts w:ascii="Arial" w:cs="Arial" w:eastAsia="Arial" w:hAnsi="Arial"/>
          <w:color w:val="211E17"/>
          <w:sz w:val="22"/>
          <w:szCs w:val="22"/>
        </w:rPr>
        <w:t xml:space="preserve">Best model: Flat fee; avoid rev share framing (can feel transactional in grief context)</w:t>
      </w:r>
    </w:p>
    <w:p>
      <w:pPr>
        <w:pStyle w:val="ListParagraph"/>
        <w:numPr>
          <w:ilvl w:val="0"/>
          <w:numId w:val="2"/>
        </w:numPr>
        <w:spacing w:after="60" w:before="60"/>
      </w:pPr>
      <w:r>
        <w:rPr>
          <w:rFonts w:ascii="Arial" w:cs="Arial" w:eastAsia="Arial" w:hAnsi="Arial"/>
          <w:color w:val="211E17"/>
          <w:sz w:val="22"/>
          <w:szCs w:val="22"/>
        </w:rPr>
        <w:t xml:space="preserve">Introduction approach: Pre-need planning appointments, online obituary/memory pages, family follow-up resources</w:t>
      </w:r>
    </w:p>
    <w:p>
      <w:pPr>
        <w:pStyle w:val="ListParagraph"/>
        <w:numPr>
          <w:ilvl w:val="0"/>
          <w:numId w:val="2"/>
        </w:numPr>
        <w:spacing w:after="60" w:before="60"/>
      </w:pPr>
      <w:r>
        <w:rPr>
          <w:rFonts w:ascii="Arial" w:cs="Arial" w:eastAsia="Arial" w:hAnsi="Arial"/>
          <w:color w:val="211E17"/>
          <w:sz w:val="22"/>
          <w:szCs w:val="22"/>
        </w:rPr>
        <w:t xml:space="preserve">Key value prop: Solace Life is most valuable before the funeral home is needed — position as a proactive gift for families planning ahead</w:t>
      </w:r>
    </w:p>
    <w:p>
      <w:pPr>
        <w:pStyle w:val="ListParagraph"/>
        <w:numPr>
          <w:ilvl w:val="0"/>
          <w:numId w:val="2"/>
        </w:numPr>
        <w:spacing w:after="60" w:before="60"/>
      </w:pPr>
      <w:r>
        <w:rPr>
          <w:rFonts w:ascii="Arial" w:cs="Arial" w:eastAsia="Arial" w:hAnsi="Arial"/>
          <w:color w:val="211E17"/>
          <w:sz w:val="22"/>
          <w:szCs w:val="22"/>
        </w:rPr>
        <w:t xml:space="preserve">Revenue share sensitivity: Low; consider non-monetary incentives (co-branded memorial content, referrals back to the funeral home from Solace Life users)</w:t>
      </w:r>
    </w:p>
    <w:p>
      <w:pPr>
        <w:spacing w:after="0" w:before="160"/>
      </w:pPr>
    </w:p>
    <w:p>
      <w:pPr>
        <w:pStyle w:val="Heading2"/>
        <w:spacing w:after="100" w:before="280"/>
      </w:pPr>
      <w:r>
        <w:rPr>
          <w:rFonts w:ascii="Arial" w:cs="Arial" w:eastAsia="Arial" w:hAnsi="Arial"/>
          <w:b/>
          <w:bCs/>
          <w:color w:val="8C3040"/>
          <w:sz w:val="26"/>
          <w:szCs w:val="26"/>
        </w:rPr>
        <w:t xml:space="preserve">4.5  Hospice &amp; Palliative Care</w:t>
      </w:r>
    </w:p>
    <w:p>
      <w:pPr>
        <w:pStyle w:val="ListParagraph"/>
        <w:numPr>
          <w:ilvl w:val="0"/>
          <w:numId w:val="2"/>
        </w:numPr>
        <w:spacing w:after="60" w:before="60"/>
      </w:pPr>
      <w:r>
        <w:rPr>
          <w:rFonts w:ascii="Arial" w:cs="Arial" w:eastAsia="Arial" w:hAnsi="Arial"/>
          <w:color w:val="211E17"/>
          <w:sz w:val="22"/>
          <w:szCs w:val="22"/>
        </w:rPr>
        <w:t xml:space="preserve">Typical volume: 3–15 referrals/month</w:t>
      </w:r>
    </w:p>
    <w:p>
      <w:pPr>
        <w:pStyle w:val="ListParagraph"/>
        <w:numPr>
          <w:ilvl w:val="0"/>
          <w:numId w:val="2"/>
        </w:numPr>
        <w:spacing w:after="60" w:before="60"/>
      </w:pPr>
      <w:r>
        <w:rPr>
          <w:rFonts w:ascii="Arial" w:cs="Arial" w:eastAsia="Arial" w:hAnsi="Arial"/>
          <w:color w:val="211E17"/>
          <w:sz w:val="22"/>
          <w:szCs w:val="22"/>
        </w:rPr>
        <w:t xml:space="preserve">Best model: Freemium seats first; minimal monetary framing given patient population sensitivity</w:t>
      </w:r>
    </w:p>
    <w:p>
      <w:pPr>
        <w:pStyle w:val="ListParagraph"/>
        <w:numPr>
          <w:ilvl w:val="0"/>
          <w:numId w:val="2"/>
        </w:numPr>
        <w:spacing w:after="60" w:before="60"/>
      </w:pPr>
      <w:r>
        <w:rPr>
          <w:rFonts w:ascii="Arial" w:cs="Arial" w:eastAsia="Arial" w:hAnsi="Arial"/>
          <w:color w:val="211E17"/>
          <w:sz w:val="22"/>
          <w:szCs w:val="22"/>
        </w:rPr>
        <w:t xml:space="preserve">Introduction approach: Volunteer and social worker recommendations; family care conferences</w:t>
      </w:r>
    </w:p>
    <w:p>
      <w:pPr>
        <w:pStyle w:val="ListParagraph"/>
        <w:numPr>
          <w:ilvl w:val="0"/>
          <w:numId w:val="2"/>
        </w:numPr>
        <w:spacing w:after="60" w:before="60"/>
      </w:pPr>
      <w:r>
        <w:rPr>
          <w:rFonts w:ascii="Arial" w:cs="Arial" w:eastAsia="Arial" w:hAnsi="Arial"/>
          <w:color w:val="211E17"/>
          <w:sz w:val="22"/>
          <w:szCs w:val="22"/>
        </w:rPr>
        <w:t xml:space="preserve">Key value prop: Guided, gentle prompts help patients record messages for family at their own pace; emergency contacts ensure family is always reachable</w:t>
      </w:r>
    </w:p>
    <w:p>
      <w:pPr>
        <w:pStyle w:val="ListParagraph"/>
        <w:numPr>
          <w:ilvl w:val="0"/>
          <w:numId w:val="2"/>
        </w:numPr>
        <w:spacing w:after="60" w:before="60"/>
      </w:pPr>
      <w:r>
        <w:rPr>
          <w:rFonts w:ascii="Arial" w:cs="Arial" w:eastAsia="Arial" w:hAnsi="Arial"/>
          <w:color w:val="211E17"/>
          <w:sz w:val="22"/>
          <w:szCs w:val="22"/>
        </w:rPr>
        <w:t xml:space="preserve">Monetary sensitivity: High ethical sensitivity — many hospice organizations have gift policies; confirm before offering any compensation. Consider “donation to hospice fund” as an alternative.</w:t>
      </w:r>
    </w:p>
    <w:p>
      <w:pPr>
        <w:spacing w:after="0" w:before="200"/>
      </w:pPr>
    </w:p>
    <w:p>
      <w:pPr>
        <w:pStyle w:val="Heading1"/>
        <w:spacing w:after="120" w:before="360"/>
      </w:pPr>
      <w:r>
        <w:rPr>
          <w:rFonts w:ascii="Arial" w:cs="Arial" w:eastAsia="Arial" w:hAnsi="Arial"/>
          <w:b/>
          <w:bCs/>
          <w:color w:val="211E17"/>
          <w:sz w:val="32"/>
          <w:szCs w:val="32"/>
        </w:rPr>
        <w:t xml:space="preserve">5.  Legal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BF0F2" w:val="clear"/>
            <w:tcMar>
              <w:top w:type="dxa" w:w="160"/>
              <w:left w:type="dxa" w:w="200"/>
              <w:bottom w:type="dxa" w:w="160"/>
              <w:right w:type="dxa" w:w="200"/>
            </w:tcMar>
          </w:tcPr>
          <w:p>
            <w:pPr>
              <w:spacing w:after="60" w:before="0"/>
            </w:pPr>
            <w:r>
              <w:rPr>
                <w:rFonts w:ascii="Arial" w:cs="Arial" w:eastAsia="Arial" w:hAnsi="Arial"/>
                <w:b/>
                <w:bCs/>
                <w:color w:val="8C3040"/>
                <w:sz w:val="20"/>
                <w:szCs w:val="20"/>
              </w:rPr>
              <w:t xml:space="preserve">IMPORTANT: </w:t>
            </w:r>
            <w:r>
              <w:rPr>
                <w:rFonts w:ascii="Arial" w:cs="Arial" w:eastAsia="Arial" w:hAnsi="Arial"/>
                <w:color w:val="211E17"/>
                <w:sz w:val="20"/>
                <w:szCs w:val="20"/>
              </w:rPr>
              <w:t xml:space="preserve">This section contains general legal considerations, not legal advice. Before launching the partner program, have a Canadian lawyer review the partner agreement template and disclosure requirements.</w:t>
            </w:r>
          </w:p>
        </w:tc>
      </w:tr>
    </w:tbl>
    <w:p>
      <w:pPr>
        <w:spacing w:after="0" w:before="120"/>
      </w:pPr>
    </w:p>
    <w:p>
      <w:pPr>
        <w:pStyle w:val="Heading2"/>
        <w:spacing w:after="100" w:before="280"/>
      </w:pPr>
      <w:r>
        <w:rPr>
          <w:rFonts w:ascii="Arial" w:cs="Arial" w:eastAsia="Arial" w:hAnsi="Arial"/>
          <w:b/>
          <w:bCs/>
          <w:color w:val="8C3040"/>
          <w:sz w:val="26"/>
          <w:szCs w:val="26"/>
        </w:rPr>
        <w:t xml:space="preserve">5.1  Canadian Referral Fee Rules by Profession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F4F3F0" w:val="clear"/>
            <w:tcMar>
              <w:top w:type="dxa" w:w="100"/>
              <w:left w:type="dxa" w:w="120"/>
              <w:bottom w:type="dxa" w:w="100"/>
              <w:right w:type="dxa" w:w="120"/>
            </w:tcMar>
          </w:tcPr>
          <w:p>
            <w:r>
              <w:rPr>
                <w:rFonts w:ascii="Arial" w:cs="Arial" w:eastAsia="Arial" w:hAnsi="Arial"/>
                <w:b/>
                <w:bCs/>
                <w:color w:val="211E17"/>
                <w:sz w:val="20"/>
                <w:szCs w:val="20"/>
              </w:rPr>
              <w:t xml:space="preserve">Profession</w:t>
            </w:r>
          </w:p>
        </w:tc>
        <w:tc>
          <w:tcPr>
            <w:tcW w:type="dxa" w:w="6960"/>
            <w:tcBorders>
              <w:top w:val="single" w:color="DDDDDD" w:sz="1"/>
              <w:left w:val="single" w:color="DDDDDD" w:sz="1"/>
              <w:bottom w:val="single" w:color="DDDDDD" w:sz="1"/>
              <w:right w:val="single" w:color="DDDDDD" w:sz="1"/>
            </w:tcBorders>
            <w:shd w:fill="F4F3F0" w:val="clear"/>
            <w:tcMar>
              <w:top w:type="dxa" w:w="100"/>
              <w:left w:type="dxa" w:w="120"/>
              <w:bottom w:type="dxa" w:w="100"/>
              <w:right w:type="dxa" w:w="120"/>
            </w:tcMar>
          </w:tcPr>
          <w:p>
            <w:r>
              <w:rPr>
                <w:rFonts w:ascii="Arial" w:cs="Arial" w:eastAsia="Arial" w:hAnsi="Arial"/>
                <w:b/>
                <w:bCs/>
                <w:color w:val="211E17"/>
                <w:sz w:val="20"/>
                <w:szCs w:val="20"/>
              </w:rPr>
              <w:t xml:space="preserve">Referral fee rules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Estate lawyers (Law Society)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Can receive referral fees only if: fee is not prohibited by provincial law society, client is informed in writing, and the fee is not tied to outcome. In BC and Ontario, referral fees between lawyers are regulated; non-legal referral compensation may require disclosure as a “business interest”. Use educational partnership framing where needed.</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CPAs (CPA Canada)</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CPAs may receive referral compensation but must disclose to clients under the CPA Code of Professional Conduct (Rule 205). Provide a standard one-paragraph disclosure template with all partner agreements.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CFPs / Investment Advisors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IIROC Rule 3200 and MFDA Rule 2.3.1 require disclosure of all referral arrangements. Provide written disclosure language in the partner kit.</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Senior living operators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Generally unregulated for referral compensation. Some provinces regulate the relationship between care homes and vendors — review applicable continuing care legislation.</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Funeral homes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Regulated under provincial Funeral, Burial and Cremation Services Acts. Most do not restrict referral arrangements for non-funeral products but confirm per province.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Hospice / palliative care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If funded by a health authority, may be subject to procurement rules. Work through their foundation or family services department, not clinical staff.</w:t>
            </w:r>
          </w:p>
        </w:tc>
      </w:tr>
    </w:tbl>
    <w:p>
      <w:pPr>
        <w:spacing w:after="0" w:before="160"/>
      </w:pPr>
    </w:p>
    <w:p>
      <w:pPr>
        <w:pStyle w:val="Heading2"/>
        <w:spacing w:after="100" w:before="280"/>
      </w:pPr>
      <w:r>
        <w:rPr>
          <w:rFonts w:ascii="Arial" w:cs="Arial" w:eastAsia="Arial" w:hAnsi="Arial"/>
          <w:b/>
          <w:bCs/>
          <w:color w:val="8C3040"/>
          <w:sz w:val="26"/>
          <w:szCs w:val="26"/>
        </w:rPr>
        <w:t xml:space="preserve">5.2  PIPEDA &amp; Privacy</w:t>
      </w:r>
    </w:p>
    <w:p>
      <w:pPr>
        <w:pStyle w:val="ListParagraph"/>
        <w:numPr>
          <w:ilvl w:val="0"/>
          <w:numId w:val="2"/>
        </w:numPr>
        <w:spacing w:after="60" w:before="60"/>
      </w:pPr>
      <w:r>
        <w:rPr>
          <w:rFonts w:ascii="Arial" w:cs="Arial" w:eastAsia="Arial" w:hAnsi="Arial"/>
          <w:color w:val="211E17"/>
          <w:sz w:val="22"/>
          <w:szCs w:val="22"/>
        </w:rPr>
        <w:t xml:space="preserve">Solace Life does not share user personal data with partners unless the user explicitly consents.</w:t>
      </w:r>
    </w:p>
    <w:p>
      <w:pPr>
        <w:pStyle w:val="ListParagraph"/>
        <w:numPr>
          <w:ilvl w:val="0"/>
          <w:numId w:val="2"/>
        </w:numPr>
        <w:spacing w:after="60" w:before="60"/>
      </w:pPr>
      <w:r>
        <w:rPr>
          <w:rFonts w:ascii="Arial" w:cs="Arial" w:eastAsia="Arial" w:hAnsi="Arial"/>
          <w:color w:val="211E17"/>
          <w:sz w:val="22"/>
          <w:szCs w:val="22"/>
        </w:rPr>
        <w:t xml:space="preserve">Partners must not use referral data (e.g. click counts, activation counts) to identify individual clients.</w:t>
      </w:r>
    </w:p>
    <w:p>
      <w:pPr>
        <w:pStyle w:val="ListParagraph"/>
        <w:numPr>
          <w:ilvl w:val="0"/>
          <w:numId w:val="2"/>
        </w:numPr>
        <w:spacing w:after="60" w:before="60"/>
      </w:pPr>
      <w:r>
        <w:rPr>
          <w:rFonts w:ascii="Arial" w:cs="Arial" w:eastAsia="Arial" w:hAnsi="Arial"/>
          <w:color w:val="211E17"/>
          <w:sz w:val="22"/>
          <w:szCs w:val="22"/>
        </w:rPr>
        <w:t xml:space="preserve">Partner agreements must include a data processing addendum confirming compliance with PIPEDA.</w:t>
      </w:r>
    </w:p>
    <w:p>
      <w:pPr>
        <w:pStyle w:val="ListParagraph"/>
        <w:numPr>
          <w:ilvl w:val="0"/>
          <w:numId w:val="2"/>
        </w:numPr>
        <w:spacing w:after="60" w:before="60"/>
      </w:pPr>
      <w:r>
        <w:rPr>
          <w:rFonts w:ascii="Arial" w:cs="Arial" w:eastAsia="Arial" w:hAnsi="Arial"/>
          <w:color w:val="211E17"/>
          <w:sz w:val="22"/>
          <w:szCs w:val="22"/>
        </w:rPr>
        <w:t xml:space="preserve">Partners who introduce Solace Life to clients in Quebec must also comply with Law 25 (modernized privacy act, effective September 2023). Ensure privacy policy covers Quebec requirements.</w:t>
      </w:r>
    </w:p>
    <w:p>
      <w:pPr>
        <w:spacing w:after="0" w:before="160"/>
      </w:pPr>
    </w:p>
    <w:p>
      <w:pPr>
        <w:pStyle w:val="Heading2"/>
        <w:spacing w:after="100" w:before="280"/>
      </w:pPr>
      <w:r>
        <w:rPr>
          <w:rFonts w:ascii="Arial" w:cs="Arial" w:eastAsia="Arial" w:hAnsi="Arial"/>
          <w:b/>
          <w:bCs/>
          <w:color w:val="8C3040"/>
          <w:sz w:val="26"/>
          <w:szCs w:val="26"/>
        </w:rPr>
        <w:t xml:space="preserve">5.3  Partner Agreement Essentials</w:t>
      </w:r>
    </w:p>
    <w:p>
      <w:pPr>
        <w:spacing w:after="80" w:before="80"/>
      </w:pPr>
      <w:r>
        <w:rPr>
          <w:rFonts w:ascii="Arial" w:cs="Arial" w:eastAsia="Arial" w:hAnsi="Arial"/>
          <w:color w:val="211E17"/>
          <w:sz w:val="22"/>
          <w:szCs w:val="22"/>
        </w:rPr>
        <w:t xml:space="preserve">At minimum, the partner agreement must include:</w:t>
      </w:r>
    </w:p>
    <w:p>
      <w:pPr>
        <w:pStyle w:val="ListParagraph"/>
        <w:numPr>
          <w:ilvl w:val="0"/>
          <w:numId w:val="3"/>
        </w:numPr>
        <w:spacing w:after="60" w:before="60"/>
      </w:pPr>
      <w:r>
        <w:rPr>
          <w:rFonts w:ascii="Arial" w:cs="Arial" w:eastAsia="Arial" w:hAnsi="Arial"/>
          <w:color w:val="211E17"/>
          <w:sz w:val="22"/>
          <w:szCs w:val="22"/>
        </w:rPr>
        <w:t xml:space="preserve">Referral relationship definition (partner is an independent contractor, not an employee or agent of Solace Life)</w:t>
      </w:r>
    </w:p>
    <w:p>
      <w:pPr>
        <w:pStyle w:val="ListParagraph"/>
        <w:numPr>
          <w:ilvl w:val="0"/>
          <w:numId w:val="3"/>
        </w:numPr>
        <w:spacing w:after="60" w:before="60"/>
      </w:pPr>
      <w:r>
        <w:rPr>
          <w:rFonts w:ascii="Arial" w:cs="Arial" w:eastAsia="Arial" w:hAnsi="Arial"/>
          <w:color w:val="211E17"/>
          <w:sz w:val="22"/>
          <w:szCs w:val="22"/>
        </w:rPr>
        <w:t xml:space="preserve">Compensation structure, tier calculation method, and payout schedule</w:t>
      </w:r>
    </w:p>
    <w:p>
      <w:pPr>
        <w:pStyle w:val="ListParagraph"/>
        <w:numPr>
          <w:ilvl w:val="0"/>
          <w:numId w:val="3"/>
        </w:numPr>
        <w:spacing w:after="60" w:before="60"/>
      </w:pPr>
      <w:r>
        <w:rPr>
          <w:rFonts w:ascii="Arial" w:cs="Arial" w:eastAsia="Arial" w:hAnsi="Arial"/>
          <w:color w:val="211E17"/>
          <w:sz w:val="22"/>
          <w:szCs w:val="22"/>
        </w:rPr>
        <w:t xml:space="preserve">Disclosure obligation: partner must inform clients of their compensation relationship with Solace Life</w:t>
      </w:r>
    </w:p>
    <w:p>
      <w:pPr>
        <w:pStyle w:val="ListParagraph"/>
        <w:numPr>
          <w:ilvl w:val="0"/>
          <w:numId w:val="3"/>
        </w:numPr>
        <w:spacing w:after="60" w:before="60"/>
      </w:pPr>
      <w:r>
        <w:rPr>
          <w:rFonts w:ascii="Arial" w:cs="Arial" w:eastAsia="Arial" w:hAnsi="Arial"/>
          <w:color w:val="211E17"/>
          <w:sz w:val="22"/>
          <w:szCs w:val="22"/>
        </w:rPr>
        <w:t xml:space="preserve">No exclusivity clause (we retain right to work with other partners in the same segment)</w:t>
      </w:r>
    </w:p>
    <w:p>
      <w:pPr>
        <w:pStyle w:val="ListParagraph"/>
        <w:numPr>
          <w:ilvl w:val="0"/>
          <w:numId w:val="3"/>
        </w:numPr>
        <w:spacing w:after="60" w:before="60"/>
      </w:pPr>
      <w:r>
        <w:rPr>
          <w:rFonts w:ascii="Arial" w:cs="Arial" w:eastAsia="Arial" w:hAnsi="Arial"/>
          <w:color w:val="211E17"/>
          <w:sz w:val="22"/>
          <w:szCs w:val="22"/>
        </w:rPr>
        <w:t xml:space="preserve">Termination provisions: 30 days written notice by either party; compensation owed for activations prior to termination</w:t>
      </w:r>
    </w:p>
    <w:p>
      <w:pPr>
        <w:pStyle w:val="ListParagraph"/>
        <w:numPr>
          <w:ilvl w:val="0"/>
          <w:numId w:val="3"/>
        </w:numPr>
        <w:spacing w:after="60" w:before="60"/>
      </w:pPr>
      <w:r>
        <w:rPr>
          <w:rFonts w:ascii="Arial" w:cs="Arial" w:eastAsia="Arial" w:hAnsi="Arial"/>
          <w:color w:val="211E17"/>
          <w:sz w:val="22"/>
          <w:szCs w:val="22"/>
        </w:rPr>
        <w:t xml:space="preserve">Intellectual property: partner may use Solace Life marks only in pre-approved materials</w:t>
      </w:r>
    </w:p>
    <w:p>
      <w:pPr>
        <w:pStyle w:val="ListParagraph"/>
        <w:numPr>
          <w:ilvl w:val="0"/>
          <w:numId w:val="3"/>
        </w:numPr>
        <w:spacing w:after="60" w:before="60"/>
      </w:pPr>
      <w:r>
        <w:rPr>
          <w:rFonts w:ascii="Arial" w:cs="Arial" w:eastAsia="Arial" w:hAnsi="Arial"/>
          <w:color w:val="211E17"/>
          <w:sz w:val="22"/>
          <w:szCs w:val="22"/>
        </w:rPr>
        <w:t xml:space="preserve">Limitation of liability and warranty disclaimer</w:t>
      </w:r>
    </w:p>
    <w:p>
      <w:pPr>
        <w:pStyle w:val="ListParagraph"/>
        <w:numPr>
          <w:ilvl w:val="0"/>
          <w:numId w:val="3"/>
        </w:numPr>
        <w:spacing w:after="60" w:before="60"/>
      </w:pPr>
      <w:r>
        <w:rPr>
          <w:rFonts w:ascii="Arial" w:cs="Arial" w:eastAsia="Arial" w:hAnsi="Arial"/>
          <w:color w:val="211E17"/>
          <w:sz w:val="22"/>
          <w:szCs w:val="22"/>
        </w:rPr>
        <w:t xml:space="preserve">Governing law: British Columbia, Canada</w:t>
      </w:r>
    </w:p>
    <w:p>
      <w:pPr>
        <w:spacing w:after="0" w:before="200"/>
      </w:pPr>
    </w:p>
    <w:p>
      <w:pPr>
        <w:pStyle w:val="Heading1"/>
        <w:spacing w:after="120" w:before="360"/>
      </w:pPr>
      <w:r>
        <w:rPr>
          <w:rFonts w:ascii="Arial" w:cs="Arial" w:eastAsia="Arial" w:hAnsi="Arial"/>
          <w:b/>
          <w:bCs/>
          <w:color w:val="211E17"/>
          <w:sz w:val="32"/>
          <w:szCs w:val="32"/>
        </w:rPr>
        <w:t xml:space="preserve">6.  Partner Onboarding Process</w:t>
      </w:r>
    </w:p>
    <w:p>
      <w:pPr>
        <w:spacing w:after="80" w:before="80"/>
      </w:pPr>
      <w:r>
        <w:rPr>
          <w:rFonts w:ascii="Arial" w:cs="Arial" w:eastAsia="Arial" w:hAnsi="Arial"/>
          <w:color w:val="211E17"/>
          <w:sz w:val="22"/>
          <w:szCs w:val="22"/>
        </w:rPr>
        <w:t xml:space="preserve">Target: Partner goes from “application received” to “first referral link shared with a client” within 5 business days.</w:t>
      </w:r>
    </w:p>
    <w:p>
      <w:pPr>
        <w:spacing w:after="0" w:before="160"/>
      </w:pPr>
    </w:p>
    <w:p>
      <w:pPr>
        <w:pStyle w:val="Heading2"/>
        <w:spacing w:after="100" w:before="280"/>
      </w:pPr>
      <w:r>
        <w:rPr>
          <w:rFonts w:ascii="Arial" w:cs="Arial" w:eastAsia="Arial" w:hAnsi="Arial"/>
          <w:b/>
          <w:bCs/>
          <w:color w:val="8C3040"/>
          <w:sz w:val="26"/>
          <w:szCs w:val="26"/>
        </w:rPr>
        <w:t xml:space="preserve">6.1  Application Review (Day 1–2)</w:t>
      </w:r>
    </w:p>
    <w:p>
      <w:pPr>
        <w:pStyle w:val="ListParagraph"/>
        <w:numPr>
          <w:ilvl w:val="0"/>
          <w:numId w:val="2"/>
        </w:numPr>
        <w:spacing w:after="60" w:before="60"/>
      </w:pPr>
      <w:r>
        <w:rPr>
          <w:rFonts w:ascii="Arial" w:cs="Arial" w:eastAsia="Arial" w:hAnsi="Arial"/>
          <w:color w:val="211E17"/>
          <w:sz w:val="22"/>
          <w:szCs w:val="22"/>
        </w:rPr>
        <w:t xml:space="preserve">Review application via partner landing page (landing/partners.html)</w:t>
      </w:r>
    </w:p>
    <w:p>
      <w:pPr>
        <w:pStyle w:val="ListParagraph"/>
        <w:numPr>
          <w:ilvl w:val="0"/>
          <w:numId w:val="2"/>
        </w:numPr>
        <w:spacing w:after="60" w:before="60"/>
      </w:pPr>
      <w:r>
        <w:rPr>
          <w:rFonts w:ascii="Arial" w:cs="Arial" w:eastAsia="Arial" w:hAnsi="Arial"/>
          <w:color w:val="211E17"/>
          <w:sz w:val="22"/>
          <w:szCs w:val="22"/>
        </w:rPr>
        <w:t xml:space="preserve">Quick org + individual check: LinkedIn, website, professional registration where applicable</w:t>
      </w:r>
    </w:p>
    <w:p>
      <w:pPr>
        <w:pStyle w:val="ListParagraph"/>
        <w:numPr>
          <w:ilvl w:val="0"/>
          <w:numId w:val="2"/>
        </w:numPr>
        <w:spacing w:after="60" w:before="60"/>
      </w:pPr>
      <w:r>
        <w:rPr>
          <w:rFonts w:ascii="Arial" w:cs="Arial" w:eastAsia="Arial" w:hAnsi="Arial"/>
          <w:color w:val="211E17"/>
          <w:sz w:val="22"/>
          <w:szCs w:val="22"/>
        </w:rPr>
        <w:t xml:space="preserve">Accept, decline (with soft reason), or flag for follow-up call</w:t>
      </w:r>
    </w:p>
    <w:p>
      <w:pPr>
        <w:pStyle w:val="ListParagraph"/>
        <w:numPr>
          <w:ilvl w:val="0"/>
          <w:numId w:val="2"/>
        </w:numPr>
        <w:spacing w:after="60" w:before="60"/>
      </w:pPr>
      <w:r>
        <w:rPr>
          <w:rFonts w:ascii="Arial" w:cs="Arial" w:eastAsia="Arial" w:hAnsi="Arial"/>
          <w:color w:val="211E17"/>
          <w:sz w:val="22"/>
          <w:szCs w:val="22"/>
        </w:rPr>
        <w:t xml:space="preserve">Send acceptance email with onboarding calendar link within 24 hours of decision</w:t>
      </w:r>
    </w:p>
    <w:p>
      <w:pPr>
        <w:spacing w:after="0" w:before="120"/>
      </w:pPr>
    </w:p>
    <w:p>
      <w:pPr>
        <w:pStyle w:val="Heading2"/>
        <w:spacing w:after="100" w:before="280"/>
      </w:pPr>
      <w:r>
        <w:rPr>
          <w:rFonts w:ascii="Arial" w:cs="Arial" w:eastAsia="Arial" w:hAnsi="Arial"/>
          <w:b/>
          <w:bCs/>
          <w:color w:val="8C3040"/>
          <w:sz w:val="26"/>
          <w:szCs w:val="26"/>
        </w:rPr>
        <w:t xml:space="preserve">6.2  Onboarding Call (Day 2–3, 30–45 min)</w:t>
      </w:r>
    </w:p>
    <w:p>
      <w:pPr>
        <w:pStyle w:val="ListParagraph"/>
        <w:numPr>
          <w:ilvl w:val="0"/>
          <w:numId w:val="2"/>
        </w:numPr>
        <w:spacing w:after="60" w:before="60"/>
      </w:pPr>
      <w:r>
        <w:rPr>
          <w:rFonts w:ascii="Arial" w:cs="Arial" w:eastAsia="Arial" w:hAnsi="Arial"/>
          <w:color w:val="211E17"/>
          <w:sz w:val="22"/>
          <w:szCs w:val="22"/>
        </w:rPr>
        <w:t xml:space="preserve">Walk partner through the app (share screen or test account)</w:t>
      </w:r>
    </w:p>
    <w:p>
      <w:pPr>
        <w:pStyle w:val="ListParagraph"/>
        <w:numPr>
          <w:ilvl w:val="0"/>
          <w:numId w:val="2"/>
        </w:numPr>
        <w:spacing w:after="60" w:before="60"/>
      </w:pPr>
      <w:r>
        <w:rPr>
          <w:rFonts w:ascii="Arial" w:cs="Arial" w:eastAsia="Arial" w:hAnsi="Arial"/>
          <w:color w:val="211E17"/>
          <w:sz w:val="22"/>
          <w:szCs w:val="22"/>
        </w:rPr>
        <w:t xml:space="preserve">Cover: what Solace Life does, how users experience it, emergency contact feature demo</w:t>
      </w:r>
    </w:p>
    <w:p>
      <w:pPr>
        <w:pStyle w:val="ListParagraph"/>
        <w:numPr>
          <w:ilvl w:val="0"/>
          <w:numId w:val="2"/>
        </w:numPr>
        <w:spacing w:after="60" w:before="60"/>
      </w:pPr>
      <w:r>
        <w:rPr>
          <w:rFonts w:ascii="Arial" w:cs="Arial" w:eastAsia="Arial" w:hAnsi="Arial"/>
          <w:color w:val="211E17"/>
          <w:sz w:val="22"/>
          <w:szCs w:val="22"/>
        </w:rPr>
        <w:t xml:space="preserve">Explain their compensation tier, how tracking works, payout timing</w:t>
      </w:r>
    </w:p>
    <w:p>
      <w:pPr>
        <w:pStyle w:val="ListParagraph"/>
        <w:numPr>
          <w:ilvl w:val="0"/>
          <w:numId w:val="2"/>
        </w:numPr>
        <w:spacing w:after="60" w:before="60"/>
      </w:pPr>
      <w:r>
        <w:rPr>
          <w:rFonts w:ascii="Arial" w:cs="Arial" w:eastAsia="Arial" w:hAnsi="Arial"/>
          <w:color w:val="211E17"/>
          <w:sz w:val="22"/>
          <w:szCs w:val="22"/>
        </w:rPr>
        <w:t xml:space="preserve">Provide: unique referral link, QR code, printable patient/client brochure (PDF)</w:t>
      </w:r>
    </w:p>
    <w:p>
      <w:pPr>
        <w:pStyle w:val="ListParagraph"/>
        <w:numPr>
          <w:ilvl w:val="0"/>
          <w:numId w:val="2"/>
        </w:numPr>
        <w:spacing w:after="60" w:before="60"/>
      </w:pPr>
      <w:r>
        <w:rPr>
          <w:rFonts w:ascii="Arial" w:cs="Arial" w:eastAsia="Arial" w:hAnsi="Arial"/>
          <w:color w:val="211E17"/>
          <w:sz w:val="22"/>
          <w:szCs w:val="22"/>
        </w:rPr>
        <w:t xml:space="preserve">Answer any compliance/disclosure questions; provide disclosure template if needed</w:t>
      </w:r>
    </w:p>
    <w:p>
      <w:pPr>
        <w:pStyle w:val="ListParagraph"/>
        <w:numPr>
          <w:ilvl w:val="0"/>
          <w:numId w:val="2"/>
        </w:numPr>
        <w:spacing w:after="60" w:before="60"/>
      </w:pPr>
      <w:r>
        <w:rPr>
          <w:rFonts w:ascii="Arial" w:cs="Arial" w:eastAsia="Arial" w:hAnsi="Arial"/>
          <w:color w:val="211E17"/>
          <w:sz w:val="22"/>
          <w:szCs w:val="22"/>
        </w:rPr>
        <w:t xml:space="preserve">Set expectations: activation ≠ signup (user must complete setup for fee to trigger)</w:t>
      </w:r>
    </w:p>
    <w:p>
      <w:pPr>
        <w:spacing w:after="0" w:before="120"/>
      </w:pPr>
    </w:p>
    <w:p>
      <w:pPr>
        <w:pStyle w:val="Heading2"/>
        <w:spacing w:after="100" w:before="280"/>
      </w:pPr>
      <w:r>
        <w:rPr>
          <w:rFonts w:ascii="Arial" w:cs="Arial" w:eastAsia="Arial" w:hAnsi="Arial"/>
          <w:b/>
          <w:bCs/>
          <w:color w:val="8C3040"/>
          <w:sz w:val="26"/>
          <w:szCs w:val="26"/>
        </w:rPr>
        <w:t xml:space="preserve">6.3  Partner Kit Contents</w:t>
      </w:r>
    </w:p>
    <w:p>
      <w:pPr>
        <w:pStyle w:val="ListParagraph"/>
        <w:numPr>
          <w:ilvl w:val="0"/>
          <w:numId w:val="2"/>
        </w:numPr>
        <w:spacing w:after="60" w:before="60"/>
      </w:pPr>
      <w:r>
        <w:rPr>
          <w:rFonts w:ascii="Arial" w:cs="Arial" w:eastAsia="Arial" w:hAnsi="Arial"/>
          <w:color w:val="211E17"/>
          <w:sz w:val="22"/>
          <w:szCs w:val="22"/>
        </w:rPr>
        <w:t xml:space="preserve">Personalized referral URL (e.g. solacelife.ca/r/morrisonlaw)</w:t>
      </w:r>
    </w:p>
    <w:p>
      <w:pPr>
        <w:pStyle w:val="ListParagraph"/>
        <w:numPr>
          <w:ilvl w:val="0"/>
          <w:numId w:val="2"/>
        </w:numPr>
        <w:spacing w:after="60" w:before="60"/>
      </w:pPr>
      <w:r>
        <w:rPr>
          <w:rFonts w:ascii="Arial" w:cs="Arial" w:eastAsia="Arial" w:hAnsi="Arial"/>
          <w:color w:val="211E17"/>
          <w:sz w:val="22"/>
          <w:szCs w:val="22"/>
        </w:rPr>
        <w:t xml:space="preserve">QR code PNG for print use</w:t>
      </w:r>
    </w:p>
    <w:p>
      <w:pPr>
        <w:pStyle w:val="ListParagraph"/>
        <w:numPr>
          <w:ilvl w:val="0"/>
          <w:numId w:val="2"/>
        </w:numPr>
        <w:spacing w:after="60" w:before="60"/>
      </w:pPr>
      <w:r>
        <w:rPr>
          <w:rFonts w:ascii="Arial" w:cs="Arial" w:eastAsia="Arial" w:hAnsi="Arial"/>
          <w:color w:val="211E17"/>
          <w:sz w:val="22"/>
          <w:szCs w:val="22"/>
        </w:rPr>
        <w:t xml:space="preserve">One-page client brochure (PDF, co-brandable at Growth+)</w:t>
      </w:r>
    </w:p>
    <w:p>
      <w:pPr>
        <w:pStyle w:val="ListParagraph"/>
        <w:numPr>
          <w:ilvl w:val="0"/>
          <w:numId w:val="2"/>
        </w:numPr>
        <w:spacing w:after="60" w:before="60"/>
      </w:pPr>
      <w:r>
        <w:rPr>
          <w:rFonts w:ascii="Arial" w:cs="Arial" w:eastAsia="Arial" w:hAnsi="Arial"/>
          <w:color w:val="211E17"/>
          <w:sz w:val="22"/>
          <w:szCs w:val="22"/>
        </w:rPr>
        <w:t xml:space="preserve">Email template for partner to forward to clients</w:t>
      </w:r>
    </w:p>
    <w:p>
      <w:pPr>
        <w:pStyle w:val="ListParagraph"/>
        <w:numPr>
          <w:ilvl w:val="0"/>
          <w:numId w:val="2"/>
        </w:numPr>
        <w:spacing w:after="60" w:before="60"/>
      </w:pPr>
      <w:r>
        <w:rPr>
          <w:rFonts w:ascii="Arial" w:cs="Arial" w:eastAsia="Arial" w:hAnsi="Arial"/>
          <w:color w:val="211E17"/>
          <w:sz w:val="22"/>
          <w:szCs w:val="22"/>
        </w:rPr>
        <w:t xml:space="preserve">Disclosure template (for regulated professions)</w:t>
      </w:r>
    </w:p>
    <w:p>
      <w:pPr>
        <w:pStyle w:val="ListParagraph"/>
        <w:numPr>
          <w:ilvl w:val="0"/>
          <w:numId w:val="2"/>
        </w:numPr>
        <w:spacing w:after="60" w:before="60"/>
      </w:pPr>
      <w:r>
        <w:rPr>
          <w:rFonts w:ascii="Arial" w:cs="Arial" w:eastAsia="Arial" w:hAnsi="Arial"/>
          <w:color w:val="211E17"/>
          <w:sz w:val="22"/>
          <w:szCs w:val="22"/>
        </w:rPr>
        <w:t xml:space="preserve">FAQ sheet: common client questions and suggested responses</w:t>
      </w:r>
    </w:p>
    <w:p>
      <w:pPr>
        <w:pStyle w:val="ListParagraph"/>
        <w:numPr>
          <w:ilvl w:val="0"/>
          <w:numId w:val="2"/>
        </w:numPr>
        <w:spacing w:after="60" w:before="60"/>
      </w:pPr>
      <w:r>
        <w:rPr>
          <w:rFonts w:ascii="Arial" w:cs="Arial" w:eastAsia="Arial" w:hAnsi="Arial"/>
          <w:color w:val="211E17"/>
          <w:sz w:val="22"/>
          <w:szCs w:val="22"/>
        </w:rPr>
        <w:t xml:space="preserve">Partner dashboard login (once portal is built — Phase 3 roadmap)</w:t>
      </w:r>
    </w:p>
    <w:p>
      <w:pPr>
        <w:spacing w:after="0" w:before="120"/>
      </w:pPr>
    </w:p>
    <w:p>
      <w:pPr>
        <w:pStyle w:val="Heading2"/>
        <w:spacing w:after="100" w:before="280"/>
      </w:pPr>
      <w:r>
        <w:rPr>
          <w:rFonts w:ascii="Arial" w:cs="Arial" w:eastAsia="Arial" w:hAnsi="Arial"/>
          <w:b/>
          <w:bCs/>
          <w:color w:val="8C3040"/>
          <w:sz w:val="26"/>
          <w:szCs w:val="26"/>
        </w:rPr>
        <w:t xml:space="preserve">6.4  Tracking &amp; Payouts</w:t>
      </w:r>
    </w:p>
    <w:p>
      <w:pPr>
        <w:pStyle w:val="ListParagraph"/>
        <w:numPr>
          <w:ilvl w:val="0"/>
          <w:numId w:val="2"/>
        </w:numPr>
        <w:spacing w:after="60" w:before="60"/>
      </w:pPr>
      <w:r>
        <w:rPr>
          <w:rFonts w:ascii="Arial" w:cs="Arial" w:eastAsia="Arial" w:hAnsi="Arial"/>
          <w:color w:val="211E17"/>
          <w:sz w:val="22"/>
          <w:szCs w:val="22"/>
        </w:rPr>
        <w:t xml:space="preserve">Referral link uses UTM parameters tracked in app onboarding flow: utm_source=partner&amp;utm_medium=referral&amp;utm_campaign=[partner_id]</w:t>
      </w:r>
    </w:p>
    <w:p>
      <w:pPr>
        <w:pStyle w:val="ListParagraph"/>
        <w:numPr>
          <w:ilvl w:val="0"/>
          <w:numId w:val="2"/>
        </w:numPr>
        <w:spacing w:after="60" w:before="60"/>
      </w:pPr>
      <w:r>
        <w:rPr>
          <w:rFonts w:ascii="Arial" w:cs="Arial" w:eastAsia="Arial" w:hAnsi="Arial"/>
          <w:color w:val="211E17"/>
          <w:sz w:val="22"/>
          <w:szCs w:val="22"/>
        </w:rPr>
        <w:t xml:space="preserve">Activation defined as: user completes signup, verifies email, and adds at least one family member</w:t>
      </w:r>
    </w:p>
    <w:p>
      <w:pPr>
        <w:pStyle w:val="ListParagraph"/>
        <w:numPr>
          <w:ilvl w:val="0"/>
          <w:numId w:val="2"/>
        </w:numPr>
        <w:spacing w:after="60" w:before="60"/>
      </w:pPr>
      <w:r>
        <w:rPr>
          <w:rFonts w:ascii="Arial" w:cs="Arial" w:eastAsia="Arial" w:hAnsi="Arial"/>
          <w:color w:val="211E17"/>
          <w:sz w:val="22"/>
          <w:szCs w:val="22"/>
        </w:rPr>
        <w:t xml:space="preserve">Rev share calculated on first billing date after activation</w:t>
      </w:r>
    </w:p>
    <w:p>
      <w:pPr>
        <w:pStyle w:val="ListParagraph"/>
        <w:numPr>
          <w:ilvl w:val="0"/>
          <w:numId w:val="2"/>
        </w:numPr>
        <w:spacing w:after="60" w:before="60"/>
      </w:pPr>
      <w:r>
        <w:rPr>
          <w:rFonts w:ascii="Arial" w:cs="Arial" w:eastAsia="Arial" w:hAnsi="Arial"/>
          <w:color w:val="211E17"/>
          <w:sz w:val="22"/>
          <w:szCs w:val="22"/>
        </w:rPr>
        <w:t xml:space="preserve">Payouts via e-Transfer or Stripe Connect (once volume warrants); monthly on the 15th</w:t>
      </w:r>
    </w:p>
    <w:p>
      <w:pPr>
        <w:pStyle w:val="ListParagraph"/>
        <w:numPr>
          <w:ilvl w:val="0"/>
          <w:numId w:val="2"/>
        </w:numPr>
        <w:spacing w:after="60" w:before="60"/>
      </w:pPr>
      <w:r>
        <w:rPr>
          <w:rFonts w:ascii="Arial" w:cs="Arial" w:eastAsia="Arial" w:hAnsi="Arial"/>
          <w:color w:val="211E17"/>
          <w:sz w:val="22"/>
          <w:szCs w:val="22"/>
        </w:rPr>
        <w:t xml:space="preserve">Minimum payout threshold: $50 CAD (balances accumulate until threshold is met)</w:t>
      </w:r>
    </w:p>
    <w:p>
      <w:pPr>
        <w:spacing w:after="0" w:before="200"/>
      </w:pPr>
    </w:p>
    <w:p>
      <w:pPr>
        <w:pStyle w:val="Heading1"/>
        <w:spacing w:after="120" w:before="360"/>
      </w:pPr>
      <w:r>
        <w:rPr>
          <w:rFonts w:ascii="Arial" w:cs="Arial" w:eastAsia="Arial" w:hAnsi="Arial"/>
          <w:b/>
          <w:bCs/>
          <w:color w:val="211E17"/>
          <w:sz w:val="32"/>
          <w:szCs w:val="32"/>
        </w:rPr>
        <w:t xml:space="preserve">7.  In-App Partner Chat — Roadmap &amp; Requirements</w:t>
      </w:r>
    </w:p>
    <w:p>
      <w:pPr>
        <w:spacing w:after="80" w:before="80"/>
      </w:pPr>
      <w:r>
        <w:rPr>
          <w:rFonts w:ascii="Arial" w:cs="Arial" w:eastAsia="Arial" w:hAnsi="Arial"/>
          <w:color w:val="211E17"/>
          <w:sz w:val="22"/>
          <w:szCs w:val="22"/>
        </w:rPr>
        <w:t xml:space="preserve">The in-app professional chat feature transforms the partner relationship from one-directional (partner refers to Solace Life) to bidirectional (Solace Life user reaches out to partner for services). This is the highest-value feature for strategic partners and the strongest retention driver for users.</w:t>
      </w:r>
    </w:p>
    <w:p>
      <w:pPr>
        <w:spacing w:after="0" w:before="160"/>
      </w:pPr>
    </w:p>
    <w:p>
      <w:pPr>
        <w:pStyle w:val="Heading2"/>
        <w:spacing w:after="100" w:before="280"/>
      </w:pPr>
      <w:r>
        <w:rPr>
          <w:rFonts w:ascii="Arial" w:cs="Arial" w:eastAsia="Arial" w:hAnsi="Arial"/>
          <w:b/>
          <w:bCs/>
          <w:color w:val="8C3040"/>
          <w:sz w:val="26"/>
          <w:szCs w:val="26"/>
        </w:rPr>
        <w:t xml:space="preserve">7.1  User Experience Vision</w:t>
      </w:r>
    </w:p>
    <w:p>
      <w:pPr>
        <w:spacing w:after="80" w:before="80"/>
      </w:pPr>
      <w:r>
        <w:rPr>
          <w:rFonts w:ascii="Arial" w:cs="Arial" w:eastAsia="Arial" w:hAnsi="Arial"/>
          <w:color w:val="211E17"/>
          <w:sz w:val="22"/>
          <w:szCs w:val="22"/>
        </w:rPr>
        <w:t xml:space="preserve">A Solace Life user viewing their Memory Vault or emergency contacts section sees a “Connect with a Professional” option. They can message their designated estate lawyer, financial planner, or care manager — in context, without leaving the app. The partner receives the message in their partner portal or via email notification and can reply within the app.</w:t>
      </w:r>
    </w:p>
    <w:p>
      <w:pPr>
        <w:spacing w:after="0" w:before="120"/>
      </w:pPr>
    </w:p>
    <w:p>
      <w:pPr>
        <w:pStyle w:val="Heading2"/>
        <w:spacing w:after="100" w:before="280"/>
      </w:pPr>
      <w:r>
        <w:rPr>
          <w:rFonts w:ascii="Arial" w:cs="Arial" w:eastAsia="Arial" w:hAnsi="Arial"/>
          <w:b/>
          <w:bCs/>
          <w:color w:val="8C3040"/>
          <w:sz w:val="26"/>
          <w:szCs w:val="26"/>
        </w:rPr>
        <w:t xml:space="preserve">7.2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rPr>
          <w:tblHeader/>
        </w:trPr>
        <w:tc>
          <w:tcPr>
            <w:tcW w:type="dxa" w:w="1800"/>
            <w:tcBorders>
              <w:top w:val="single" w:color="DDDDDD" w:sz="1"/>
              <w:left w:val="single" w:color="DDDDDD" w:sz="1"/>
              <w:bottom w:val="single" w:color="DDDDDD" w:sz="1"/>
              <w:right w:val="single" w:color="DDDDDD" w:sz="1"/>
            </w:tcBorders>
            <w:shd w:fill="F4F3F0" w:val="clear"/>
            <w:tcMar>
              <w:top w:type="dxa" w:w="100"/>
              <w:left w:type="dxa" w:w="120"/>
              <w:bottom w:type="dxa" w:w="100"/>
              <w:right w:type="dxa" w:w="120"/>
            </w:tcMar>
          </w:tcPr>
          <w:p>
            <w:r>
              <w:rPr>
                <w:rFonts w:ascii="Arial" w:cs="Arial" w:eastAsia="Arial" w:hAnsi="Arial"/>
                <w:b/>
                <w:bCs/>
                <w:color w:val="211E17"/>
                <w:sz w:val="20"/>
                <w:szCs w:val="20"/>
              </w:rPr>
              <w:t xml:space="preserve">Phase</w:t>
            </w:r>
          </w:p>
        </w:tc>
        <w:tc>
          <w:tcPr>
            <w:tcW w:type="dxa" w:w="4320"/>
            <w:tcBorders>
              <w:top w:val="single" w:color="DDDDDD" w:sz="1"/>
              <w:left w:val="single" w:color="DDDDDD" w:sz="1"/>
              <w:bottom w:val="single" w:color="DDDDDD" w:sz="1"/>
              <w:right w:val="single" w:color="DDDDDD" w:sz="1"/>
            </w:tcBorders>
            <w:shd w:fill="F4F3F0" w:val="clear"/>
            <w:tcMar>
              <w:top w:type="dxa" w:w="100"/>
              <w:left w:type="dxa" w:w="120"/>
              <w:bottom w:type="dxa" w:w="100"/>
              <w:right w:type="dxa" w:w="120"/>
            </w:tcMar>
          </w:tcPr>
          <w:p>
            <w:r>
              <w:rPr>
                <w:rFonts w:ascii="Arial" w:cs="Arial" w:eastAsia="Arial" w:hAnsi="Arial"/>
                <w:b/>
                <w:bCs/>
                <w:color w:val="211E17"/>
                <w:sz w:val="20"/>
                <w:szCs w:val="20"/>
              </w:rPr>
              <w:t xml:space="preserve">Feature</w:t>
            </w:r>
          </w:p>
        </w:tc>
        <w:tc>
          <w:tcPr>
            <w:tcW w:type="dxa" w:w="3240"/>
            <w:tcBorders>
              <w:top w:val="single" w:color="DDDDDD" w:sz="1"/>
              <w:left w:val="single" w:color="DDDDDD" w:sz="1"/>
              <w:bottom w:val="single" w:color="DDDDDD" w:sz="1"/>
              <w:right w:val="single" w:color="DDDDDD" w:sz="1"/>
            </w:tcBorders>
            <w:shd w:fill="F4F3F0" w:val="clear"/>
            <w:tcMar>
              <w:top w:type="dxa" w:w="100"/>
              <w:left w:type="dxa" w:w="120"/>
              <w:bottom w:type="dxa" w:w="100"/>
              <w:right w:type="dxa" w:w="120"/>
            </w:tcMar>
          </w:tcPr>
          <w:p>
            <w:r>
              <w:rPr>
                <w:rFonts w:ascii="Arial" w:cs="Arial" w:eastAsia="Arial" w:hAnsi="Arial"/>
                <w:b/>
                <w:bCs/>
                <w:color w:val="211E17"/>
                <w:sz w:val="20"/>
                <w:szCs w:val="20"/>
              </w:rPr>
              <w:t xml:space="preserve">Timeline estimate</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Phase 3 — Now</w:t>
            </w:r>
          </w:p>
        </w:tc>
        <w:tc>
          <w:tcPr>
            <w:tcW w:type="dxa" w:w="43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Partner referral dashboard: click/activation tracking, earnings, payout history</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App Store launch + 60 days</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Phase 4a</w:t>
            </w:r>
          </w:p>
        </w:tc>
        <w:tc>
          <w:tcPr>
            <w:tcW w:type="dxa" w:w="43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User → Partner messaging: user initiates, partner replies via portal or email</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Month 4–6 post-launch</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Phase 4b</w:t>
            </w:r>
          </w:p>
        </w:tc>
        <w:tc>
          <w:tcPr>
            <w:tcW w:type="dxa" w:w="43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Partner profile in app: bio, services, contact details visible to linked users</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Month 5–7 post-launch</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Phase 5</w:t>
            </w:r>
          </w:p>
        </w:tc>
        <w:tc>
          <w:tcPr>
            <w:tcW w:type="dxa" w:w="43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Appointment booking integration: partner calendar embedded in app</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Month 8–12 post-launch</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Phase 6</w:t>
            </w:r>
          </w:p>
        </w:tc>
        <w:tc>
          <w:tcPr>
            <w:tcW w:type="dxa" w:w="43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Group messaging: partner communicates with cohort (e.g. senior home can message all linked residents’ families)</w:t>
            </w:r>
          </w:p>
        </w:tc>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Year 2</w:t>
            </w:r>
          </w:p>
        </w:tc>
      </w:tr>
    </w:tbl>
    <w:p>
      <w:pPr>
        <w:spacing w:after="0" w:before="160"/>
      </w:pPr>
    </w:p>
    <w:p>
      <w:pPr>
        <w:pStyle w:val="Heading2"/>
        <w:spacing w:after="100" w:before="280"/>
      </w:pPr>
      <w:r>
        <w:rPr>
          <w:rFonts w:ascii="Arial" w:cs="Arial" w:eastAsia="Arial" w:hAnsi="Arial"/>
          <w:b/>
          <w:bCs/>
          <w:color w:val="8C3040"/>
          <w:sz w:val="26"/>
          <w:szCs w:val="26"/>
        </w:rPr>
        <w:t xml:space="preserve">7.3  Technical Requirements</w:t>
      </w:r>
    </w:p>
    <w:p>
      <w:pPr>
        <w:pStyle w:val="ListParagraph"/>
        <w:numPr>
          <w:ilvl w:val="0"/>
          <w:numId w:val="2"/>
        </w:numPr>
        <w:spacing w:after="60" w:before="60"/>
      </w:pPr>
      <w:r>
        <w:rPr>
          <w:rFonts w:ascii="Arial" w:cs="Arial" w:eastAsia="Arial" w:hAnsi="Arial"/>
          <w:color w:val="211E17"/>
          <w:sz w:val="22"/>
          <w:szCs w:val="22"/>
        </w:rPr>
        <w:t xml:space="preserve">Messaging layer: Supabase Realtime or Stream Chat SDK (evaluate based on volume)</w:t>
      </w:r>
    </w:p>
    <w:p>
      <w:pPr>
        <w:pStyle w:val="ListParagraph"/>
        <w:numPr>
          <w:ilvl w:val="0"/>
          <w:numId w:val="2"/>
        </w:numPr>
        <w:spacing w:after="60" w:before="60"/>
      </w:pPr>
      <w:r>
        <w:rPr>
          <w:rFonts w:ascii="Arial" w:cs="Arial" w:eastAsia="Arial" w:hAnsi="Arial"/>
          <w:color w:val="211E17"/>
          <w:sz w:val="22"/>
          <w:szCs w:val="22"/>
        </w:rPr>
        <w:t xml:space="preserve">Push notifications for new messages (extend existing expo-notifications infrastructure)</w:t>
      </w:r>
    </w:p>
    <w:p>
      <w:pPr>
        <w:pStyle w:val="ListParagraph"/>
        <w:numPr>
          <w:ilvl w:val="0"/>
          <w:numId w:val="2"/>
        </w:numPr>
        <w:spacing w:after="60" w:before="60"/>
      </w:pPr>
      <w:r>
        <w:rPr>
          <w:rFonts w:ascii="Arial" w:cs="Arial" w:eastAsia="Arial" w:hAnsi="Arial"/>
          <w:color w:val="211E17"/>
          <w:sz w:val="22"/>
          <w:szCs w:val="22"/>
        </w:rPr>
        <w:t xml:space="preserve">Partner “link” data model: user can be linked to multiple partner organizations; each link requires user consent</w:t>
      </w:r>
    </w:p>
    <w:p>
      <w:pPr>
        <w:pStyle w:val="ListParagraph"/>
        <w:numPr>
          <w:ilvl w:val="0"/>
          <w:numId w:val="2"/>
        </w:numPr>
        <w:spacing w:after="60" w:before="60"/>
      </w:pPr>
      <w:r>
        <w:rPr>
          <w:rFonts w:ascii="Arial" w:cs="Arial" w:eastAsia="Arial" w:hAnsi="Arial"/>
          <w:color w:val="211E17"/>
          <w:sz w:val="22"/>
          <w:szCs w:val="22"/>
        </w:rPr>
        <w:t xml:space="preserve">Privacy: messages are end-to-end encrypted; Solace Life employees cannot read message content</w:t>
      </w:r>
    </w:p>
    <w:p>
      <w:pPr>
        <w:pStyle w:val="ListParagraph"/>
        <w:numPr>
          <w:ilvl w:val="0"/>
          <w:numId w:val="2"/>
        </w:numPr>
        <w:spacing w:after="60" w:before="60"/>
      </w:pPr>
      <w:r>
        <w:rPr>
          <w:rFonts w:ascii="Arial" w:cs="Arial" w:eastAsia="Arial" w:hAnsi="Arial"/>
          <w:color w:val="211E17"/>
          <w:sz w:val="22"/>
          <w:szCs w:val="22"/>
        </w:rPr>
        <w:t xml:space="preserve">Moderation: automated keyword flagging for safety (no clinical advice, no financial advice guardrails)</w:t>
      </w:r>
    </w:p>
    <w:p>
      <w:pPr>
        <w:pStyle w:val="ListParagraph"/>
        <w:numPr>
          <w:ilvl w:val="0"/>
          <w:numId w:val="2"/>
        </w:numPr>
        <w:spacing w:after="60" w:before="60"/>
      </w:pPr>
      <w:r>
        <w:rPr>
          <w:rFonts w:ascii="Arial" w:cs="Arial" w:eastAsia="Arial" w:hAnsi="Arial"/>
          <w:color w:val="211E17"/>
          <w:sz w:val="22"/>
          <w:szCs w:val="22"/>
        </w:rPr>
        <w:t xml:space="preserve">PIPEDA: message data stored in Canada; retention policy of 3 years with user-initiated deletion</w:t>
      </w:r>
    </w:p>
    <w:p>
      <w:pPr>
        <w:spacing w:after="0" w:before="160"/>
      </w:pPr>
    </w:p>
    <w:p>
      <w:pPr>
        <w:pStyle w:val="Heading2"/>
        <w:spacing w:after="100" w:before="280"/>
      </w:pPr>
      <w:r>
        <w:rPr>
          <w:rFonts w:ascii="Arial" w:cs="Arial" w:eastAsia="Arial" w:hAnsi="Arial"/>
          <w:b/>
          <w:bCs/>
          <w:color w:val="8C3040"/>
          <w:sz w:val="26"/>
          <w:szCs w:val="26"/>
        </w:rPr>
        <w:t xml:space="preserve">7.4  Monetization of Chat Feature</w:t>
      </w:r>
    </w:p>
    <w:p>
      <w:pPr>
        <w:pStyle w:val="ListParagraph"/>
        <w:numPr>
          <w:ilvl w:val="0"/>
          <w:numId w:val="2"/>
        </w:numPr>
        <w:spacing w:after="60" w:before="60"/>
      </w:pPr>
      <w:r>
        <w:rPr>
          <w:rFonts w:ascii="Arial" w:cs="Arial" w:eastAsia="Arial" w:hAnsi="Arial"/>
          <w:color w:val="211E17"/>
          <w:sz w:val="22"/>
          <w:szCs w:val="22"/>
        </w:rPr>
        <w:t xml:space="preserve">Included in Strategic tier at no extra charge (early access — beta)</w:t>
      </w:r>
    </w:p>
    <w:p>
      <w:pPr>
        <w:pStyle w:val="ListParagraph"/>
        <w:numPr>
          <w:ilvl w:val="0"/>
          <w:numId w:val="2"/>
        </w:numPr>
        <w:spacing w:after="60" w:before="60"/>
      </w:pPr>
      <w:r>
        <w:rPr>
          <w:rFonts w:ascii="Arial" w:cs="Arial" w:eastAsia="Arial" w:hAnsi="Arial"/>
          <w:color w:val="211E17"/>
          <w:sz w:val="22"/>
          <w:szCs w:val="22"/>
        </w:rPr>
        <w:t xml:space="preserve">Growth tier: available for $49/month add-on once out of beta</w:t>
      </w:r>
    </w:p>
    <w:p>
      <w:pPr>
        <w:pStyle w:val="ListParagraph"/>
        <w:numPr>
          <w:ilvl w:val="0"/>
          <w:numId w:val="2"/>
        </w:numPr>
        <w:spacing w:after="60" w:before="60"/>
      </w:pPr>
      <w:r>
        <w:rPr>
          <w:rFonts w:ascii="Arial" w:cs="Arial" w:eastAsia="Arial" w:hAnsi="Arial"/>
          <w:color w:val="211E17"/>
          <w:sz w:val="22"/>
          <w:szCs w:val="22"/>
        </w:rPr>
        <w:t xml:space="preserve">Starter tier: not available (messaging requires dedicated portal, not viable at low volume)</w:t>
      </w:r>
    </w:p>
    <w:p>
      <w:pPr>
        <w:pStyle w:val="ListParagraph"/>
        <w:numPr>
          <w:ilvl w:val="0"/>
          <w:numId w:val="2"/>
        </w:numPr>
        <w:spacing w:after="60" w:before="60"/>
      </w:pPr>
      <w:r>
        <w:rPr>
          <w:rFonts w:ascii="Arial" w:cs="Arial" w:eastAsia="Arial" w:hAnsi="Arial"/>
          <w:color w:val="211E17"/>
          <w:sz w:val="22"/>
          <w:szCs w:val="22"/>
        </w:rPr>
        <w:t xml:space="preserve">Long-term: professional chat could become a standalone revenue line for high-volume specialties (e.g. estate law, financial planning)</w:t>
      </w:r>
    </w:p>
    <w:p>
      <w:pPr>
        <w:spacing w:after="0" w:before="200"/>
      </w:pPr>
    </w:p>
    <w:p>
      <w:pPr>
        <w:pStyle w:val="Heading1"/>
        <w:spacing w:after="120" w:before="360"/>
      </w:pPr>
      <w:r>
        <w:rPr>
          <w:rFonts w:ascii="Arial" w:cs="Arial" w:eastAsia="Arial" w:hAnsi="Arial"/>
          <w:b/>
          <w:bCs/>
          <w:color w:val="211E17"/>
          <w:sz w:val="32"/>
          <w:szCs w:val="32"/>
        </w:rPr>
        <w:t xml:space="preserve">8.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DDDDD" w:sz="1"/>
              <w:left w:val="single" w:color="DDDDDD" w:sz="1"/>
              <w:bottom w:val="single" w:color="DDDDDD" w:sz="1"/>
              <w:right w:val="single" w:color="DDDDDD" w:sz="1"/>
            </w:tcBorders>
            <w:shd w:fill="F4F3F0" w:val="clear"/>
            <w:tcMar>
              <w:top w:type="dxa" w:w="100"/>
              <w:left w:type="dxa" w:w="120"/>
              <w:bottom w:type="dxa" w:w="100"/>
              <w:right w:type="dxa" w:w="120"/>
            </w:tcMar>
          </w:tcPr>
          <w:p>
            <w:r>
              <w:rPr>
                <w:rFonts w:ascii="Arial" w:cs="Arial" w:eastAsia="Arial" w:hAnsi="Arial"/>
                <w:b/>
                <w:bCs/>
                <w:color w:val="211E17"/>
                <w:sz w:val="20"/>
                <w:szCs w:val="20"/>
              </w:rPr>
              <w:t xml:space="preserve">Metric</w:t>
            </w:r>
          </w:p>
        </w:tc>
        <w:tc>
          <w:tcPr>
            <w:tcW w:type="dxa" w:w="6120"/>
            <w:tcBorders>
              <w:top w:val="single" w:color="DDDDDD" w:sz="1"/>
              <w:left w:val="single" w:color="DDDDDD" w:sz="1"/>
              <w:bottom w:val="single" w:color="DDDDDD" w:sz="1"/>
              <w:right w:val="single" w:color="DDDDDD" w:sz="1"/>
            </w:tcBorders>
            <w:shd w:fill="F4F3F0" w:val="clear"/>
            <w:tcMar>
              <w:top w:type="dxa" w:w="100"/>
              <w:left w:type="dxa" w:w="120"/>
              <w:bottom w:type="dxa" w:w="100"/>
              <w:right w:type="dxa" w:w="120"/>
            </w:tcMar>
          </w:tcPr>
          <w:p>
            <w:r>
              <w:rPr>
                <w:rFonts w:ascii="Arial" w:cs="Arial" w:eastAsia="Arial" w:hAnsi="Arial"/>
                <w:b/>
                <w:bCs/>
                <w:color w:val="211E17"/>
                <w:sz w:val="20"/>
                <w:szCs w:val="20"/>
              </w:rPr>
              <w:t xml:space="preserve">Why it matters</w:t>
            </w:r>
          </w:p>
        </w:tc>
      </w:tr>
      <w:tr>
        <w:trPr>
          <w:tblHeader w:val="false"/>
        </w:trPr>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Partner applications per month</w:t>
            </w:r>
          </w:p>
        </w:tc>
        <w:tc>
          <w:tcPr>
            <w:tcW w:type="dxa" w:w="6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Measures effectiveness of landing page and outbound outreach</w:t>
            </w:r>
          </w:p>
        </w:tc>
      </w:tr>
      <w:tr>
        <w:trPr>
          <w:tblHeader w:val="false"/>
        </w:trPr>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Application-to-active rate</w:t>
            </w:r>
          </w:p>
        </w:tc>
        <w:tc>
          <w:tcPr>
            <w:tcW w:type="dxa" w:w="6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Target 60%+ — if low, review onboarding friction</w:t>
            </w:r>
          </w:p>
        </w:tc>
      </w:tr>
      <w:tr>
        <w:trPr>
          <w:tblHeader w:val="false"/>
        </w:trPr>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Referral link click rate</w:t>
            </w:r>
          </w:p>
        </w:tc>
        <w:tc>
          <w:tcPr>
            <w:tcW w:type="dxa" w:w="6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Measures how actively partners are promoting (industry avg: 8–15% of clients)</w:t>
            </w:r>
          </w:p>
        </w:tc>
      </w:tr>
      <w:tr>
        <w:trPr>
          <w:tblHeader w:val="false"/>
        </w:trPr>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Click-to-activation rate</w:t>
            </w:r>
          </w:p>
        </w:tc>
        <w:tc>
          <w:tcPr>
            <w:tcW w:type="dxa" w:w="6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Target 25–35% — if low, review app onboarding or landing page</w:t>
            </w:r>
          </w:p>
        </w:tc>
      </w:tr>
      <w:tr>
        <w:trPr>
          <w:tblHeader w:val="false"/>
        </w:trPr>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Average activations per partner / month</w:t>
            </w:r>
          </w:p>
        </w:tc>
        <w:tc>
          <w:tcPr>
            <w:tcW w:type="dxa" w:w="6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Identifies power partners and segments worth investing in</w:t>
            </w:r>
          </w:p>
        </w:tc>
      </w:tr>
      <w:tr>
        <w:trPr>
          <w:tblHeader w:val="false"/>
        </w:trPr>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Partner-driven CAC vs direct CAC</w:t>
            </w:r>
          </w:p>
        </w:tc>
        <w:tc>
          <w:tcPr>
            <w:tcW w:type="dxa" w:w="6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Partner-driven CAC should be 40–60% lower than paid digital</w:t>
            </w:r>
          </w:p>
        </w:tc>
      </w:tr>
      <w:tr>
        <w:trPr>
          <w:tblHeader w:val="false"/>
        </w:trPr>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Partner churn (inactive &gt; 90 days)</w:t>
            </w:r>
          </w:p>
        </w:tc>
        <w:tc>
          <w:tcPr>
            <w:tcW w:type="dxa" w:w="6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Flag for re-engagement; target &lt; 20% annual partner churn</w:t>
            </w:r>
          </w:p>
        </w:tc>
      </w:tr>
      <w:tr>
        <w:trPr>
          <w:tblHeader w:val="false"/>
        </w:trPr>
        <w:tc>
          <w:tcPr>
            <w:tcW w:type="dxa" w:w="324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Net Promoter Score from partner survey</w:t>
            </w:r>
          </w:p>
        </w:tc>
        <w:tc>
          <w:tcPr>
            <w:tcW w:type="dxa" w:w="612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b w:val="false"/>
                <w:bCs w:val="false"/>
                <w:color w:val="7A7060"/>
                <w:sz w:val="20"/>
                <w:szCs w:val="20"/>
              </w:rPr>
              <w:t xml:space="preserve">Run quarterly; target NPS &gt; 40 among active partners</w:t>
            </w:r>
          </w:p>
        </w:tc>
      </w:tr>
    </w:tbl>
    <w:p>
      <w:pPr>
        <w:spacing w:after="0" w:before="200"/>
      </w:pPr>
    </w:p>
    <w:p>
      <w:pPr>
        <w:pStyle w:val="Heading1"/>
        <w:spacing w:after="120" w:before="360"/>
      </w:pPr>
      <w:r>
        <w:rPr>
          <w:rFonts w:ascii="Arial" w:cs="Arial" w:eastAsia="Arial" w:hAnsi="Arial"/>
          <w:b/>
          <w:bCs/>
          <w:color w:val="211E17"/>
          <w:sz w:val="32"/>
          <w:szCs w:val="32"/>
        </w:rPr>
        <w:t xml:space="preserve">9.  Immediate Next Steps</w:t>
      </w:r>
    </w:p>
    <w:p>
      <w:pPr>
        <w:spacing w:after="80" w:before="80"/>
      </w:pPr>
      <w:r>
        <w:rPr>
          <w:rFonts w:ascii="Arial" w:cs="Arial" w:eastAsia="Arial" w:hAnsi="Arial"/>
          <w:color w:val="211E17"/>
          <w:sz w:val="22"/>
          <w:szCs w:val="22"/>
        </w:rPr>
        <w:t xml:space="preserve">Priority actions before accepting first partner applications:</w:t>
      </w:r>
    </w:p>
    <w:p>
      <w:pPr>
        <w:spacing w:after="0" w:before="80"/>
      </w:pPr>
    </w:p>
    <w:p>
      <w:pPr>
        <w:pStyle w:val="ListParagraph"/>
        <w:numPr>
          <w:ilvl w:val="0"/>
          <w:numId w:val="3"/>
        </w:numPr>
        <w:spacing w:after="60" w:before="60"/>
      </w:pPr>
      <w:r>
        <w:rPr>
          <w:rFonts w:ascii="Arial" w:cs="Arial" w:eastAsia="Arial" w:hAnsi="Arial"/>
          <w:color w:val="211E17"/>
          <w:sz w:val="22"/>
          <w:szCs w:val="22"/>
        </w:rPr>
        <w:t xml:space="preserve">Wire partners.html form to Formspree or Supabase Edge Function (1 hour)</w:t>
      </w:r>
    </w:p>
    <w:p>
      <w:pPr>
        <w:pStyle w:val="ListParagraph"/>
        <w:numPr>
          <w:ilvl w:val="0"/>
          <w:numId w:val="3"/>
        </w:numPr>
        <w:spacing w:after="60" w:before="60"/>
      </w:pPr>
      <w:r>
        <w:rPr>
          <w:rFonts w:ascii="Arial" w:cs="Arial" w:eastAsia="Arial" w:hAnsi="Arial"/>
          <w:color w:val="211E17"/>
          <w:sz w:val="22"/>
          <w:szCs w:val="22"/>
        </w:rPr>
        <w:t xml:space="preserve">Draft one-page partner agreement template with a BC-licensed lawyer (≈ $500–$1,000 — worth doing before any partner signs)</w:t>
      </w:r>
    </w:p>
    <w:p>
      <w:pPr>
        <w:pStyle w:val="ListParagraph"/>
        <w:numPr>
          <w:ilvl w:val="0"/>
          <w:numId w:val="3"/>
        </w:numPr>
        <w:spacing w:after="60" w:before="60"/>
      </w:pPr>
      <w:r>
        <w:rPr>
          <w:rFonts w:ascii="Arial" w:cs="Arial" w:eastAsia="Arial" w:hAnsi="Arial"/>
          <w:color w:val="211E17"/>
          <w:sz w:val="22"/>
          <w:szCs w:val="22"/>
        </w:rPr>
        <w:t xml:space="preserve">Create disclosure template for CPAs and financial planners (15 minutes — can draft internally, no lawyer needed)</w:t>
      </w:r>
    </w:p>
    <w:p>
      <w:pPr>
        <w:pStyle w:val="ListParagraph"/>
        <w:numPr>
          <w:ilvl w:val="0"/>
          <w:numId w:val="3"/>
        </w:numPr>
        <w:spacing w:after="60" w:before="60"/>
      </w:pPr>
      <w:r>
        <w:rPr>
          <w:rFonts w:ascii="Arial" w:cs="Arial" w:eastAsia="Arial" w:hAnsi="Arial"/>
          <w:color w:val="211E17"/>
          <w:sz w:val="22"/>
          <w:szCs w:val="22"/>
        </w:rPr>
        <w:t xml:space="preserve">Build UTM tracking in Supabase onboarding flow: track referral source from signup through activation</w:t>
      </w:r>
    </w:p>
    <w:p>
      <w:pPr>
        <w:pStyle w:val="ListParagraph"/>
        <w:numPr>
          <w:ilvl w:val="0"/>
          <w:numId w:val="3"/>
        </w:numPr>
        <w:spacing w:after="60" w:before="60"/>
      </w:pPr>
      <w:r>
        <w:rPr>
          <w:rFonts w:ascii="Arial" w:cs="Arial" w:eastAsia="Arial" w:hAnsi="Arial"/>
          <w:color w:val="211E17"/>
          <w:sz w:val="22"/>
          <w:szCs w:val="22"/>
        </w:rPr>
        <w:t xml:space="preserve">Set up a partners@solacelife.ca email and Calendly link for onboarding calls</w:t>
      </w:r>
    </w:p>
    <w:p>
      <w:pPr>
        <w:pStyle w:val="ListParagraph"/>
        <w:numPr>
          <w:ilvl w:val="0"/>
          <w:numId w:val="3"/>
        </w:numPr>
        <w:spacing w:after="60" w:before="60"/>
      </w:pPr>
      <w:r>
        <w:rPr>
          <w:rFonts w:ascii="Arial" w:cs="Arial" w:eastAsia="Arial" w:hAnsi="Arial"/>
          <w:color w:val="211E17"/>
          <w:sz w:val="22"/>
          <w:szCs w:val="22"/>
        </w:rPr>
        <w:t xml:space="preserve">Design partner onboarding email sequence (3 emails: welcome, kit delivery, 30-day check-in)</w:t>
      </w:r>
    </w:p>
    <w:p>
      <w:pPr>
        <w:pStyle w:val="ListParagraph"/>
        <w:numPr>
          <w:ilvl w:val="0"/>
          <w:numId w:val="3"/>
        </w:numPr>
        <w:spacing w:after="60" w:before="60"/>
      </w:pPr>
      <w:r>
        <w:rPr>
          <w:rFonts w:ascii="Arial" w:cs="Arial" w:eastAsia="Arial" w:hAnsi="Arial"/>
          <w:color w:val="211E17"/>
          <w:sz w:val="22"/>
          <w:szCs w:val="22"/>
        </w:rPr>
        <w:t xml:space="preserve">Identify 5 target partners for warm outreach (2 senior living, 2 estate lawyers, 1 CPA) — do not wait for inbound</w:t>
      </w:r>
    </w:p>
    <w:p>
      <w:pPr>
        <w:pStyle w:val="ListParagraph"/>
        <w:numPr>
          <w:ilvl w:val="0"/>
          <w:numId w:val="3"/>
        </w:numPr>
        <w:spacing w:after="60" w:before="60"/>
      </w:pPr>
      <w:r>
        <w:rPr>
          <w:rFonts w:ascii="Arial" w:cs="Arial" w:eastAsia="Arial" w:hAnsi="Arial"/>
          <w:color w:val="211E17"/>
          <w:sz w:val="22"/>
          <w:szCs w:val="22"/>
        </w:rPr>
        <w:t xml:space="preserve">Build partner dashboard (Phase 3 — can use Supabase + simple React admin panel initially)</w:t>
      </w:r>
    </w:p>
    <w:p>
      <w:pPr>
        <w:spacing w:after="0" w:before="200"/>
      </w:pPr>
    </w:p>
    <w:p>
      <w:pPr>
        <w:pBdr>
          <w:bottom w:val="single" w:color="C49A3C" w:sz="4" w:space="1"/>
        </w:pBdr>
        <w:spacing w:after="0" w:before="160"/>
      </w:pPr>
    </w:p>
    <w:p>
      <w:pPr>
        <w:spacing w:after="0" w:before="120"/>
      </w:pPr>
    </w:p>
    <w:p>
      <w:pPr>
        <w:jc w:val="center"/>
      </w:pPr>
      <w:r>
        <w:rPr>
          <w:rFonts w:ascii="Arial" w:cs="Arial" w:eastAsia="Arial" w:hAnsi="Arial"/>
          <w:color w:val="7A7060"/>
          <w:sz w:val="18"/>
          <w:szCs w:val="18"/>
        </w:rPr>
        <w:t xml:space="preserve">End of Document  |  Solace Life Partner Strategy  |  Version 1.0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3C" w:sz="2" w:space="1"/>
      </w:pBdr>
      <w:spacing w:before="80"/>
      <w:jc w:val="center"/>
    </w:pPr>
    <w:r>
      <w:rPr>
        <w:rFonts w:ascii="Arial" w:cs="Arial" w:eastAsia="Arial" w:hAnsi="Arial"/>
        <w:color w:val="7A7060"/>
        <w:sz w:val="18"/>
        <w:szCs w:val="18"/>
      </w:rPr>
      <w:t xml:space="preserve">Solace Life  |  Internal Use Only  |  Page </w:t>
    </w:r>
    <w:r>
      <w:rPr>
        <w:rFonts w:ascii="Arial" w:cs="Arial" w:eastAsia="Arial" w:hAnsi="Arial"/>
        <w:color w:val="7A7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3C" w:sz="2" w:space="1"/>
      </w:pBdr>
      <w:spacing w:after="120"/>
      <w:jc w:val="right"/>
    </w:pPr>
    <w:r>
      <w:rPr>
        <w:rFonts w:ascii="Arial" w:cs="Arial" w:eastAsia="Arial" w:hAnsi="Arial"/>
        <w:color w:val="7A7060"/>
        <w:sz w:val="18"/>
        <w:szCs w:val="18"/>
      </w:rPr>
      <w:t xml:space="preserve">CONFIDENTIAL  |  </w:t>
    </w:r>
    <w:r>
      <w:rPr>
        <w:rFonts w:ascii="Arial" w:cs="Arial" w:eastAsia="Arial" w:hAnsi="Arial"/>
        <w:b/>
        <w:bCs/>
        <w:color w:val="211E17"/>
        <w:sz w:val="18"/>
        <w:szCs w:val="18"/>
      </w:rPr>
      <w:t xml:space="preserve">Solace Life — Referral Partner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2026-05-18T19:08:56.167Z</dcterms:created>
  <dcterms:modified xsi:type="dcterms:W3CDTF">2026-05-18T19:08:56.167Z</dcterms:modified>
</cp:coreProperties>
</file>

<file path=docProps/custom.xml><?xml version="1.0" encoding="utf-8"?>
<Properties xmlns="http://schemas.openxmlformats.org/officeDocument/2006/custom-properties" xmlns:vt="http://schemas.openxmlformats.org/officeDocument/2006/docPropsVTypes"/>
</file>