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Arial" w:cs="Arial" w:eastAsia="Arial" w:hAnsi="Arial"/>
        </w:rPr>
        <w:t xml:space="preserve"/>
      </w:r>
    </w:p>
    <w:p>
      <w:pPr>
        <w:spacing w:after="80" w:before="0"/>
        <w:jc w:val="center"/>
      </w:pPr>
      <w:r>
        <w:rPr>
          <w:rFonts w:ascii="Arial" w:cs="Arial" w:eastAsia="Arial" w:hAnsi="Arial"/>
          <w:b/>
          <w:bCs/>
          <w:color w:val="1A1A1A"/>
          <w:sz w:val="56"/>
          <w:szCs w:val="56"/>
        </w:rPr>
        <w:t xml:space="preserve">SOLACE LIFE</w:t>
      </w:r>
    </w:p>
    <w:p>
      <w:pPr>
        <w:spacing w:after="120" w:before="0"/>
        <w:jc w:val="center"/>
      </w:pPr>
      <w:r>
        <w:rPr>
          <w:rFonts w:ascii="Arial" w:cs="Arial" w:eastAsia="Arial" w:hAnsi="Arial"/>
          <w:color w:val="6B6B6B"/>
          <w:sz w:val="26"/>
          <w:szCs w:val="26"/>
        </w:rPr>
        <w:t xml:space="preserve">Independent Venture Capital Panel Evaluation</w:t>
      </w:r>
    </w:p>
    <w:p>
      <w:pPr>
        <w:pBdr>
          <w:bottom w:val="single" w:color="D0D0D0" w:sz="6" w:space="1"/>
        </w:pBdr>
        <w:spacing w:after="0" w:before="0"/>
      </w:pPr>
      <w:r>
        <w:rPr>
          <w:rFonts w:ascii="Arial" w:cs="Arial" w:eastAsia="Arial" w:hAnsi="Arial"/>
        </w:rPr>
        <w:t xml:space="preserve"/>
      </w:r>
    </w:p>
    <w:p>
      <w:pPr>
        <w:spacing w:after="0" w:before="0" w:line="200"/>
      </w:pPr>
      <w:r>
        <w:rPr>
          <w:rFonts w:ascii="Arial" w:cs="Arial" w:eastAsia="Arial" w:hAnsi="Arial"/>
        </w:rPr>
        <w:t xml:space="preserve"/>
      </w:r>
    </w:p>
    <w:p>
      <w:pPr>
        <w:spacing w:after="60" w:before="0"/>
        <w:jc w:val="center"/>
      </w:pPr>
      <w:r>
        <w:rPr>
          <w:rFonts w:ascii="Arial" w:cs="Arial" w:eastAsia="Arial" w:hAnsi="Arial"/>
          <w:b/>
          <w:bCs/>
          <w:i/>
          <w:iCs/>
          <w:color w:val="4A4A4A"/>
          <w:sz w:val="24"/>
          <w:szCs w:val="24"/>
        </w:rPr>
        <w:t xml:space="preserve">Five Competing Firms. No Affiliations. No Filter.</w:t>
      </w:r>
    </w:p>
    <w:p>
      <w:pPr>
        <w:spacing w:after="0" w:before="0" w:line="80"/>
      </w:pPr>
      <w:r>
        <w:rPr>
          <w:rFonts w:ascii="Arial" w:cs="Arial" w:eastAsia="Arial" w:hAnsi="Arial"/>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D0D0D0" w:sz="1"/>
              <w:left w:val="single" w:color="D0D0D0" w:sz="1"/>
              <w:bottom w:val="single" w:color="D0D0D0" w:sz="1"/>
              <w:right w:val="single" w:color="D0D0D0" w:sz="1"/>
            </w:tcBorders>
            <w:shd w:fill="F0F0F0"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Panel date</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May 2026</w:t>
            </w:r>
          </w:p>
        </w:tc>
      </w:tr>
      <w:tr>
        <w:tc>
          <w:tcPr>
            <w:tcW w:type="dxa" w:w="3000"/>
            <w:tcBorders>
              <w:top w:val="single" w:color="D0D0D0" w:sz="1"/>
              <w:left w:val="single" w:color="D0D0D0" w:sz="1"/>
              <w:bottom w:val="single" w:color="D0D0D0" w:sz="1"/>
              <w:right w:val="single" w:color="D0D0D0" w:sz="1"/>
            </w:tcBorders>
            <w:shd w:fill="F0F0F0"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Company</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Solace Life (solacelife.ca)</w:t>
            </w:r>
          </w:p>
        </w:tc>
      </w:tr>
      <w:tr>
        <w:tc>
          <w:tcPr>
            <w:tcW w:type="dxa" w:w="3000"/>
            <w:tcBorders>
              <w:top w:val="single" w:color="D0D0D0" w:sz="1"/>
              <w:left w:val="single" w:color="D0D0D0" w:sz="1"/>
              <w:bottom w:val="single" w:color="D0D0D0" w:sz="1"/>
              <w:right w:val="single" w:color="D0D0D0" w:sz="1"/>
            </w:tcBorders>
            <w:shd w:fill="F0F0F0"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Founder</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Sokha Eang — Vancouver, BC</w:t>
            </w:r>
          </w:p>
        </w:tc>
      </w:tr>
      <w:tr>
        <w:tc>
          <w:tcPr>
            <w:tcW w:type="dxa" w:w="3000"/>
            <w:tcBorders>
              <w:top w:val="single" w:color="D0D0D0" w:sz="1"/>
              <w:left w:val="single" w:color="D0D0D0" w:sz="1"/>
              <w:bottom w:val="single" w:color="D0D0D0" w:sz="1"/>
              <w:right w:val="single" w:color="D0D0D0" w:sz="1"/>
            </w:tcBorders>
            <w:shd w:fill="F0F0F0"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Stage</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Pre-revenue / Founding access open</w:t>
            </w:r>
          </w:p>
        </w:tc>
      </w:tr>
      <w:tr>
        <w:tc>
          <w:tcPr>
            <w:tcW w:type="dxa" w:w="3000"/>
            <w:tcBorders>
              <w:top w:val="single" w:color="D0D0D0" w:sz="1"/>
              <w:left w:val="single" w:color="D0D0D0" w:sz="1"/>
              <w:bottom w:val="single" w:color="D0D0D0" w:sz="1"/>
              <w:right w:val="single" w:color="D0D0D0" w:sz="1"/>
            </w:tcBorders>
            <w:shd w:fill="F0F0F0"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Category</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Legacy tech / Grief tech / AI companion</w:t>
            </w:r>
          </w:p>
        </w:tc>
      </w:tr>
      <w:tr>
        <w:tc>
          <w:tcPr>
            <w:tcW w:type="dxa" w:w="3000"/>
            <w:tcBorders>
              <w:top w:val="single" w:color="D0D0D0" w:sz="1"/>
              <w:left w:val="single" w:color="D0D0D0" w:sz="1"/>
              <w:bottom w:val="single" w:color="D0D0D0" w:sz="1"/>
              <w:right w:val="single" w:color="D0D0D0" w:sz="1"/>
            </w:tcBorders>
            <w:shd w:fill="F0F0F0"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Chairman</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Independent — no financial interest</w:t>
            </w:r>
          </w:p>
        </w:tc>
      </w:tr>
    </w:tbl>
    <w:p>
      <w:pPr>
        <w:spacing w:after="0" w:before="0" w:line="200"/>
      </w:pPr>
      <w:r>
        <w:rPr>
          <w:rFonts w:ascii="Arial" w:cs="Arial" w:eastAsia="Arial" w:hAnsi="Arial"/>
        </w:rPr>
        <w:t xml:space="preserve"/>
      </w:r>
    </w:p>
    <w:p>
      <w:pPr>
        <w:spacing w:after="0" w:before="0"/>
        <w:jc w:val="center"/>
      </w:pPr>
      <w:r>
        <w:rPr>
          <w:rFonts w:ascii="Arial" w:cs="Arial" w:eastAsia="Arial" w:hAnsi="Arial"/>
          <w:i/>
          <w:iCs/>
          <w:color w:val="6B6B6B"/>
          <w:sz w:val="18"/>
          <w:szCs w:val="18"/>
        </w:rPr>
        <w:t xml:space="preserve">This document contains no promotional content, no sentiment, and no encouragement. It is a factual assessment of a real product by five independent investor archetypes. All bids and verdicts are simulated based on information observed in the codebase, landing pages, and feature set as of the evaluation date.</w:t>
      </w:r>
    </w:p>
    <w:p>
      <w:r>
        <w:br w:type="page"/>
      </w:r>
    </w:p>
    <w:p>
      <w:pPr>
        <w:pStyle w:val="Heading1"/>
        <w:spacing w:after="160" w:before="320"/>
      </w:pPr>
      <w:r>
        <w:rPr>
          <w:rFonts w:ascii="Arial" w:cs="Arial" w:eastAsia="Arial" w:hAnsi="Arial"/>
          <w:b/>
          <w:bCs/>
          <w:color w:val="1A1A1A"/>
        </w:rPr>
        <w:t xml:space="preserve">Executive Summary</w:t>
      </w:r>
    </w:p>
    <w:p>
      <w:pPr>
        <w:pBdr>
          <w:bottom w:val="single" w:color="B8860B" w:sz="6" w:space="1"/>
        </w:pBdr>
        <w:spacing w:after="0" w:before="0"/>
      </w:pPr>
      <w:r>
        <w:rPr>
          <w:rFonts w:ascii="Arial" w:cs="Arial" w:eastAsia="Arial" w:hAnsi="Arial"/>
        </w:rPr>
        <w:t xml:space="preserve"/>
      </w:r>
    </w:p>
    <w:p>
      <w:pPr>
        <w:spacing w:after="0" w:before="0" w:line="8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Solace Life is a mobile application that allows users to record voice messages, video memories, and written notes — scheduled for future delivery to family members on dates that matter (birthdays, anniversaries, after death). It includes an AI avatar powered by OpenAI GPT-4o-mini that family members can converse with after the sender passes, a dead man's switch system that monitors check-ins and escalates delivery on non-response, an emergency contact consent system, a professional referral partner network, and a cloud vault for media and documents.</w:t>
      </w:r>
    </w:p>
    <w:p>
      <w:pPr>
        <w:spacing w:after="0" w:before="0" w:line="6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The product is built on React Native (Expo SDK 54), Supabase (46 database migrations, 15 deployed edge functions), Stripe for payments, and Netlify for the landing page. The tech stack is production-capable. The product is pre-revenue. The founder is operating solo out of Vancouver, BC.</w:t>
      </w:r>
    </w:p>
    <w:p>
      <w:pPr>
        <w:spacing w:after="0" w:before="0" w:line="6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The founding offer is $99 one-time for 100 families. The long-term model is $49/year (annual subscription) or $149 one-time lifetime. A professional partner program charges $300 per 6-month listing. Stripe is integrated but payment links are not yet live in the app.</w:t>
      </w:r>
    </w:p>
    <w:p>
      <w:pPr>
        <w:spacing w:after="0" w:before="0" w:lin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Screens built</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10 main screens + 9 onboarding screens + 4 auth screens</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Edge functions deployed</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15 (deliver-time-capsules, chat-with-avatar, process-checkins, confirm-passing, stripe-webhook, create-checkout-session, and 9 others)</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DB migrations</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46 (Supabase)</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Revenue today</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bCs/>
                <w:color w:val="CC2200"/>
                <w:sz w:val="20"/>
                <w:szCs w:val="20"/>
              </w:rPr>
              <w:t xml:space="preserve">$0 — Stripe integrated; payment links not yet wired in-app</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Active users</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Unknown / not disclosed — assumed pre-launch</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Key differentiator</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AI avatar (GPT-4o-mini trained on user's own vault content) + dead man's switch delivery + professional partner network</w:t>
            </w:r>
          </w:p>
        </w:tc>
      </w:tr>
      <w:tr>
        <w:tc>
          <w:tcPr>
            <w:tcW w:type="dxa" w:w="3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bCs/>
                <w:color w:val="4A4A4A"/>
                <w:sz w:val="20"/>
                <w:szCs w:val="20"/>
              </w:rPr>
              <w:t xml:space="preserve">Primary competitors</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Storyworth ($99/yr, established), GoodTrust, Evermore, Legacybox, Cake — plus Apple Photos, Google Photos native memory features</w:t>
            </w:r>
          </w:p>
        </w:tc>
      </w:tr>
    </w:tbl>
    <w:p>
      <w:r>
        <w:br w:type="page"/>
      </w:r>
    </w:p>
    <w:p>
      <w:pPr>
        <w:pStyle w:val="Heading1"/>
        <w:spacing w:after="160" w:before="320"/>
      </w:pPr>
      <w:r>
        <w:rPr>
          <w:rFonts w:ascii="Arial" w:cs="Arial" w:eastAsia="Arial" w:hAnsi="Arial"/>
          <w:b/>
          <w:bCs/>
          <w:color w:val="1A1A1A"/>
        </w:rPr>
        <w:t xml:space="preserve">The Panel</w:t>
      </w:r>
    </w:p>
    <w:p>
      <w:pPr>
        <w:pBdr>
          <w:bottom w:val="single" w:color="D0D0D0" w:sz="4" w:space="1"/>
        </w:pBdr>
        <w:spacing w:after="0" w:before="0"/>
      </w:pPr>
      <w:r>
        <w:rPr>
          <w:rFonts w:ascii="Arial" w:cs="Arial" w:eastAsia="Arial" w:hAnsi="Arial"/>
        </w:rPr>
        <w:t xml:space="preserve"/>
      </w:r>
    </w:p>
    <w:p>
      <w:pPr>
        <w:spacing w:after="0" w:before="0" w:line="8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Five firms were selected to represent distinct investor archetypes. None have prior exposure to Solace Life. Each evaluated the product independently and was given the same set of facts.</w:t>
      </w:r>
    </w:p>
    <w:p>
      <w:pPr>
        <w:spacing w:after="0" w:before="0" w:lin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Firm</w:t>
            </w:r>
          </w:p>
        </w:tc>
        <w:tc>
          <w:tcPr>
            <w:tcW w:type="dxa" w:w="200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HQ</w:t>
            </w:r>
          </w:p>
        </w:tc>
        <w:tc>
          <w:tcPr>
            <w:tcW w:type="dxa" w:w="220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Focus</w:t>
            </w:r>
          </w:p>
        </w:tc>
        <w:tc>
          <w:tcPr>
            <w:tcW w:type="dxa" w:w="296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Style</w:t>
            </w:r>
          </w:p>
        </w:tc>
      </w:tr>
      <w:tr>
        <w:tc>
          <w:tcPr>
            <w:tcW w:type="dxa" w:w="2200"/>
            <w:tcBorders>
              <w:top w:val="single" w:color="D0D0D0" w:sz="1"/>
              <w:left w:val="single" w:color="D0D0D0" w:sz="1"/>
              <w:bottom w:val="single" w:color="D0D0D0" w:sz="1"/>
              <w:right w:val="single" w:color="D0D0D0" w:sz="1"/>
            </w:tcBorders>
            <w:shd w:fill="EEF2F8"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Meridian Ventures</w:t>
            </w:r>
          </w:p>
        </w:tc>
        <w:tc>
          <w:tcPr>
            <w:tcW w:type="dxa" w:w="2000"/>
            <w:tcBorders>
              <w:top w:val="single" w:color="D0D0D0" w:sz="1"/>
              <w:left w:val="single" w:color="D0D0D0" w:sz="1"/>
              <w:bottom w:val="single" w:color="D0D0D0" w:sz="1"/>
              <w:right w:val="single" w:color="D0D0D0" w:sz="1"/>
            </w:tcBorders>
            <w:shd w:fill="EEF2F8"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San Francisco</w:t>
            </w:r>
          </w:p>
        </w:tc>
        <w:tc>
          <w:tcPr>
            <w:tcW w:type="dxa" w:w="2200"/>
            <w:tcBorders>
              <w:top w:val="single" w:color="D0D0D0" w:sz="1"/>
              <w:left w:val="single" w:color="D0D0D0" w:sz="1"/>
              <w:bottom w:val="single" w:color="D0D0D0" w:sz="1"/>
              <w:right w:val="single" w:color="D0D0D0" w:sz="1"/>
            </w:tcBorders>
            <w:shd w:fill="EEF2F8"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Consumer subscription, Series A</w:t>
            </w:r>
          </w:p>
        </w:tc>
        <w:tc>
          <w:tcPr>
            <w:tcW w:type="dxa" w:w="2960"/>
            <w:tcBorders>
              <w:top w:val="single" w:color="D0D0D0" w:sz="1"/>
              <w:left w:val="single" w:color="D0D0D0" w:sz="1"/>
              <w:bottom w:val="single" w:color="D0D0D0" w:sz="1"/>
              <w:right w:val="single" w:color="D0D0D0" w:sz="1"/>
            </w:tcBorders>
            <w:shd w:fill="EEF2F8"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Unit-economics first. Will not touch pre-revenue without a verified demand signal.</w:t>
            </w:r>
          </w:p>
        </w:tc>
      </w:tr>
      <w:tr>
        <w:tc>
          <w:tcPr>
            <w:tcW w:type="dxa" w:w="2200"/>
            <w:tcBorders>
              <w:top w:val="single" w:color="D0D0D0" w:sz="1"/>
              <w:left w:val="single" w:color="D0D0D0" w:sz="1"/>
              <w:bottom w:val="single" w:color="D0D0D0" w:sz="1"/>
              <w:right w:val="single" w:color="D0D0D0" w:sz="1"/>
            </w:tcBorders>
            <w:shd w:fill="EEF5EC"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Stonegate Capital</w:t>
            </w:r>
          </w:p>
        </w:tc>
        <w:tc>
          <w:tcPr>
            <w:tcW w:type="dxa" w:w="2000"/>
            <w:tcBorders>
              <w:top w:val="single" w:color="D0D0D0" w:sz="1"/>
              <w:left w:val="single" w:color="D0D0D0" w:sz="1"/>
              <w:bottom w:val="single" w:color="D0D0D0" w:sz="1"/>
              <w:right w:val="single" w:color="D0D0D0" w:sz="1"/>
            </w:tcBorders>
            <w:shd w:fill="EEF5EC"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New York</w:t>
            </w:r>
          </w:p>
        </w:tc>
        <w:tc>
          <w:tcPr>
            <w:tcW w:type="dxa" w:w="2200"/>
            <w:tcBorders>
              <w:top w:val="single" w:color="D0D0D0" w:sz="1"/>
              <w:left w:val="single" w:color="D0D0D0" w:sz="1"/>
              <w:bottom w:val="single" w:color="D0D0D0" w:sz="1"/>
              <w:right w:val="single" w:color="D0D0D0" w:sz="1"/>
            </w:tcBorders>
            <w:shd w:fill="EEF5EC"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Aging tech, longevity, health-adjacent</w:t>
            </w:r>
          </w:p>
        </w:tc>
        <w:tc>
          <w:tcPr>
            <w:tcW w:type="dxa" w:w="2960"/>
            <w:tcBorders>
              <w:top w:val="single" w:color="D0D0D0" w:sz="1"/>
              <w:left w:val="single" w:color="D0D0D0" w:sz="1"/>
              <w:bottom w:val="single" w:color="D0D0D0" w:sz="1"/>
              <w:right w:val="single" w:color="D0D0D0" w:sz="1"/>
            </w:tcBorders>
            <w:shd w:fill="EEF5EC"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Thesis-driven around the 65+ wave. Patient capital. Wants B2B distribution proof.</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Black River Partners</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New York</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Quantitative, data-first, sector-agnostic</w:t>
            </w:r>
          </w:p>
        </w:tc>
        <w:tc>
          <w:tcPr>
            <w:tcW w:type="dxa" w:w="296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Pure metrics. If there is no cohort data, no LTV/CAC, no MRR — there is no meeting.</w:t>
            </w:r>
          </w:p>
        </w:tc>
      </w:tr>
      <w:tr>
        <w:tc>
          <w:tcPr>
            <w:tcW w:type="dxa" w:w="2200"/>
            <w:tcBorders>
              <w:top w:val="single" w:color="D0D0D0" w:sz="1"/>
              <w:left w:val="single" w:color="D0D0D0" w:sz="1"/>
              <w:bottom w:val="single" w:color="D0D0D0" w:sz="1"/>
              <w:right w:val="single" w:color="D0D0D0" w:sz="1"/>
            </w:tcBorders>
            <w:shd w:fill="FDF0F0"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Northern Arch Capital</w:t>
            </w:r>
          </w:p>
        </w:tc>
        <w:tc>
          <w:tcPr>
            <w:tcW w:type="dxa" w:w="2000"/>
            <w:tcBorders>
              <w:top w:val="single" w:color="D0D0D0" w:sz="1"/>
              <w:left w:val="single" w:color="D0D0D0" w:sz="1"/>
              <w:bottom w:val="single" w:color="D0D0D0" w:sz="1"/>
              <w:right w:val="single" w:color="D0D0D0" w:sz="1"/>
            </w:tcBorders>
            <w:shd w:fill="FDF0F0"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Toronto</w:t>
            </w:r>
          </w:p>
        </w:tc>
        <w:tc>
          <w:tcPr>
            <w:tcW w:type="dxa" w:w="2200"/>
            <w:tcBorders>
              <w:top w:val="single" w:color="D0D0D0" w:sz="1"/>
              <w:left w:val="single" w:color="D0D0D0" w:sz="1"/>
              <w:bottom w:val="single" w:color="D0D0D0" w:sz="1"/>
              <w:right w:val="single" w:color="D0D0D0" w:sz="1"/>
            </w:tcBorders>
            <w:shd w:fill="FDF0F0"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Canadian startups, B2B-friendly, gov-supported markets</w:t>
            </w:r>
          </w:p>
        </w:tc>
        <w:tc>
          <w:tcPr>
            <w:tcW w:type="dxa" w:w="2960"/>
            <w:tcBorders>
              <w:top w:val="single" w:color="D0D0D0" w:sz="1"/>
              <w:left w:val="single" w:color="D0D0D0" w:sz="1"/>
              <w:bottom w:val="single" w:color="D0D0D0" w:sz="1"/>
              <w:right w:val="single" w:color="D0D0D0" w:sz="1"/>
            </w:tcBorders>
            <w:shd w:fill="FDF0F0"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Understands the Canadian market, comfortable with slower SaaS, interested in partner/B2B channels.</w:t>
            </w:r>
          </w:p>
        </w:tc>
      </w:tr>
      <w:tr>
        <w:tc>
          <w:tcPr>
            <w:tcW w:type="dxa" w:w="2200"/>
            <w:tcBorders>
              <w:top w:val="single" w:color="D0D0D0" w:sz="1"/>
              <w:left w:val="single" w:color="D0D0D0" w:sz="1"/>
              <w:bottom w:val="single" w:color="D0D0D0" w:sz="1"/>
              <w:right w:val="single" w:color="D0D0D0" w:sz="1"/>
            </w:tcBorders>
            <w:shd w:fill="F4EEF8"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Apex Frontier</w:t>
            </w:r>
          </w:p>
        </w:tc>
        <w:tc>
          <w:tcPr>
            <w:tcW w:type="dxa" w:w="2000"/>
            <w:tcBorders>
              <w:top w:val="single" w:color="D0D0D0" w:sz="1"/>
              <w:left w:val="single" w:color="D0D0D0" w:sz="1"/>
              <w:bottom w:val="single" w:color="D0D0D0" w:sz="1"/>
              <w:right w:val="single" w:color="D0D0D0" w:sz="1"/>
            </w:tcBorders>
            <w:shd w:fill="F4EEF8"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San Francisco</w:t>
            </w:r>
          </w:p>
        </w:tc>
        <w:tc>
          <w:tcPr>
            <w:tcW w:type="dxa" w:w="2200"/>
            <w:tcBorders>
              <w:top w:val="single" w:color="D0D0D0" w:sz="1"/>
              <w:left w:val="single" w:color="D0D0D0" w:sz="1"/>
              <w:bottom w:val="single" w:color="D0D0D0" w:sz="1"/>
              <w:right w:val="single" w:color="D0D0D0" w:sz="1"/>
            </w:tcBorders>
            <w:shd w:fill="F4EEF8"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AI-native products, behavioural data, platform plays</w:t>
            </w:r>
          </w:p>
        </w:tc>
        <w:tc>
          <w:tcPr>
            <w:tcW w:type="dxa" w:w="2960"/>
            <w:tcBorders>
              <w:top w:val="single" w:color="D0D0D0" w:sz="1"/>
              <w:left w:val="single" w:color="D0D0D0" w:sz="1"/>
              <w:bottom w:val="single" w:color="D0D0D0" w:sz="1"/>
              <w:right w:val="single" w:color="D0D0D0" w:sz="1"/>
            </w:tcBorders>
            <w:shd w:fill="F4EEF8" w:val="clear"/>
            <w:tcMar>
              <w:top w:type="dxa" w:w="100"/>
              <w:left w:type="dxa" w:w="150"/>
              <w:bottom w:type="dxa" w:w="100"/>
              <w:right w:type="dxa" w:w="150"/>
            </w:tcMar>
          </w:tcPr>
          <w:p>
            <w:pPr>
              <w:jc w:val="left"/>
            </w:pPr>
            <w:r>
              <w:rPr>
                <w:rFonts w:ascii="Arial" w:cs="Arial" w:eastAsia="Arial" w:hAnsi="Arial"/>
                <w:b w:val="false"/>
                <w:bCs w:val="false"/>
                <w:color w:val="2C2C2C"/>
                <w:sz w:val="20"/>
                <w:szCs w:val="20"/>
              </w:rPr>
              <w:t xml:space="preserve">Bets on AI features as the primary moat. Aggressive valuations for the right tech angle.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FIRM 1 OF 5 — MERIDIAN VENTURES  |  San Francisco, CA</w:t>
            </w:r>
          </w:p>
        </w:tc>
      </w:tr>
    </w:tbl>
    <w:p>
      <w:pPr>
        <w:spacing w:after="0" w:before="0" w:line="10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Investment Thesis &amp; Opening Position</w:t>
      </w:r>
    </w:p>
    <w:p>
      <w:pPr>
        <w:spacing w:after="80" w:before="80"/>
        <w:jc w:val="left"/>
      </w:pPr>
      <w:r>
        <w:rPr>
          <w:rFonts w:ascii="Arial" w:cs="Arial" w:eastAsia="Arial" w:hAnsi="Arial"/>
          <w:b w:val="false"/>
          <w:bCs w:val="false"/>
          <w:i w:val="false"/>
          <w:iCs w:val="false"/>
          <w:color w:val="2C2C2C"/>
          <w:sz w:val="20"/>
          <w:szCs w:val="20"/>
        </w:rPr>
        <w:t xml:space="preserve">Meridian invests at Series A. We have backed consumer subscription products with a minimum of $30K MRR at entry. Solace Life has $0 MRR. That alone ends most conversations. We are here because the AI avatar feature caught our attention. We want to be on record about what we see before we close the file.</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What Works</w:t>
      </w:r>
    </w:p>
    <w:p>
      <w:pPr>
        <w:pStyle w:val="ListParagraph"/>
        <w:numPr>
          <w:ilvl w:val="0"/>
          <w:numId w:val="2"/>
        </w:numPr>
        <w:spacing w:after="40" w:before="40"/>
      </w:pPr>
      <w:r>
        <w:rPr>
          <w:rFonts w:ascii="Arial" w:cs="Arial" w:eastAsia="Arial" w:hAnsi="Arial"/>
          <w:b w:val="false"/>
          <w:bCs w:val="false"/>
          <w:color w:val="2C2C2C"/>
          <w:sz w:val="20"/>
          <w:szCs w:val="20"/>
        </w:rPr>
        <w:t xml:space="preserve">The emotional moat is real. Once a user records 6 months of voice memories, they will not cancel. Churn on an app like this, post-engagement, is structurally near zero. That is a compelling LTV characteristic.</w:t>
      </w:r>
    </w:p>
    <w:p>
      <w:pPr>
        <w:pStyle w:val="ListParagraph"/>
        <w:numPr>
          <w:ilvl w:val="0"/>
          <w:numId w:val="2"/>
        </w:numPr>
        <w:spacing w:after="40" w:before="40"/>
      </w:pPr>
      <w:r>
        <w:rPr>
          <w:rFonts w:ascii="Arial" w:cs="Arial" w:eastAsia="Arial" w:hAnsi="Arial"/>
          <w:b w:val="false"/>
          <w:bCs w:val="false"/>
          <w:color w:val="2C2C2C"/>
          <w:sz w:val="20"/>
          <w:szCs w:val="20"/>
        </w:rPr>
        <w:t xml:space="preserve">The dead man's switch (process-checkins) is the most technically interesting element. It is a differentiated, defensible feature that no mainstream consumer app has shipped. It creates systemic stickiness and has a clear utility argument.</w:t>
      </w:r>
    </w:p>
    <w:p>
      <w:pPr>
        <w:pStyle w:val="ListParagraph"/>
        <w:numPr>
          <w:ilvl w:val="0"/>
          <w:numId w:val="2"/>
        </w:numPr>
        <w:spacing w:after="40" w:before="40"/>
      </w:pPr>
      <w:r>
        <w:rPr>
          <w:rFonts w:ascii="Arial" w:cs="Arial" w:eastAsia="Arial" w:hAnsi="Arial"/>
          <w:b w:val="false"/>
          <w:bCs w:val="false"/>
          <w:color w:val="2C2C2C"/>
          <w:sz w:val="20"/>
          <w:szCs w:val="20"/>
        </w:rPr>
        <w:t xml:space="preserve">The AI avatar (chat-with-avatar via GPT-4o-mini, trained on the user's vault content and personal notes) is the only feature in this category that goes beyond passive storage. Storyworth does not have it. GoodTrust does not have it. This is real IP if executed well.</w:t>
      </w:r>
    </w:p>
    <w:p>
      <w:pPr>
        <w:pStyle w:val="ListParagraph"/>
        <w:numPr>
          <w:ilvl w:val="0"/>
          <w:numId w:val="2"/>
        </w:numPr>
        <w:spacing w:after="40" w:before="40"/>
      </w:pPr>
      <w:r>
        <w:rPr>
          <w:rFonts w:ascii="Arial" w:cs="Arial" w:eastAsia="Arial" w:hAnsi="Arial"/>
          <w:b w:val="false"/>
          <w:bCs w:val="false"/>
          <w:color w:val="2C2C2C"/>
          <w:sz w:val="20"/>
          <w:szCs w:val="20"/>
        </w:rPr>
        <w:t xml:space="preserve">The backend is not a prototype. 46 migrations, 15 edge functions, Stripe wired end-to-end — this is not a pitch deck. The founder has shipped real infrastructure for a solo operator.</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What Doesn't Work</w:t>
      </w:r>
    </w:p>
    <w:p>
      <w:pPr>
        <w:pStyle w:val="ListParagraph"/>
        <w:numPr>
          <w:ilvl w:val="0"/>
          <w:numId w:val="2"/>
        </w:numPr>
        <w:spacing w:after="40" w:before="40"/>
      </w:pPr>
      <w:r>
        <w:rPr>
          <w:rFonts w:ascii="Arial" w:cs="Arial" w:eastAsia="Arial" w:hAnsi="Arial"/>
          <w:b w:val="false"/>
          <w:bCs w:val="false"/>
          <w:color w:val="2C2C2C"/>
          <w:sz w:val="20"/>
          <w:szCs w:val="20"/>
        </w:rPr>
        <w:t xml:space="preserve">Zero revenue. Zero. The Stripe payment links are not live in the app. The founding offer of $99 one-time has zero confirmed buyers. There is no demand signal whatsoever.</w:t>
      </w:r>
    </w:p>
    <w:p>
      <w:pPr>
        <w:pStyle w:val="ListParagraph"/>
        <w:numPr>
          <w:ilvl w:val="0"/>
          <w:numId w:val="2"/>
        </w:numPr>
        <w:spacing w:after="40" w:before="40"/>
      </w:pPr>
      <w:r>
        <w:rPr>
          <w:rFonts w:ascii="Arial" w:cs="Arial" w:eastAsia="Arial" w:hAnsi="Arial"/>
          <w:b w:val="false"/>
          <w:bCs w:val="false"/>
          <w:color w:val="2C2C2C"/>
          <w:sz w:val="20"/>
          <w:szCs w:val="20"/>
        </w:rPr>
        <w:t xml:space="preserve">$49/year ARPU is dangerously low. To reach $1M ARR, you need 20,408 paying users at full price. For context, Headspace took years and tens of millions in marketing spend to reach that subscriber count. With a niche audience (45-70 year olds who are tech-comfortable and mortality-aware), 20K users is not trivial.</w:t>
      </w:r>
    </w:p>
    <w:p>
      <w:pPr>
        <w:pStyle w:val="ListParagraph"/>
        <w:numPr>
          <w:ilvl w:val="0"/>
          <w:numId w:val="2"/>
        </w:numPr>
        <w:spacing w:after="40" w:before="40"/>
      </w:pPr>
      <w:r>
        <w:rPr>
          <w:rFonts w:ascii="Arial" w:cs="Arial" w:eastAsia="Arial" w:hAnsi="Arial"/>
          <w:b w:val="false"/>
          <w:bCs w:val="false"/>
          <w:color w:val="2C2C2C"/>
          <w:sz w:val="20"/>
          <w:szCs w:val="20"/>
        </w:rPr>
        <w:t xml:space="preserve">The founding price of $99 one-time anchors a terrible precedent. It signals to users that this is a one-and-done purchase, not a subscription. Migrating users from a one-time mindset to annual billing is a known friction point. Calm and Headspace both tried it and spent years cleaning up legacy pricing.</w:t>
      </w:r>
    </w:p>
    <w:p>
      <w:pPr>
        <w:pStyle w:val="ListParagraph"/>
        <w:numPr>
          <w:ilvl w:val="0"/>
          <w:numId w:val="2"/>
        </w:numPr>
        <w:spacing w:after="40" w:before="40"/>
      </w:pPr>
      <w:r>
        <w:rPr>
          <w:rFonts w:ascii="Arial" w:cs="Arial" w:eastAsia="Arial" w:hAnsi="Arial"/>
          <w:b w:val="false"/>
          <w:bCs w:val="false"/>
          <w:color w:val="2C2C2C"/>
          <w:sz w:val="20"/>
          <w:szCs w:val="20"/>
        </w:rPr>
        <w:t xml:space="preserve">Solo founder. No team. This is not a bias — it is a risk factor. If the founder gets sick, loses interest, or cannot close an enterprise deal, the company has no redundancy. We do not back solo operators at this stage.</w:t>
      </w:r>
    </w:p>
    <w:p>
      <w:pPr>
        <w:pStyle w:val="ListParagraph"/>
        <w:numPr>
          <w:ilvl w:val="0"/>
          <w:numId w:val="2"/>
        </w:numPr>
        <w:spacing w:after="40" w:before="40"/>
      </w:pPr>
      <w:r>
        <w:rPr>
          <w:rFonts w:ascii="Arial" w:cs="Arial" w:eastAsia="Arial" w:hAnsi="Arial"/>
          <w:b w:val="false"/>
          <w:bCs w:val="false"/>
          <w:color w:val="2C2C2C"/>
          <w:sz w:val="20"/>
          <w:szCs w:val="20"/>
        </w:rPr>
        <w:t xml:space="preserve">The target user (55+, legacy-minded, tech-comfortable enough for a React Native app) is a narrow demographic with a long consideration cycle. Customer acquisition cost for this audience via digital ads is high. The marketing assets (AI-generated Hailuo video clips, no distribution plan) do not address this.</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Competitive Position</w:t>
      </w:r>
    </w:p>
    <w:p>
      <w:pPr>
        <w:spacing w:after="80" w:before="80"/>
        <w:jc w:val="left"/>
      </w:pPr>
      <w:r>
        <w:rPr>
          <w:rFonts w:ascii="Arial" w:cs="Arial" w:eastAsia="Arial" w:hAnsi="Arial"/>
          <w:b w:val="false"/>
          <w:bCs w:val="false"/>
          <w:i w:val="false"/>
          <w:iCs w:val="false"/>
          <w:color w:val="2C2C2C"/>
          <w:sz w:val="20"/>
          <w:szCs w:val="20"/>
        </w:rPr>
        <w:t xml:space="preserve">Storyworth has been operating since 2012. It has a clean UX, a proven gifting model, and substantial organic distribution via the estate planning and obituary channel. Legacybox has millions of users. GoodTrust is backed by institutional money and is expanding into AI. Solace Life enters a market where the category has had 14 years to develop — and has not produced a breakout consumer company. That is a data point.</w:t>
      </w:r>
    </w:p>
    <w:p>
      <w:pPr>
        <w:spacing w:after="0" w:before="0" w:line="6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Meridian Verdict</w:t>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W w:type="dxa" w:w="2000"/>
            <w:tcBorders>
              <w:top w:val="none" w:color="FFFFFF" w:sz="0"/>
              <w:left w:val="none" w:color="FFFFFF" w:sz="0"/>
              <w:bottom w:val="none" w:color="FFFFFF" w:sz="0"/>
              <w:right w:val="none" w:color="FFFFFF" w:sz="0"/>
            </w:tcBorders>
            <w:shd w:fill="CC2200"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PASS — NO BID</w:t>
            </w:r>
          </w:p>
        </w:tc>
      </w:tr>
    </w:tbl>
    <w:p>
      <w:pPr>
        <w:spacing w:after="0" w:before="0" w:line="80"/>
      </w:pPr>
      <w:r>
        <w:rPr>
          <w:rFonts w:ascii="Arial" w:cs="Arial" w:eastAsia="Arial" w:hAnsi="Arial"/>
        </w:rPr>
        <w:t xml:space="preserve"/>
      </w:r>
    </w:p>
    <w:p>
      <w:pPr>
        <w:spacing w:after="80" w:before="80"/>
        <w:jc w:val="left"/>
      </w:pPr>
      <w:r>
        <w:rPr>
          <w:rFonts w:ascii="Arial" w:cs="Arial" w:eastAsia="Arial" w:hAnsi="Arial"/>
          <w:b w:val="false"/>
          <w:bCs w:val="false"/>
          <w:i/>
          <w:iCs/>
          <w:color w:val="2C2C2C"/>
          <w:sz w:val="20"/>
          <w:szCs w:val="20"/>
        </w:rPr>
        <w:t xml:space="preserve">Not because the product is bad. Because we cannot model a return at this stage. Come back with 90 days of paid user data, a CAC number, and a 3-month retention curve. Then we have a conversation. Until then, we wish the founder well and mean it.</w:t>
      </w:r>
    </w:p>
    <w:p>
      <w:pPr>
        <w:spacing w:after="0" w:before="0" w:line="120"/>
      </w:pPr>
      <w:r>
        <w:rPr>
          <w:rFonts w:ascii="Arial" w:cs="Arial" w:eastAsia="Arial" w:hAnsi="Arial"/>
        </w:rPr>
        <w:t xml:space="preserve"/>
      </w:r>
    </w:p>
    <w:p>
      <w:pPr>
        <w:pBdr>
          <w:bottom w:val="single" w:color="D0D0D0" w:sz="4" w:space="1"/>
        </w:pBdr>
        <w:spacing w:after="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5A27"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FIRM 2 OF 5 — STONEGATE CAPITAL  |  New York, NY</w:t>
            </w:r>
          </w:p>
        </w:tc>
      </w:tr>
    </w:tbl>
    <w:p>
      <w:pPr>
        <w:spacing w:after="0" w:before="0" w:line="10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Investment Thesis &amp; Opening Position</w:t>
      </w:r>
    </w:p>
    <w:p>
      <w:pPr>
        <w:spacing w:after="80" w:before="80"/>
        <w:jc w:val="left"/>
      </w:pPr>
      <w:r>
        <w:rPr>
          <w:rFonts w:ascii="Arial" w:cs="Arial" w:eastAsia="Arial" w:hAnsi="Arial"/>
          <w:b w:val="false"/>
          <w:bCs w:val="false"/>
          <w:i w:val="false"/>
          <w:iCs w:val="false"/>
          <w:color w:val="2C2C2C"/>
          <w:sz w:val="20"/>
          <w:szCs w:val="20"/>
        </w:rPr>
        <w:t xml:space="preserve">Stonegate invests in companies serving the 55+ demographic. The aging wave is not a trend — it is a demographic certainty. By 2030, one in five Americans will be over 65. The legacy planning market ($140B annually in the US in estate services, end-of-life care, and funeral costs) is structurally underserved by technology. Solace Life is addressing a real problem in a real market. We are interested.</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What We See</w:t>
      </w:r>
    </w:p>
    <w:p>
      <w:pPr>
        <w:pStyle w:val="ListParagraph"/>
        <w:numPr>
          <w:ilvl w:val="0"/>
          <w:numId w:val="2"/>
        </w:numPr>
        <w:spacing w:after="40" w:before="40"/>
      </w:pPr>
      <w:r>
        <w:rPr>
          <w:rFonts w:ascii="Arial" w:cs="Arial" w:eastAsia="Arial" w:hAnsi="Arial"/>
          <w:b w:val="false"/>
          <w:bCs w:val="false"/>
          <w:color w:val="2C2C2C"/>
          <w:sz w:val="20"/>
          <w:szCs w:val="20"/>
        </w:rPr>
        <w:t xml:space="preserve">The professional partner program is the single most important strategic asset in this company. An estate lawyer or funeral planner who recommends Solace Life to a client converts at a fundamentally different rate than a cold Facebook ad. The B2B referral channel is how you acquire the 55+ demographic at scale. Most consumer apps never figure this out. The founder built it in.</w:t>
      </w:r>
    </w:p>
    <w:p>
      <w:pPr>
        <w:pStyle w:val="ListParagraph"/>
        <w:numPr>
          <w:ilvl w:val="0"/>
          <w:numId w:val="2"/>
        </w:numPr>
        <w:spacing w:after="40" w:before="40"/>
      </w:pPr>
      <w:r>
        <w:rPr>
          <w:rFonts w:ascii="Arial" w:cs="Arial" w:eastAsia="Arial" w:hAnsi="Arial"/>
          <w:b w:val="false"/>
          <w:bCs w:val="false"/>
          <w:color w:val="2C2C2C"/>
          <w:sz w:val="20"/>
          <w:szCs w:val="20"/>
        </w:rPr>
        <w:t xml:space="preserve">The AI avatar feature, while ethically complex (see below), is the right bet for this market. The 55+ consumer is not buying a productivity app. They are buying peace of mind and legacy. An AI that sounds like grandpa on your wedding day is a product that will be purchased as a gift by adult children. That opens a gifting channel that Stonegate has seen work in adjacent markets.</w:t>
      </w:r>
    </w:p>
    <w:p>
      <w:pPr>
        <w:pStyle w:val="ListParagraph"/>
        <w:numPr>
          <w:ilvl w:val="0"/>
          <w:numId w:val="2"/>
        </w:numPr>
        <w:spacing w:after="40" w:before="40"/>
      </w:pPr>
      <w:r>
        <w:rPr>
          <w:rFonts w:ascii="Arial" w:cs="Arial" w:eastAsia="Arial" w:hAnsi="Arial"/>
          <w:b w:val="false"/>
          <w:bCs w:val="false"/>
          <w:color w:val="2C2C2C"/>
          <w:sz w:val="20"/>
          <w:szCs w:val="20"/>
        </w:rPr>
        <w:t xml:space="preserve">The check-in and death-confirmation system (process-checkins, confirm-passing) is a real feature that requires real infrastructure. Nobody else has it in the consumer market. This is meaningful IP.</w:t>
      </w:r>
    </w:p>
    <w:p>
      <w:pPr>
        <w:pStyle w:val="ListParagraph"/>
        <w:numPr>
          <w:ilvl w:val="0"/>
          <w:numId w:val="2"/>
        </w:numPr>
        <w:spacing w:after="40" w:before="40"/>
      </w:pPr>
      <w:r>
        <w:rPr>
          <w:rFonts w:ascii="Arial" w:cs="Arial" w:eastAsia="Arial" w:hAnsi="Arial"/>
          <w:b w:val="false"/>
          <w:bCs w:val="false"/>
          <w:color w:val="2C2C2C"/>
          <w:sz w:val="20"/>
          <w:szCs w:val="20"/>
        </w:rPr>
        <w:t xml:space="preserve">Vancouver, BC is a reasonable base. Canada has a well-educated, aging population, accessible startup government grants (SR&amp;ED, NRC IRAP), and lower customer acquisition costs than the US in digital channels.</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Concerns We Are Pricing Into Our Offer</w:t>
      </w:r>
    </w:p>
    <w:p>
      <w:pPr>
        <w:pStyle w:val="ListParagraph"/>
        <w:numPr>
          <w:ilvl w:val="0"/>
          <w:numId w:val="2"/>
        </w:numPr>
        <w:spacing w:after="40" w:before="40"/>
      </w:pPr>
      <w:r>
        <w:rPr>
          <w:rFonts w:ascii="Arial" w:cs="Arial" w:eastAsia="Arial" w:hAnsi="Arial"/>
          <w:b w:val="false"/>
          <w:bCs w:val="false"/>
          <w:color w:val="2C2C2C"/>
          <w:sz w:val="20"/>
          <w:szCs w:val="20"/>
        </w:rPr>
        <w:t xml:space="preserve">Distribution is the unsolved problem. The target user does not scroll Instagram looking for apps. They rely on trusted professional referrals. The partner program exists but has no traction. We are betting on that channel before it has proven itself.</w:t>
      </w:r>
    </w:p>
    <w:p>
      <w:pPr>
        <w:pStyle w:val="ListParagraph"/>
        <w:numPr>
          <w:ilvl w:val="0"/>
          <w:numId w:val="2"/>
        </w:numPr>
        <w:spacing w:after="40" w:before="40"/>
      </w:pPr>
      <w:r>
        <w:rPr>
          <w:rFonts w:ascii="Arial" w:cs="Arial" w:eastAsia="Arial" w:hAnsi="Arial"/>
          <w:b w:val="false"/>
          <w:bCs w:val="false"/>
          <w:color w:val="2C2C2C"/>
          <w:sz w:val="20"/>
          <w:szCs w:val="20"/>
        </w:rPr>
        <w:t xml:space="preserve">The AI avatar raises grief exploitation questions. If a user dies, their family is now talking to an AI that sounds like the deceased. There is no clinical oversight, no psychologist on the team, and no user consent framework for recipients. This will attract regulatory scrutiny. GDPR in particular will be hostile to AI trained on deceased persons' data without explicit surviving-family consent.</w:t>
      </w:r>
    </w:p>
    <w:p>
      <w:pPr>
        <w:pStyle w:val="ListParagraph"/>
        <w:numPr>
          <w:ilvl w:val="0"/>
          <w:numId w:val="2"/>
        </w:numPr>
        <w:spacing w:after="40" w:before="40"/>
      </w:pPr>
      <w:r>
        <w:rPr>
          <w:rFonts w:ascii="Arial" w:cs="Arial" w:eastAsia="Arial" w:hAnsi="Arial"/>
          <w:b w:val="false"/>
          <w:bCs w:val="false"/>
          <w:color w:val="2C2C2C"/>
          <w:sz w:val="20"/>
          <w:szCs w:val="20"/>
        </w:rPr>
        <w:t xml:space="preserve">$49/year is too low. We would push the founder to remodel pricing at $99/year or $249 lifetime, with an institutional partner licensing tier at $1,500/year for estate law firms. The B2B channel can carry this to sustainability.</w:t>
      </w:r>
    </w:p>
    <w:p>
      <w:pPr>
        <w:pStyle w:val="ListParagraph"/>
        <w:numPr>
          <w:ilvl w:val="0"/>
          <w:numId w:val="2"/>
        </w:numPr>
        <w:spacing w:after="40" w:before="40"/>
      </w:pPr>
      <w:r>
        <w:rPr>
          <w:rFonts w:ascii="Arial" w:cs="Arial" w:eastAsia="Arial" w:hAnsi="Arial"/>
          <w:b w:val="false"/>
          <w:bCs w:val="false"/>
          <w:color w:val="2C2C2C"/>
          <w:sz w:val="20"/>
          <w:szCs w:val="20"/>
        </w:rPr>
        <w:t xml:space="preserve">Solo founder is a risk. We would require a co-founder or at minimum a senior advisor with a technical background as a condition of close.</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Stonegate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none" w:color="FFFFFF" w:sz="0"/>
              <w:left w:val="none" w:color="FFFFFF" w:sz="0"/>
              <w:bottom w:val="none" w:color="FFFFFF" w:sz="0"/>
              <w:right w:val="none" w:color="FFFFFF" w:sz="0"/>
            </w:tcBorders>
            <w:shd w:fill="2C2C2C" w:val="clear"/>
            <w:tcMar>
              <w:top w:type="dxa" w:w="80"/>
              <w:left w:type="dxa" w:w="150"/>
              <w:bottom w:type="dxa" w:w="80"/>
              <w:right w:type="dxa" w:w="150"/>
            </w:tcMar>
          </w:tcPr>
          <w:p>
            <w:r>
              <w:rPr>
                <w:rFonts w:ascii="Arial" w:cs="Arial" w:eastAsia="Arial" w:hAnsi="Arial"/>
                <w:b/>
                <w:bCs/>
                <w:color w:val="FFFFFF"/>
                <w:sz w:val="18"/>
                <w:szCs w:val="18"/>
              </w:rPr>
              <w:t xml:space="preserve">Criterion</w:t>
            </w:r>
          </w:p>
        </w:tc>
        <w:tc>
          <w:tcPr>
            <w:tcW w:type="dxa" w:w="1800"/>
            <w:tcBorders>
              <w:top w:val="none" w:color="FFFFFF" w:sz="0"/>
              <w:left w:val="none" w:color="FFFFFF" w:sz="0"/>
              <w:bottom w:val="none" w:color="FFFFFF" w:sz="0"/>
              <w:right w:val="none" w:color="FFFFFF" w:sz="0"/>
            </w:tcBorders>
            <w:shd w:fill="2C2C2C" w:val="clear"/>
            <w:tcMar>
              <w:top w:type="dxa" w:w="80"/>
              <w:left w:type="dxa" w:w="150"/>
              <w:bottom w:type="dxa" w:w="80"/>
              <w:right w:type="dxa" w:w="150"/>
            </w:tcMar>
          </w:tcPr>
          <w:p>
            <w:pPr>
              <w:jc w:val="center"/>
            </w:pPr>
            <w:r>
              <w:rPr>
                <w:rFonts w:ascii="Arial" w:cs="Arial" w:eastAsia="Arial" w:hAnsi="Arial"/>
                <w:b/>
                <w:bCs/>
                <w:color w:val="FFFFFF"/>
                <w:sz w:val="18"/>
                <w:szCs w:val="18"/>
              </w:rPr>
              <w:t xml:space="preserve">Score</w:t>
            </w:r>
          </w:p>
        </w:tc>
        <w:tc>
          <w:tcPr>
            <w:tcW w:type="dxa" w:w="4060"/>
            <w:tcBorders>
              <w:top w:val="none" w:color="FFFFFF" w:sz="0"/>
              <w:left w:val="none" w:color="FFFFFF" w:sz="0"/>
              <w:bottom w:val="none" w:color="FFFFFF" w:sz="0"/>
              <w:right w:val="none" w:color="FFFFFF" w:sz="0"/>
            </w:tcBorders>
            <w:shd w:fill="2C2C2C" w:val="clear"/>
            <w:tcMar>
              <w:top w:type="dxa" w:w="80"/>
              <w:left w:type="dxa" w:w="150"/>
              <w:bottom w:type="dxa" w:w="80"/>
              <w:right w:type="dxa" w:w="150"/>
            </w:tcMar>
          </w:tcPr>
          <w:p>
            <w:r>
              <w:rPr>
                <w:rFonts w:ascii="Arial" w:cs="Arial" w:eastAsia="Arial" w:hAnsi="Arial"/>
                <w:b/>
                <w:bCs/>
                <w:color w:val="FFFFFF"/>
                <w:sz w:val="18"/>
                <w:szCs w:val="18"/>
              </w:rPr>
              <w:t xml:space="preserve">One-line verdict</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Market size / TAM</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1A7A2E"/>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Real, large, underserved by tech</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Product differentiation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1A7A2E"/>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AI avatar + dead man's switch are genuine moats</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Revenue model</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CC2200"/>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$49/yr ARPU too low; B2B channel unproven</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Traction / demand signal</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CC2200"/>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Zero paid users as of evaluation date</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Team</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CC2200"/>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Solo founder; no co-founder; no advisors disclosed</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Technical execution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1A7A2E"/>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46 migrations, 15 edge functions; production-ready stack</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Distribution strategy</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CC2200"/>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Partner program built but not tested; no GTM plan</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Regulatory risk</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CC2200"/>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AI on deceased data; grief tech ethics unaddressed</w:t>
            </w:r>
          </w:p>
        </w:tc>
      </w:tr>
    </w:tbl>
    <w:p>
      <w:pPr>
        <w:spacing w:after="0" w:before="0" w:line="8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Stonegate Bid</w:t>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W w:type="dxa" w:w="2000"/>
            <w:tcBorders>
              <w:top w:val="none" w:color="FFFFFF" w:sz="0"/>
              <w:left w:val="none" w:color="FFFFFF" w:sz="0"/>
              <w:bottom w:val="none" w:color="FFFFFF" w:sz="0"/>
              <w:right w:val="none" w:color="FFFFFF" w:sz="0"/>
            </w:tcBorders>
            <w:shd w:fill="1A7A2E"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BID — $225,000 for 20% equity</w:t>
            </w:r>
          </w:p>
        </w:tc>
      </w:tr>
    </w:tbl>
    <w:p>
      <w:pPr>
        <w:spacing w:after="0" w:before="0" w:line="8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Post-money valuation: $1.125M. Conditions: (1) Stripe payment links go live within 30 days of close with proof of first 10 paying users; (2) Founder identifies a co-founder or lead technical advisor within 90 days; (3) Partner program relaunched with minimum 5 signed estate law or funeral planning firms within 6 months. Capital use: 60% product and engineering (AI avatar development, security), 30% partner channel development, 10% legal/compliance review of AI deceased data policy.</w:t>
      </w:r>
    </w:p>
    <w:p>
      <w:pPr>
        <w:spacing w:after="0" w:before="0" w:line="60"/>
      </w:pPr>
      <w:r>
        <w:rPr>
          <w:rFonts w:ascii="Arial" w:cs="Arial" w:eastAsia="Arial" w:hAnsi="Arial"/>
        </w:rPr>
        <w:t xml:space="preserve"/>
      </w:r>
    </w:p>
    <w:p>
      <w:pPr>
        <w:spacing w:after="80" w:before="80"/>
        <w:jc w:val="left"/>
      </w:pPr>
      <w:r>
        <w:rPr>
          <w:rFonts w:ascii="Arial" w:cs="Arial" w:eastAsia="Arial" w:hAnsi="Arial"/>
          <w:b w:val="false"/>
          <w:bCs w:val="false"/>
          <w:i/>
          <w:iCs/>
          <w:color w:val="2C2C2C"/>
          <w:sz w:val="20"/>
          <w:szCs w:val="20"/>
        </w:rPr>
        <w:t xml:space="preserve">We believe in the market. We are not yet certain the founder can execute the distribution without a team. The bid reflects that uncertainty.</w:t>
      </w:r>
    </w:p>
    <w:p>
      <w:pPr>
        <w:spacing w:after="0" w:before="0" w:line="120"/>
      </w:pPr>
      <w:r>
        <w:rPr>
          <w:rFonts w:ascii="Arial" w:cs="Arial" w:eastAsia="Arial" w:hAnsi="Arial"/>
        </w:rPr>
        <w:t xml:space="preserve"/>
      </w:r>
    </w:p>
    <w:p>
      <w:pPr>
        <w:pBdr>
          <w:bottom w:val="single" w:color="D0D0D0" w:sz="4" w:space="1"/>
        </w:pBdr>
        <w:spacing w:after="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FIRM 3 OF 5 — BLACK RIVER PARTNERS  |  New York, NY</w:t>
            </w:r>
          </w:p>
        </w:tc>
      </w:tr>
    </w:tbl>
    <w:p>
      <w:pPr>
        <w:spacing w:after="0" w:before="0" w:line="10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Investment Thesis &amp; Opening Position</w:t>
      </w:r>
    </w:p>
    <w:p>
      <w:pPr>
        <w:spacing w:after="80" w:before="80"/>
        <w:jc w:val="left"/>
      </w:pPr>
      <w:r>
        <w:rPr>
          <w:rFonts w:ascii="Arial" w:cs="Arial" w:eastAsia="Arial" w:hAnsi="Arial"/>
          <w:b w:val="false"/>
          <w:bCs w:val="false"/>
          <w:i w:val="false"/>
          <w:iCs w:val="false"/>
          <w:color w:val="2C2C2C"/>
          <w:sz w:val="20"/>
          <w:szCs w:val="20"/>
        </w:rPr>
        <w:t xml:space="preserve">Black River does not invest in narratives. We invest in numbers. We will not be reviewing the emotional appeal of this product or the quality of the AI-generated marketing videos. We are looking at one thing: is there a mathematical case for a 10x return from this entry point? We do not see one. Here is why.</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The Numbers Problem</w:t>
      </w:r>
    </w:p>
    <w:p>
      <w:pPr>
        <w:pStyle w:val="ListParagraph"/>
        <w:numPr>
          <w:ilvl w:val="0"/>
          <w:numId w:val="2"/>
        </w:numPr>
        <w:spacing w:after="40" w:before="40"/>
      </w:pPr>
      <w:r>
        <w:rPr>
          <w:rFonts w:ascii="Arial" w:cs="Arial" w:eastAsia="Arial" w:hAnsi="Arial"/>
          <w:b w:val="false"/>
          <w:bCs w:val="false"/>
          <w:color w:val="2C2C2C"/>
          <w:sz w:val="20"/>
          <w:szCs w:val="20"/>
        </w:rPr>
        <w:t xml:space="preserve">Revenue at evaluation: $0. MRR: $0. ARR: $0. Number of paying users: unknown (assumed zero). There is no financial model to evaluate.</w:t>
      </w:r>
    </w:p>
    <w:p>
      <w:pPr>
        <w:pStyle w:val="ListParagraph"/>
        <w:numPr>
          <w:ilvl w:val="0"/>
          <w:numId w:val="2"/>
        </w:numPr>
        <w:spacing w:after="40" w:before="40"/>
      </w:pPr>
      <w:r>
        <w:rPr>
          <w:rFonts w:ascii="Arial" w:cs="Arial" w:eastAsia="Arial" w:hAnsi="Arial"/>
          <w:b w:val="false"/>
          <w:bCs w:val="false"/>
          <w:color w:val="2C2C2C"/>
          <w:sz w:val="20"/>
          <w:szCs w:val="20"/>
        </w:rPr>
        <w:t xml:space="preserve">ARPU at $49/year (annual plan). For a 10x return on a $1M seed investment, assuming a 20% stake, the exit would need to value the company at $50M+. At a 5x ARR multiple (conservative for a subscription company with sub-30% churn), that requires $10M ARR. At $49/year ARPU, that is 204,081 paying subscribers. For a niche longevity app targeting 55+ users. With no marketing team. No distribution deal. No brand equity.</w:t>
      </w:r>
    </w:p>
    <w:p>
      <w:pPr>
        <w:pStyle w:val="ListParagraph"/>
        <w:numPr>
          <w:ilvl w:val="0"/>
          <w:numId w:val="2"/>
        </w:numPr>
        <w:spacing w:after="40" w:before="40"/>
      </w:pPr>
      <w:r>
        <w:rPr>
          <w:rFonts w:ascii="Arial" w:cs="Arial" w:eastAsia="Arial" w:hAnsi="Arial"/>
          <w:b w:val="false"/>
          <w:bCs w:val="false"/>
          <w:color w:val="2C2C2C"/>
          <w:sz w:val="20"/>
          <w:szCs w:val="20"/>
        </w:rPr>
        <w:t xml:space="preserve">The lifetime plan ($149 one-time) makes the math worse. One-time revenue is not valued the same as recurring. A company with 10,000 lifetime purchasers at $149 has $1.49M in total revenue — ever. No multiple. No exit thesis.</w:t>
      </w:r>
    </w:p>
    <w:p>
      <w:pPr>
        <w:pStyle w:val="ListParagraph"/>
        <w:numPr>
          <w:ilvl w:val="0"/>
          <w:numId w:val="2"/>
        </w:numPr>
        <w:spacing w:after="40" w:before="40"/>
      </w:pPr>
      <w:r>
        <w:rPr>
          <w:rFonts w:ascii="Arial" w:cs="Arial" w:eastAsia="Arial" w:hAnsi="Arial"/>
          <w:b w:val="false"/>
          <w:bCs w:val="false"/>
          <w:color w:val="2C2C2C"/>
          <w:sz w:val="20"/>
          <w:szCs w:val="20"/>
        </w:rPr>
        <w:t xml:space="preserve">The partner program ($300 per 6 months per firm) adds minimal revenue. 100 partner firms = $60,000/year. That does not move the needle on a VC-scale return.</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What Would Change Our Mind</w:t>
      </w:r>
    </w:p>
    <w:p>
      <w:pPr>
        <w:spacing w:after="80" w:before="80"/>
        <w:jc w:val="left"/>
      </w:pPr>
      <w:r>
        <w:rPr>
          <w:rFonts w:ascii="Arial" w:cs="Arial" w:eastAsia="Arial" w:hAnsi="Arial"/>
          <w:b w:val="false"/>
          <w:bCs w:val="false"/>
          <w:i w:val="false"/>
          <w:iCs w:val="false"/>
          <w:color w:val="2C2C2C"/>
          <w:sz w:val="20"/>
          <w:szCs w:val="20"/>
        </w:rPr>
        <w:t xml:space="preserve">Return with: (1) 500+ paying users at $49/year or higher; (2) A 90-day retention rate above 80%; (3) A CAC below $30 via the professional referral channel; (4) A clear path to an institutional licensing deal — e.g., a funeral home chain or insurance group that embeds Solace Life as a value-add product. That would create the unit economics we can model. None of those exist today.</w:t>
      </w:r>
    </w:p>
    <w:p>
      <w:pPr>
        <w:spacing w:after="0" w:before="0" w:line="6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Black River Verdict</w:t>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W w:type="dxa" w:w="2000"/>
            <w:tcBorders>
              <w:top w:val="none" w:color="FFFFFF" w:sz="0"/>
              <w:left w:val="none" w:color="FFFFFF" w:sz="0"/>
              <w:bottom w:val="none" w:color="FFFFFF" w:sz="0"/>
              <w:right w:val="none" w:color="FFFFFF" w:sz="0"/>
            </w:tcBorders>
            <w:shd w:fill="CC2200"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PASS — NO BID</w:t>
            </w:r>
          </w:p>
        </w:tc>
      </w:tr>
    </w:tbl>
    <w:p>
      <w:pPr>
        <w:spacing w:after="80" w:before="80"/>
        <w:jc w:val="left"/>
      </w:pPr>
      <w:r>
        <w:rPr>
          <w:rFonts w:ascii="Arial" w:cs="Arial" w:eastAsia="Arial" w:hAnsi="Arial"/>
          <w:b w:val="false"/>
          <w:bCs w:val="false"/>
          <w:i/>
          <w:iCs/>
          <w:color w:val="2C2C2C"/>
          <w:sz w:val="20"/>
          <w:szCs w:val="20"/>
        </w:rPr>
        <w:t xml:space="preserve">Nothing personal. No data to model. Come back when there is something to evaluate.</w:t>
      </w:r>
    </w:p>
    <w:p>
      <w:pPr>
        <w:spacing w:after="0" w:before="0" w:line="120"/>
      </w:pPr>
      <w:r>
        <w:rPr>
          <w:rFonts w:ascii="Arial" w:cs="Arial" w:eastAsia="Arial" w:hAnsi="Arial"/>
        </w:rPr>
        <w:t xml:space="preserve"/>
      </w:r>
    </w:p>
    <w:p>
      <w:pPr>
        <w:pBdr>
          <w:bottom w:val="single" w:color="D0D0D0" w:sz="4" w:space="1"/>
        </w:pBdr>
        <w:spacing w:after="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FIRM 4 OF 5 — NORTHERN ARCH CAPITAL  |  Toronto, ON</w:t>
            </w:r>
          </w:p>
        </w:tc>
      </w:tr>
    </w:tbl>
    <w:p>
      <w:pPr>
        <w:spacing w:after="0" w:before="0" w:line="10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Investment Thesis &amp; Opening Position</w:t>
      </w:r>
    </w:p>
    <w:p>
      <w:pPr>
        <w:spacing w:after="80" w:before="80"/>
        <w:jc w:val="left"/>
      </w:pPr>
      <w:r>
        <w:rPr>
          <w:rFonts w:ascii="Arial" w:cs="Arial" w:eastAsia="Arial" w:hAnsi="Arial"/>
          <w:b w:val="false"/>
          <w:bCs w:val="false"/>
          <w:i w:val="false"/>
          <w:iCs w:val="false"/>
          <w:color w:val="2C2C2C"/>
          <w:sz w:val="20"/>
          <w:szCs w:val="20"/>
        </w:rPr>
        <w:t xml:space="preserve">Northern Arch backs Canadian founders building in defensible niches with a B2B monetisation angle. We have funded companies in health tech, insurance adjacency, and elder care. Solace Life fits our thesis better than it fits a US consumer VC's thesis. The founder is Canadian. The partner program is a B2B channel. The SR&amp;ED and IRAP funding environment can extend runway materially. We are interested enough to make an offer.</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Canadian Market Advantages the Other Firms Are Missing</w:t>
      </w:r>
    </w:p>
    <w:p>
      <w:pPr>
        <w:pStyle w:val="ListParagraph"/>
        <w:numPr>
          <w:ilvl w:val="0"/>
          <w:numId w:val="2"/>
        </w:numPr>
        <w:spacing w:after="40" w:before="40"/>
      </w:pPr>
      <w:r>
        <w:rPr>
          <w:rFonts w:ascii="Arial" w:cs="Arial" w:eastAsia="Arial" w:hAnsi="Arial"/>
          <w:b w:val="false"/>
          <w:bCs w:val="false"/>
          <w:color w:val="2C2C2C"/>
          <w:sz w:val="20"/>
          <w:szCs w:val="20"/>
        </w:rPr>
        <w:t xml:space="preserve">Canada's estate planning and end-of-life services sector is less crowded than the US. Storyworth has weak Canadian distribution. No major legacy tech player has established brand recognition north of the border. Solace Life can own Canada before scaling to the US.</w:t>
      </w:r>
    </w:p>
    <w:p>
      <w:pPr>
        <w:pStyle w:val="ListParagraph"/>
        <w:numPr>
          <w:ilvl w:val="0"/>
          <w:numId w:val="2"/>
        </w:numPr>
        <w:spacing w:after="40" w:before="40"/>
      </w:pPr>
      <w:r>
        <w:rPr>
          <w:rFonts w:ascii="Arial" w:cs="Arial" w:eastAsia="Arial" w:hAnsi="Arial"/>
          <w:b w:val="false"/>
          <w:bCs w:val="false"/>
          <w:color w:val="2C2C2C"/>
          <w:sz w:val="20"/>
          <w:szCs w:val="20"/>
        </w:rPr>
        <w:t xml:space="preserve">The NRC IRAP program can provide non-dilutive funding of up to $250,000 for a qualifying tech startup at this stage. SR&amp;ED tax credits return approximately 35% of eligible R&amp;D spend. The founder is sitting on unfiled government money that can extend runway significantly without dilution. This reduces our risk.</w:t>
      </w:r>
    </w:p>
    <w:p>
      <w:pPr>
        <w:pStyle w:val="ListParagraph"/>
        <w:numPr>
          <w:ilvl w:val="0"/>
          <w:numId w:val="2"/>
        </w:numPr>
        <w:spacing w:after="40" w:before="40"/>
      </w:pPr>
      <w:r>
        <w:rPr>
          <w:rFonts w:ascii="Arial" w:cs="Arial" w:eastAsia="Arial" w:hAnsi="Arial"/>
          <w:b w:val="false"/>
          <w:bCs w:val="false"/>
          <w:color w:val="2C2C2C"/>
          <w:sz w:val="20"/>
          <w:szCs w:val="20"/>
        </w:rPr>
        <w:t xml:space="preserve">Canadian estate lawyers and funeral planning networks are smaller and more reachable than their US equivalents. A direct outreach campaign to the 3,000 active estate lawyers in BC, Ontario, and Alberta is achievable without a sales team. This is a testable GTM hypothesis within 60 days.</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Concerns</w:t>
      </w:r>
    </w:p>
    <w:p>
      <w:pPr>
        <w:pStyle w:val="ListParagraph"/>
        <w:numPr>
          <w:ilvl w:val="0"/>
          <w:numId w:val="2"/>
        </w:numPr>
        <w:spacing w:after="40" w:before="40"/>
      </w:pPr>
      <w:r>
        <w:rPr>
          <w:rFonts w:ascii="Arial" w:cs="Arial" w:eastAsia="Arial" w:hAnsi="Arial"/>
          <w:b w:val="false"/>
          <w:bCs w:val="false"/>
          <w:color w:val="2C2C2C"/>
          <w:sz w:val="20"/>
          <w:szCs w:val="20"/>
        </w:rPr>
        <w:t xml:space="preserve">The product is building too many features for a pre-revenue company. The AI avatar, the dead man's switch, the emergency contact system, the professional partner portal, the vault, the media uploads, the check-in system — this is a product team of 8 features spread across a team of 1. Feature sprawl at pre-revenue stage is a common failure mode. The founder needs to pick one wedge and drive it to traction before expanding.</w:t>
      </w:r>
    </w:p>
    <w:p>
      <w:pPr>
        <w:pStyle w:val="ListParagraph"/>
        <w:numPr>
          <w:ilvl w:val="0"/>
          <w:numId w:val="2"/>
        </w:numPr>
        <w:spacing w:after="40" w:before="40"/>
      </w:pPr>
      <w:r>
        <w:rPr>
          <w:rFonts w:ascii="Arial" w:cs="Arial" w:eastAsia="Arial" w:hAnsi="Arial"/>
          <w:b w:val="false"/>
          <w:bCs w:val="false"/>
          <w:color w:val="2C2C2C"/>
          <w:sz w:val="20"/>
          <w:szCs w:val="20"/>
        </w:rPr>
        <w:t xml:space="preserve">The onboarding is complex. There are 9 onboarding screens. For a 55+ user who has never used a legacy app, that is a significant drop-off risk. No conversion data was provided.</w:t>
      </w:r>
    </w:p>
    <w:p>
      <w:pPr>
        <w:pStyle w:val="ListParagraph"/>
        <w:numPr>
          <w:ilvl w:val="0"/>
          <w:numId w:val="2"/>
        </w:numPr>
        <w:spacing w:after="40" w:before="40"/>
      </w:pPr>
      <w:r>
        <w:rPr>
          <w:rFonts w:ascii="Arial" w:cs="Arial" w:eastAsia="Arial" w:hAnsi="Arial"/>
          <w:b w:val="false"/>
          <w:bCs w:val="false"/>
          <w:color w:val="2C2C2C"/>
          <w:sz w:val="20"/>
          <w:szCs w:val="20"/>
        </w:rPr>
        <w:t xml:space="preserve">Pricing confusion: the founding offer ($99 one-time), the annual plan ($49/year), and the lifetime plan ($149 one-time) send three different messages to the same target user. This needs to be simplified to one clear offer.</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Northern Arch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none" w:color="FFFFFF" w:sz="0"/>
              <w:left w:val="none" w:color="FFFFFF" w:sz="0"/>
              <w:bottom w:val="none" w:color="FFFFFF" w:sz="0"/>
              <w:right w:val="none" w:color="FFFFFF" w:sz="0"/>
            </w:tcBorders>
            <w:shd w:fill="2C2C2C" w:val="clear"/>
            <w:tcMar>
              <w:top w:type="dxa" w:w="80"/>
              <w:left w:type="dxa" w:w="150"/>
              <w:bottom w:type="dxa" w:w="80"/>
              <w:right w:type="dxa" w:w="150"/>
            </w:tcMar>
          </w:tcPr>
          <w:p>
            <w:r>
              <w:rPr>
                <w:rFonts w:ascii="Arial" w:cs="Arial" w:eastAsia="Arial" w:hAnsi="Arial"/>
                <w:b/>
                <w:bCs/>
                <w:color w:val="FFFFFF"/>
                <w:sz w:val="18"/>
                <w:szCs w:val="18"/>
              </w:rPr>
              <w:t xml:space="preserve">Criterion</w:t>
            </w:r>
          </w:p>
        </w:tc>
        <w:tc>
          <w:tcPr>
            <w:tcW w:type="dxa" w:w="1800"/>
            <w:tcBorders>
              <w:top w:val="none" w:color="FFFFFF" w:sz="0"/>
              <w:left w:val="none" w:color="FFFFFF" w:sz="0"/>
              <w:bottom w:val="none" w:color="FFFFFF" w:sz="0"/>
              <w:right w:val="none" w:color="FFFFFF" w:sz="0"/>
            </w:tcBorders>
            <w:shd w:fill="2C2C2C" w:val="clear"/>
            <w:tcMar>
              <w:top w:type="dxa" w:w="80"/>
              <w:left w:type="dxa" w:w="150"/>
              <w:bottom w:type="dxa" w:w="80"/>
              <w:right w:type="dxa" w:w="150"/>
            </w:tcMar>
          </w:tcPr>
          <w:p>
            <w:pPr>
              <w:jc w:val="center"/>
            </w:pPr>
            <w:r>
              <w:rPr>
                <w:rFonts w:ascii="Arial" w:cs="Arial" w:eastAsia="Arial" w:hAnsi="Arial"/>
                <w:b/>
                <w:bCs/>
                <w:color w:val="FFFFFF"/>
                <w:sz w:val="18"/>
                <w:szCs w:val="18"/>
              </w:rPr>
              <w:t xml:space="preserve">Score</w:t>
            </w:r>
          </w:p>
        </w:tc>
        <w:tc>
          <w:tcPr>
            <w:tcW w:type="dxa" w:w="4060"/>
            <w:tcBorders>
              <w:top w:val="none" w:color="FFFFFF" w:sz="0"/>
              <w:left w:val="none" w:color="FFFFFF" w:sz="0"/>
              <w:bottom w:val="none" w:color="FFFFFF" w:sz="0"/>
              <w:right w:val="none" w:color="FFFFFF" w:sz="0"/>
            </w:tcBorders>
            <w:shd w:fill="2C2C2C" w:val="clear"/>
            <w:tcMar>
              <w:top w:type="dxa" w:w="80"/>
              <w:left w:type="dxa" w:w="150"/>
              <w:bottom w:type="dxa" w:w="80"/>
              <w:right w:type="dxa" w:w="150"/>
            </w:tcMar>
          </w:tcPr>
          <w:p>
            <w:r>
              <w:rPr>
                <w:rFonts w:ascii="Arial" w:cs="Arial" w:eastAsia="Arial" w:hAnsi="Arial"/>
                <w:b/>
                <w:bCs/>
                <w:color w:val="FFFFFF"/>
                <w:sz w:val="18"/>
                <w:szCs w:val="18"/>
              </w:rPr>
              <w:t xml:space="preserve">One-line verdict</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Canadian market fit</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1A7A2E"/>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Underserved, reachable, first-mover opportunity</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B2B channel potential</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1A7A2E"/>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Partner program is the right call; untested</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Product scope discipline</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CC2200"/>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Too many features; no single proven wedge</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Founder capability</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B8860B"/>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Technically strong; commercial experience unclear</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Non-dilutive funding access</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1A7A2E"/>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SR&amp;ED + IRAP = significant unfiled runway</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Competitive positioning</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B8860B"/>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Differentiated vs. Storyworth; not yet defensible</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Pricing clarity</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CC2200"/>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Three price points for one product is confusion</w:t>
            </w:r>
          </w:p>
        </w:tc>
      </w:tr>
    </w:tbl>
    <w:p>
      <w:pPr>
        <w:spacing w:after="0" w:before="0" w:line="8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Northern Arch Bid</w:t>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W w:type="dxa" w:w="2000"/>
            <w:tcBorders>
              <w:top w:val="none" w:color="FFFFFF" w:sz="0"/>
              <w:left w:val="none" w:color="FFFFFF" w:sz="0"/>
              <w:bottom w:val="none" w:color="FFFFFF" w:sz="0"/>
              <w:right w:val="none" w:color="FFFFFF" w:sz="0"/>
            </w:tcBorders>
            <w:shd w:fill="1A7A2E"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BID — $175,000 for 18% equity</w:t>
            </w:r>
          </w:p>
        </w:tc>
      </w:tr>
    </w:tbl>
    <w:p>
      <w:pPr>
        <w:spacing w:after="0" w:before="0" w:line="8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Post-money valuation: $972,000. Conditions: (1) Founder files SR&amp;ED for the current tax year within 60 days; (2) Partner program launched with minimum 3 signed estate law firms in BC or Ontario within 90 days; (3) Pricing simplified to two offers only (annual subscription and lifetime) with no legacy one-time founding price; (4) Onboarding reduced to 5 screens maximum. Capital use: 50% partner channel development (hire one part-time BD contractor), 30% product simplification and accessibility improvements for 55+ users, 20% legal review of AI deceased data handling.</w:t>
      </w:r>
    </w:p>
    <w:p>
      <w:pPr>
        <w:spacing w:after="0" w:before="0" w:line="60"/>
      </w:pPr>
      <w:r>
        <w:rPr>
          <w:rFonts w:ascii="Arial" w:cs="Arial" w:eastAsia="Arial" w:hAnsi="Arial"/>
        </w:rPr>
        <w:t xml:space="preserve"/>
      </w:r>
    </w:p>
    <w:p>
      <w:pPr>
        <w:spacing w:after="80" w:before="80"/>
        <w:jc w:val="left"/>
      </w:pPr>
      <w:r>
        <w:rPr>
          <w:rFonts w:ascii="Arial" w:cs="Arial" w:eastAsia="Arial" w:hAnsi="Arial"/>
          <w:b w:val="false"/>
          <w:bCs w:val="false"/>
          <w:i/>
          <w:iCs/>
          <w:color w:val="2C2C2C"/>
          <w:sz w:val="20"/>
          <w:szCs w:val="20"/>
        </w:rPr>
        <w:t xml:space="preserve">We are the smallest offer on this panel. We are also the most realistic about where this company is. We are offering patient, strategic capital from people who understand this market. We are not trying to turn Solace Life into a unicorn. We are trying to build a sustainable Canadian company that solves a real problem for real people.</w:t>
      </w:r>
    </w:p>
    <w:p>
      <w:pPr>
        <w:spacing w:after="0" w:before="0" w:line="120"/>
      </w:pPr>
      <w:r>
        <w:rPr>
          <w:rFonts w:ascii="Arial" w:cs="Arial" w:eastAsia="Arial" w:hAnsi="Arial"/>
        </w:rPr>
        <w:t xml:space="preserve"/>
      </w:r>
    </w:p>
    <w:p>
      <w:pPr>
        <w:pBdr>
          <w:bottom w:val="single" w:color="D0D0D0" w:sz="4" w:space="1"/>
        </w:pBdr>
        <w:spacing w:after="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B0082"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FIRM 5 OF 5 — APEX FRONTIER  |  San Francisco, CA</w:t>
            </w:r>
          </w:p>
        </w:tc>
      </w:tr>
    </w:tbl>
    <w:p>
      <w:pPr>
        <w:spacing w:after="0" w:before="0" w:line="10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Investment Thesis &amp; Opening Position</w:t>
      </w:r>
    </w:p>
    <w:p>
      <w:pPr>
        <w:spacing w:after="80" w:before="80"/>
        <w:jc w:val="left"/>
      </w:pPr>
      <w:r>
        <w:rPr>
          <w:rFonts w:ascii="Arial" w:cs="Arial" w:eastAsia="Arial" w:hAnsi="Arial"/>
          <w:b w:val="false"/>
          <w:bCs w:val="false"/>
          <w:i w:val="false"/>
          <w:iCs w:val="false"/>
          <w:color w:val="2C2C2C"/>
          <w:sz w:val="20"/>
          <w:szCs w:val="20"/>
        </w:rPr>
        <w:t xml:space="preserve">Apex bets on AI-native features that create irreversible user relationships. We backed Character.AI-adjacent products before the market understood what AI companions meant. We are looking at Solace Life and seeing one feature that is genuinely category-defining. The rest of the product is noise. The AI avatar — a person's voice, stories, and personality, accessible to their family after death — is potentially the most emotionally defensible AI feature that has ever been built into a consumer application. We want in. With conditions.</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The Avatar Thesis</w:t>
      </w:r>
    </w:p>
    <w:p>
      <w:pPr>
        <w:spacing w:after="80" w:before="80"/>
        <w:jc w:val="left"/>
      </w:pPr>
      <w:r>
        <w:rPr>
          <w:rFonts w:ascii="Arial" w:cs="Arial" w:eastAsia="Arial" w:hAnsi="Arial"/>
          <w:b w:val="false"/>
          <w:bCs w:val="false"/>
          <w:i w:val="false"/>
          <w:iCs w:val="false"/>
          <w:color w:val="2C2C2C"/>
          <w:sz w:val="20"/>
          <w:szCs w:val="20"/>
        </w:rPr>
        <w:t xml:space="preserve">Every major AI company is building general-purpose AI companions. OpenAI, Anthropic, Google, Character.AI — all of them. None of them are building a product where the AI is specifically, exclusively, and emotionally bound to a deceased loved one. The narrow positioning of the Solace Life avatar — it is not a chatbot, it is your father — is something a general-purpose AI cannot replicate. The IP moat is the vault data itself. A user who records 200 voice messages, 50 videos, and 5 years of written memories has created a training dataset that no competitor can acquire. That data, combined with a product that uses it to build a conversational avatar, is a moat that takes years to replicate.</w:t>
      </w:r>
    </w:p>
    <w:p>
      <w:pPr>
        <w:spacing w:after="0" w:before="0" w:line="6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We see an exit thesis here that the other firms are not looking at. Not a consumer subscription exit. An acquisition. HonorHealth, Aetna, Dignity Memorial, or a large funeral services group will eventually need to offer digital legacy as a premium service. Solace Life, with 50,000 avatar-enabled users and proprietary vault data, is an acquisition target for a Fortune 500 company in the $50M-$150M range. That is our exit thesis. Not SaaS multiples — strategic acquisition.</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What We Would Change</w:t>
      </w:r>
    </w:p>
    <w:p>
      <w:pPr>
        <w:pStyle w:val="ListParagraph"/>
        <w:numPr>
          <w:ilvl w:val="0"/>
          <w:numId w:val="2"/>
        </w:numPr>
        <w:spacing w:after="40" w:before="40"/>
      </w:pPr>
      <w:r>
        <w:rPr>
          <w:rFonts w:ascii="Arial" w:cs="Arial" w:eastAsia="Arial" w:hAnsi="Arial"/>
          <w:b w:val="false"/>
          <w:bCs w:val="false"/>
          <w:color w:val="2C2C2C"/>
          <w:sz w:val="20"/>
          <w:szCs w:val="20"/>
        </w:rPr>
        <w:t xml:space="preserve">We would pivot the product roadmap to be avatar-first. Every other feature (vault, emergency contacts, partner program) becomes a supporting feature for the avatar. The headline should not be "record a message for the future." It should be "let your family keep talking to you." That is a fundamentally different product positioning with a fundamentally different emotional pull.</w:t>
      </w:r>
    </w:p>
    <w:p>
      <w:pPr>
        <w:pStyle w:val="ListParagraph"/>
        <w:numPr>
          <w:ilvl w:val="0"/>
          <w:numId w:val="2"/>
        </w:numPr>
        <w:spacing w:after="40" w:before="40"/>
      </w:pPr>
      <w:r>
        <w:rPr>
          <w:rFonts w:ascii="Arial" w:cs="Arial" w:eastAsia="Arial" w:hAnsi="Arial"/>
          <w:b w:val="false"/>
          <w:bCs w:val="false"/>
          <w:color w:val="2C2C2C"/>
          <w:sz w:val="20"/>
          <w:szCs w:val="20"/>
        </w:rPr>
        <w:t xml:space="preserve">We would restructure pricing around the avatar. The avatar-enabled tier should be $19.99/month or $149/year, with a standard tier (no avatar, just delivery) at $49/year. The avatar is worth paying for. Price it accordingly.</w:t>
      </w:r>
    </w:p>
    <w:p>
      <w:pPr>
        <w:pStyle w:val="ListParagraph"/>
        <w:numPr>
          <w:ilvl w:val="0"/>
          <w:numId w:val="2"/>
        </w:numPr>
        <w:spacing w:after="40" w:before="40"/>
      </w:pPr>
      <w:r>
        <w:rPr>
          <w:rFonts w:ascii="Arial" w:cs="Arial" w:eastAsia="Arial" w:hAnsi="Arial"/>
          <w:b w:val="false"/>
          <w:bCs w:val="false"/>
          <w:color w:val="2C2C2C"/>
          <w:sz w:val="20"/>
          <w:szCs w:val="20"/>
        </w:rPr>
        <w:t xml:space="preserve">We would require a Chief Medical Advisor (grief psychologist or psychiatrist) on the team before launch. The avatar feature will attract media scrutiny. A clinical advisor creates a credibility shield and positions the product as therapeutic, not exploitative.</w:t>
      </w:r>
    </w:p>
    <w:p>
      <w:pPr>
        <w:pStyle w:val="ListParagraph"/>
        <w:numPr>
          <w:ilvl w:val="0"/>
          <w:numId w:val="2"/>
        </w:numPr>
        <w:spacing w:after="40" w:before="40"/>
      </w:pPr>
      <w:r>
        <w:rPr>
          <w:rFonts w:ascii="Arial" w:cs="Arial" w:eastAsia="Arial" w:hAnsi="Arial"/>
          <w:b w:val="false"/>
          <w:bCs w:val="false"/>
          <w:color w:val="2C2C2C"/>
          <w:sz w:val="20"/>
          <w:szCs w:val="20"/>
        </w:rPr>
        <w:t xml:space="preserve">We would push the roadmap to ship an Android version within 6 months. The 55+ Android market is larger than the iOS market for this demographic in Canada.</w:t>
      </w:r>
    </w:p>
    <w:p>
      <w:pPr>
        <w:spacing w:after="0" w:before="0" w:line="60"/>
      </w:pPr>
      <w:r>
        <w:rPr>
          <w:rFonts w:ascii="Arial" w:cs="Arial" w:eastAsia="Arial" w:hAnsi="Arial"/>
        </w:rPr>
        <w:t xml:space="preserve"/>
      </w:r>
    </w:p>
    <w:p>
      <w:pPr>
        <w:pStyle w:val="Heading3"/>
        <w:spacing w:after="160" w:before="320"/>
      </w:pPr>
      <w:r>
        <w:rPr>
          <w:rFonts w:ascii="Arial" w:cs="Arial" w:eastAsia="Arial" w:hAnsi="Arial"/>
          <w:b/>
          <w:bCs/>
          <w:color w:val="1A1A1A"/>
        </w:rPr>
        <w:t xml:space="preserve">Apex Frontier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none" w:color="FFFFFF" w:sz="0"/>
              <w:left w:val="none" w:color="FFFFFF" w:sz="0"/>
              <w:bottom w:val="none" w:color="FFFFFF" w:sz="0"/>
              <w:right w:val="none" w:color="FFFFFF" w:sz="0"/>
            </w:tcBorders>
            <w:shd w:fill="2C2C2C" w:val="clear"/>
            <w:tcMar>
              <w:top w:type="dxa" w:w="80"/>
              <w:left w:type="dxa" w:w="150"/>
              <w:bottom w:type="dxa" w:w="80"/>
              <w:right w:type="dxa" w:w="150"/>
            </w:tcMar>
          </w:tcPr>
          <w:p>
            <w:r>
              <w:rPr>
                <w:rFonts w:ascii="Arial" w:cs="Arial" w:eastAsia="Arial" w:hAnsi="Arial"/>
                <w:b/>
                <w:bCs/>
                <w:color w:val="FFFFFF"/>
                <w:sz w:val="18"/>
                <w:szCs w:val="18"/>
              </w:rPr>
              <w:t xml:space="preserve">Criterion</w:t>
            </w:r>
          </w:p>
        </w:tc>
        <w:tc>
          <w:tcPr>
            <w:tcW w:type="dxa" w:w="1800"/>
            <w:tcBorders>
              <w:top w:val="none" w:color="FFFFFF" w:sz="0"/>
              <w:left w:val="none" w:color="FFFFFF" w:sz="0"/>
              <w:bottom w:val="none" w:color="FFFFFF" w:sz="0"/>
              <w:right w:val="none" w:color="FFFFFF" w:sz="0"/>
            </w:tcBorders>
            <w:shd w:fill="2C2C2C" w:val="clear"/>
            <w:tcMar>
              <w:top w:type="dxa" w:w="80"/>
              <w:left w:type="dxa" w:w="150"/>
              <w:bottom w:type="dxa" w:w="80"/>
              <w:right w:type="dxa" w:w="150"/>
            </w:tcMar>
          </w:tcPr>
          <w:p>
            <w:pPr>
              <w:jc w:val="center"/>
            </w:pPr>
            <w:r>
              <w:rPr>
                <w:rFonts w:ascii="Arial" w:cs="Arial" w:eastAsia="Arial" w:hAnsi="Arial"/>
                <w:b/>
                <w:bCs/>
                <w:color w:val="FFFFFF"/>
                <w:sz w:val="18"/>
                <w:szCs w:val="18"/>
              </w:rPr>
              <w:t xml:space="preserve">Score</w:t>
            </w:r>
          </w:p>
        </w:tc>
        <w:tc>
          <w:tcPr>
            <w:tcW w:type="dxa" w:w="4060"/>
            <w:tcBorders>
              <w:top w:val="none" w:color="FFFFFF" w:sz="0"/>
              <w:left w:val="none" w:color="FFFFFF" w:sz="0"/>
              <w:bottom w:val="none" w:color="FFFFFF" w:sz="0"/>
              <w:right w:val="none" w:color="FFFFFF" w:sz="0"/>
            </w:tcBorders>
            <w:shd w:fill="2C2C2C" w:val="clear"/>
            <w:tcMar>
              <w:top w:type="dxa" w:w="80"/>
              <w:left w:type="dxa" w:w="150"/>
              <w:bottom w:type="dxa" w:w="80"/>
              <w:right w:type="dxa" w:w="150"/>
            </w:tcMar>
          </w:tcPr>
          <w:p>
            <w:r>
              <w:rPr>
                <w:rFonts w:ascii="Arial" w:cs="Arial" w:eastAsia="Arial" w:hAnsi="Arial"/>
                <w:b/>
                <w:bCs/>
                <w:color w:val="FFFFFF"/>
                <w:sz w:val="18"/>
                <w:szCs w:val="18"/>
              </w:rPr>
              <w:t xml:space="preserve">One-line verdict</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AI differentiation</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1A7A2E"/>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Avatar feature is genuinely category-defining</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Acquisition potential</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1A7A2E"/>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Strong strategic fit for funeral/insurance sector</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Founder AI vision</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B8860B"/>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Avatar exists but not positioned as the primary product</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Current product focus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CC2200"/>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Feature sprawl dilutes the core AI value prop</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Pricing for AI feature</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CC2200"/>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$49/yr undervalues the avatar by a factor of 4</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color w:val="2C2C2C"/>
                <w:sz w:val="19"/>
                <w:szCs w:val="19"/>
              </w:rPr>
              <w:t xml:space="preserve">Regulatory foresight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pPr>
              <w:jc w:val="center"/>
            </w:pPr>
            <w:r>
              <w:rPr>
                <w:rFonts w:ascii="Arial" w:cs="Arial" w:eastAsia="Arial" w:hAnsi="Arial"/>
                <w:b/>
                <w:bCs/>
                <w:color w:val="CC2200"/>
                <w:sz w:val="19"/>
                <w:szCs w:val="19"/>
              </w:rPr>
              <w:t xml:space="preserve">★★☆☆☆</w:t>
            </w:r>
          </w:p>
        </w:tc>
        <w:tc>
          <w:tcPr>
            <w:tcW w:type="dxa" w:w="40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i/>
                <w:iCs/>
                <w:color w:val="6B6B6B"/>
                <w:sz w:val="18"/>
                <w:szCs w:val="18"/>
              </w:rPr>
              <w:t xml:space="preserve">No clinical advisor; no ethical framework disclosed</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color w:val="2C2C2C"/>
                <w:sz w:val="19"/>
                <w:szCs w:val="19"/>
              </w:rPr>
              <w:t xml:space="preserve">Platform expansion (Android)</w:t>
            </w:r>
          </w:p>
        </w:tc>
        <w:tc>
          <w:tcPr>
            <w:tcW w:type="dxa" w:w="180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pPr>
              <w:jc w:val="center"/>
            </w:pPr>
            <w:r>
              <w:rPr>
                <w:rFonts w:ascii="Arial" w:cs="Arial" w:eastAsia="Arial" w:hAnsi="Arial"/>
                <w:b/>
                <w:bCs/>
                <w:color w:val="CC2200"/>
                <w:sz w:val="19"/>
                <w:szCs w:val="19"/>
              </w:rPr>
              <w:t xml:space="preserve">★★☆☆☆</w:t>
            </w:r>
          </w:p>
        </w:tc>
        <w:tc>
          <w:tcPr>
            <w:tcW w:type="dxa" w:w="4060"/>
            <w:tcBorders>
              <w:top w:val="single" w:color="E0E0E0" w:sz="1"/>
              <w:left w:val="single" w:color="E0E0E0" w:sz="1"/>
              <w:bottom w:val="single" w:color="E0E0E0" w:sz="1"/>
              <w:right w:val="single" w:color="E0E0E0" w:sz="1"/>
            </w:tcBorders>
            <w:shd w:fill="FAFAFA" w:val="clear"/>
            <w:tcMar>
              <w:top w:type="dxa" w:w="80"/>
              <w:left w:type="dxa" w:w="150"/>
              <w:bottom w:type="dxa" w:w="80"/>
              <w:right w:type="dxa" w:w="150"/>
            </w:tcMar>
          </w:tcPr>
          <w:p>
            <w:r>
              <w:rPr>
                <w:rFonts w:ascii="Arial" w:cs="Arial" w:eastAsia="Arial" w:hAnsi="Arial"/>
                <w:i/>
                <w:iCs/>
                <w:color w:val="6B6B6B"/>
                <w:sz w:val="18"/>
                <w:szCs w:val="18"/>
              </w:rPr>
              <w:t xml:space="preserve">iOS only limits total addressable market</w:t>
            </w:r>
          </w:p>
        </w:tc>
      </w:tr>
    </w:tbl>
    <w:p>
      <w:pPr>
        <w:spacing w:after="0" w:before="0" w:line="8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Apex Frontier Bid</w:t>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W w:type="dxa" w:w="2000"/>
            <w:tcBorders>
              <w:top w:val="none" w:color="FFFFFF" w:sz="0"/>
              <w:left w:val="none" w:color="FFFFFF" w:sz="0"/>
              <w:bottom w:val="none" w:color="FFFFFF" w:sz="0"/>
              <w:right w:val="none" w:color="FFFFFF" w:sz="0"/>
            </w:tcBorders>
            <w:shd w:fill="B8A000"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CONDITIONAL BID — $350,000 for 25% equity</w:t>
            </w:r>
          </w:p>
        </w:tc>
      </w:tr>
    </w:tbl>
    <w:p>
      <w:pPr>
        <w:spacing w:after="0" w:before="0" w:line="8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Post-money valuation: $1.4M. This is the highest offer on the panel and carries the most conditions. (1) Founder commits in writing to repositioning the product roadmap as avatar-first within 30 days of close; (2) A clinical advisor (PhD-level grief psychologist or equivalent) is engaged on a part-time advisory basis within 90 days; (3) Android version ships within 6 months; (4) Pricing restructured to a $149/year avatar-enabled tier as the flagship offer; (5) Founder agrees to quarterly board check-ins with Apex. If conditions 1 and 4 are not met within the stated timelines, Apex retains the right to renegotiate the equity percentage upward to 30%.</w:t>
      </w:r>
    </w:p>
    <w:p>
      <w:pPr>
        <w:spacing w:after="0" w:before="0" w:line="60"/>
      </w:pPr>
      <w:r>
        <w:rPr>
          <w:rFonts w:ascii="Arial" w:cs="Arial" w:eastAsia="Arial" w:hAnsi="Arial"/>
        </w:rPr>
        <w:t xml:space="preserve"/>
      </w:r>
    </w:p>
    <w:p>
      <w:pPr>
        <w:spacing w:after="80" w:before="80"/>
        <w:jc w:val="left"/>
      </w:pPr>
      <w:r>
        <w:rPr>
          <w:rFonts w:ascii="Arial" w:cs="Arial" w:eastAsia="Arial" w:hAnsi="Arial"/>
          <w:b w:val="false"/>
          <w:bCs w:val="false"/>
          <w:i/>
          <w:iCs/>
          <w:color w:val="2C2C2C"/>
          <w:sz w:val="20"/>
          <w:szCs w:val="20"/>
        </w:rPr>
        <w:t xml:space="preserve">We are not investing in a memory app. We are investing in the only consumer product we have seen that makes talking to a dead person feel like love rather than horror. That is hard to build. This founder has built it. We want to help them turn it into something that matters at scale.</w:t>
      </w:r>
    </w:p>
    <w:p>
      <w:pPr>
        <w:spacing w:after="0" w:before="0" w:line="120"/>
      </w:pPr>
      <w:r>
        <w:rPr>
          <w:rFonts w:ascii="Arial" w:cs="Arial" w:eastAsia="Arial" w:hAnsi="Arial"/>
        </w:rPr>
        <w:t xml:space="preserve"/>
      </w:r>
    </w:p>
    <w:p>
      <w:pPr>
        <w:pBdr>
          <w:bottom w:val="single" w:color="D0D0D0" w:sz="4" w:space="1"/>
        </w:pBdr>
        <w:spacing w:after="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CHAIRMAN'S SUMMARY — INDEPENDENT ASSESSMENT</w:t>
            </w:r>
          </w:p>
        </w:tc>
      </w:tr>
    </w:tbl>
    <w:p>
      <w:pPr>
        <w:spacing w:after="0" w:before="0" w:line="80"/>
      </w:pPr>
      <w:r>
        <w:rPr>
          <w:rFonts w:ascii="Arial" w:cs="Arial" w:eastAsia="Arial" w:hAnsi="Arial"/>
        </w:rPr>
        <w:t xml:space="preserve"/>
      </w:r>
    </w:p>
    <w:p>
      <w:pPr>
        <w:spacing w:after="80" w:before="80"/>
        <w:jc w:val="left"/>
      </w:pPr>
      <w:r>
        <w:rPr>
          <w:rFonts w:ascii="Arial" w:cs="Arial" w:eastAsia="Arial" w:hAnsi="Arial"/>
          <w:b w:val="false"/>
          <w:bCs w:val="false"/>
          <w:i/>
          <w:iCs/>
          <w:color w:val="6B6B6B"/>
          <w:sz w:val="20"/>
          <w:szCs w:val="20"/>
        </w:rPr>
        <w:t xml:space="preserve">The following is presented without advocacy for any firm. I have no financial interest in Solace Life or in any of the five participating firms. I am reporting what I observed.</w:t>
      </w:r>
    </w:p>
    <w:p>
      <w:pPr>
        <w:spacing w:after="0" w:before="0" w:line="8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The Bids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400"/>
        <w:gridCol w:w="2160"/>
      </w:tblGrid>
      <w:tr>
        <w:tc>
          <w:tcPr>
            <w:tcW w:type="dxa" w:w="260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left"/>
            </w:pPr>
            <w:r>
              <w:rPr>
                <w:rFonts w:ascii="Arial" w:cs="Arial" w:eastAsia="Arial" w:hAnsi="Arial"/>
                <w:b/>
                <w:bCs/>
                <w:color w:val="FFFFFF"/>
                <w:sz w:val="19"/>
                <w:szCs w:val="19"/>
              </w:rPr>
              <w:t xml:space="preserve">Firm</w:t>
            </w:r>
          </w:p>
        </w:tc>
        <w:tc>
          <w:tcPr>
            <w:tcW w:type="dxa" w:w="160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Offer</w:t>
            </w:r>
          </w:p>
        </w:tc>
        <w:tc>
          <w:tcPr>
            <w:tcW w:type="dxa" w:w="160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Equity Ask</w:t>
            </w:r>
          </w:p>
        </w:tc>
        <w:tc>
          <w:tcPr>
            <w:tcW w:type="dxa" w:w="140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Implied Val.</w:t>
            </w:r>
          </w:p>
        </w:tc>
        <w:tc>
          <w:tcPr>
            <w:tcW w:type="dxa" w:w="2160"/>
            <w:tcBorders>
              <w:top w:val="single" w:color="D0D0D0" w:sz="1"/>
              <w:left w:val="single" w:color="D0D0D0" w:sz="1"/>
              <w:bottom w:val="single" w:color="D0D0D0" w:sz="1"/>
              <w:right w:val="single" w:color="D0D0D0" w:sz="1"/>
            </w:tcBorders>
            <w:shd w:fill="2C2C2C" w:val="clear"/>
            <w:tcMar>
              <w:top w:type="dxa" w:w="100"/>
              <w:left w:type="dxa" w:w="150"/>
              <w:bottom w:type="dxa" w:w="100"/>
              <w:right w:type="dxa" w:w="150"/>
            </w:tcMar>
          </w:tcPr>
          <w:p>
            <w:pPr>
              <w:jc w:val="left"/>
            </w:pPr>
            <w:r>
              <w:rPr>
                <w:rFonts w:ascii="Arial" w:cs="Arial" w:eastAsia="Arial" w:hAnsi="Arial"/>
                <w:b/>
                <w:bCs/>
                <w:color w:val="FFFFFF"/>
                <w:sz w:val="19"/>
                <w:szCs w:val="19"/>
              </w:rPr>
              <w:t xml:space="preserve">Verdict</w:t>
            </w:r>
          </w:p>
        </w:tc>
      </w:tr>
      <w:tr>
        <w:tc>
          <w:tcPr>
            <w:tcW w:type="dxa" w:w="26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19"/>
                <w:szCs w:val="19"/>
              </w:rPr>
              <w:t xml:space="preserve">Meridian Ventures</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w:t>
            </w:r>
          </w:p>
        </w:tc>
        <w:tc>
          <w:tcPr>
            <w:tcW w:type="dxa" w:w="21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bCs/>
                <w:color w:val="CC2200"/>
                <w:sz w:val="19"/>
                <w:szCs w:val="19"/>
              </w:rPr>
              <w:t xml:space="preserve">PASS</w:t>
            </w:r>
          </w:p>
        </w:tc>
      </w:tr>
      <w:tr>
        <w:tc>
          <w:tcPr>
            <w:tcW w:type="dxa" w:w="2600"/>
            <w:tcBorders>
              <w:top w:val="single" w:color="D0D0D0" w:sz="1"/>
              <w:left w:val="single" w:color="D0D0D0" w:sz="1"/>
              <w:bottom w:val="single" w:color="D0D0D0" w:sz="1"/>
              <w:right w:val="single" w:color="D0D0D0" w:sz="1"/>
            </w:tcBorders>
            <w:shd w:fill="F5FBF4" w:val="clear"/>
            <w:tcMar>
              <w:top w:type="dxa" w:w="100"/>
              <w:left w:type="dxa" w:w="150"/>
              <w:bottom w:type="dxa" w:w="100"/>
              <w:right w:type="dxa" w:w="150"/>
            </w:tcMar>
          </w:tcPr>
          <w:p>
            <w:pPr>
              <w:jc w:val="left"/>
            </w:pPr>
            <w:r>
              <w:rPr>
                <w:rFonts w:ascii="Arial" w:cs="Arial" w:eastAsia="Arial" w:hAnsi="Arial"/>
                <w:b w:val="false"/>
                <w:bCs w:val="false"/>
                <w:color w:val="2C2C2C"/>
                <w:sz w:val="19"/>
                <w:szCs w:val="19"/>
              </w:rPr>
              <w:t xml:space="preserve">Stonegate Capital</w:t>
            </w:r>
          </w:p>
        </w:tc>
        <w:tc>
          <w:tcPr>
            <w:tcW w:type="dxa" w:w="1600"/>
            <w:tcBorders>
              <w:top w:val="single" w:color="D0D0D0" w:sz="1"/>
              <w:left w:val="single" w:color="D0D0D0" w:sz="1"/>
              <w:bottom w:val="single" w:color="D0D0D0" w:sz="1"/>
              <w:right w:val="single" w:color="D0D0D0" w:sz="1"/>
            </w:tcBorders>
            <w:shd w:fill="F5FBF4" w:val="clear"/>
            <w:tcMar>
              <w:top w:type="dxa" w:w="100"/>
              <w:left w:type="dxa" w:w="150"/>
              <w:bottom w:type="dxa" w:w="100"/>
              <w:right w:type="dxa" w:w="150"/>
            </w:tcMar>
          </w:tcPr>
          <w:p>
            <w:pPr>
              <w:jc w:val="center"/>
            </w:pPr>
            <w:r>
              <w:rPr>
                <w:rFonts w:ascii="Arial" w:cs="Arial" w:eastAsia="Arial" w:hAnsi="Arial"/>
                <w:b/>
                <w:bCs/>
                <w:color w:val="2C2C2C"/>
                <w:sz w:val="19"/>
                <w:szCs w:val="19"/>
              </w:rPr>
              <w:t xml:space="preserve">$225,000</w:t>
            </w:r>
          </w:p>
        </w:tc>
        <w:tc>
          <w:tcPr>
            <w:tcW w:type="dxa" w:w="1600"/>
            <w:tcBorders>
              <w:top w:val="single" w:color="D0D0D0" w:sz="1"/>
              <w:left w:val="single" w:color="D0D0D0" w:sz="1"/>
              <w:bottom w:val="single" w:color="D0D0D0" w:sz="1"/>
              <w:right w:val="single" w:color="D0D0D0" w:sz="1"/>
            </w:tcBorders>
            <w:shd w:fill="F5FBF4"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20%</w:t>
            </w:r>
          </w:p>
        </w:tc>
        <w:tc>
          <w:tcPr>
            <w:tcW w:type="dxa" w:w="1400"/>
            <w:tcBorders>
              <w:top w:val="single" w:color="D0D0D0" w:sz="1"/>
              <w:left w:val="single" w:color="D0D0D0" w:sz="1"/>
              <w:bottom w:val="single" w:color="D0D0D0" w:sz="1"/>
              <w:right w:val="single" w:color="D0D0D0" w:sz="1"/>
            </w:tcBorders>
            <w:shd w:fill="F5FBF4"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$1.125M</w:t>
            </w:r>
          </w:p>
        </w:tc>
        <w:tc>
          <w:tcPr>
            <w:tcW w:type="dxa" w:w="2160"/>
            <w:tcBorders>
              <w:top w:val="single" w:color="D0D0D0" w:sz="1"/>
              <w:left w:val="single" w:color="D0D0D0" w:sz="1"/>
              <w:bottom w:val="single" w:color="D0D0D0" w:sz="1"/>
              <w:right w:val="single" w:color="D0D0D0" w:sz="1"/>
            </w:tcBorders>
            <w:shd w:fill="F5FBF4" w:val="clear"/>
            <w:tcMar>
              <w:top w:type="dxa" w:w="100"/>
              <w:left w:type="dxa" w:w="150"/>
              <w:bottom w:type="dxa" w:w="100"/>
              <w:right w:type="dxa" w:w="150"/>
            </w:tcMar>
          </w:tcPr>
          <w:p>
            <w:pPr>
              <w:jc w:val="left"/>
            </w:pPr>
            <w:r>
              <w:rPr>
                <w:rFonts w:ascii="Arial" w:cs="Arial" w:eastAsia="Arial" w:hAnsi="Arial"/>
                <w:b/>
                <w:bCs/>
                <w:color w:val="1A7A2E"/>
                <w:sz w:val="19"/>
                <w:szCs w:val="19"/>
              </w:rPr>
              <w:t xml:space="preserve">BID</w:t>
            </w:r>
          </w:p>
        </w:tc>
      </w:tr>
      <w:tr>
        <w:tc>
          <w:tcPr>
            <w:tcW w:type="dxa" w:w="26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19"/>
                <w:szCs w:val="19"/>
              </w:rPr>
              <w:t xml:space="preserve">Black River Partners</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w:t>
            </w:r>
          </w:p>
        </w:tc>
        <w:tc>
          <w:tcPr>
            <w:tcW w:type="dxa" w:w="21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bCs/>
                <w:color w:val="CC2200"/>
                <w:sz w:val="19"/>
                <w:szCs w:val="19"/>
              </w:rPr>
              <w:t xml:space="preserve">PASS</w:t>
            </w:r>
          </w:p>
        </w:tc>
      </w:tr>
      <w:tr>
        <w:tc>
          <w:tcPr>
            <w:tcW w:type="dxa" w:w="2600"/>
            <w:tcBorders>
              <w:top w:val="single" w:color="D0D0D0" w:sz="1"/>
              <w:left w:val="single" w:color="D0D0D0" w:sz="1"/>
              <w:bottom w:val="single" w:color="D0D0D0" w:sz="1"/>
              <w:right w:val="single" w:color="D0D0D0" w:sz="1"/>
            </w:tcBorders>
            <w:shd w:fill="FFF8F8" w:val="clear"/>
            <w:tcMar>
              <w:top w:type="dxa" w:w="100"/>
              <w:left w:type="dxa" w:w="150"/>
              <w:bottom w:type="dxa" w:w="100"/>
              <w:right w:type="dxa" w:w="150"/>
            </w:tcMar>
          </w:tcPr>
          <w:p>
            <w:pPr>
              <w:jc w:val="left"/>
            </w:pPr>
            <w:r>
              <w:rPr>
                <w:rFonts w:ascii="Arial" w:cs="Arial" w:eastAsia="Arial" w:hAnsi="Arial"/>
                <w:b w:val="false"/>
                <w:bCs w:val="false"/>
                <w:color w:val="2C2C2C"/>
                <w:sz w:val="19"/>
                <w:szCs w:val="19"/>
              </w:rPr>
              <w:t xml:space="preserve">Northern Arch Capital</w:t>
            </w:r>
          </w:p>
        </w:tc>
        <w:tc>
          <w:tcPr>
            <w:tcW w:type="dxa" w:w="1600"/>
            <w:tcBorders>
              <w:top w:val="single" w:color="D0D0D0" w:sz="1"/>
              <w:left w:val="single" w:color="D0D0D0" w:sz="1"/>
              <w:bottom w:val="single" w:color="D0D0D0" w:sz="1"/>
              <w:right w:val="single" w:color="D0D0D0" w:sz="1"/>
            </w:tcBorders>
            <w:shd w:fill="FFF8F8" w:val="clear"/>
            <w:tcMar>
              <w:top w:type="dxa" w:w="100"/>
              <w:left w:type="dxa" w:w="150"/>
              <w:bottom w:type="dxa" w:w="100"/>
              <w:right w:type="dxa" w:w="150"/>
            </w:tcMar>
          </w:tcPr>
          <w:p>
            <w:pPr>
              <w:jc w:val="center"/>
            </w:pPr>
            <w:r>
              <w:rPr>
                <w:rFonts w:ascii="Arial" w:cs="Arial" w:eastAsia="Arial" w:hAnsi="Arial"/>
                <w:b/>
                <w:bCs/>
                <w:color w:val="2C2C2C"/>
                <w:sz w:val="19"/>
                <w:szCs w:val="19"/>
              </w:rPr>
              <w:t xml:space="preserve">$175,000</w:t>
            </w:r>
          </w:p>
        </w:tc>
        <w:tc>
          <w:tcPr>
            <w:tcW w:type="dxa" w:w="1600"/>
            <w:tcBorders>
              <w:top w:val="single" w:color="D0D0D0" w:sz="1"/>
              <w:left w:val="single" w:color="D0D0D0" w:sz="1"/>
              <w:bottom w:val="single" w:color="D0D0D0" w:sz="1"/>
              <w:right w:val="single" w:color="D0D0D0" w:sz="1"/>
            </w:tcBorders>
            <w:shd w:fill="FFF8F8"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18%</w:t>
            </w:r>
          </w:p>
        </w:tc>
        <w:tc>
          <w:tcPr>
            <w:tcW w:type="dxa" w:w="1400"/>
            <w:tcBorders>
              <w:top w:val="single" w:color="D0D0D0" w:sz="1"/>
              <w:left w:val="single" w:color="D0D0D0" w:sz="1"/>
              <w:bottom w:val="single" w:color="D0D0D0" w:sz="1"/>
              <w:right w:val="single" w:color="D0D0D0" w:sz="1"/>
            </w:tcBorders>
            <w:shd w:fill="FFF8F8"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$972K</w:t>
            </w:r>
          </w:p>
        </w:tc>
        <w:tc>
          <w:tcPr>
            <w:tcW w:type="dxa" w:w="2160"/>
            <w:tcBorders>
              <w:top w:val="single" w:color="D0D0D0" w:sz="1"/>
              <w:left w:val="single" w:color="D0D0D0" w:sz="1"/>
              <w:bottom w:val="single" w:color="D0D0D0" w:sz="1"/>
              <w:right w:val="single" w:color="D0D0D0" w:sz="1"/>
            </w:tcBorders>
            <w:shd w:fill="FFF8F8" w:val="clear"/>
            <w:tcMar>
              <w:top w:type="dxa" w:w="100"/>
              <w:left w:type="dxa" w:w="150"/>
              <w:bottom w:type="dxa" w:w="100"/>
              <w:right w:type="dxa" w:w="150"/>
            </w:tcMar>
          </w:tcPr>
          <w:p>
            <w:pPr>
              <w:jc w:val="left"/>
            </w:pPr>
            <w:r>
              <w:rPr>
                <w:rFonts w:ascii="Arial" w:cs="Arial" w:eastAsia="Arial" w:hAnsi="Arial"/>
                <w:b/>
                <w:bCs/>
                <w:color w:val="1A7A2E"/>
                <w:sz w:val="19"/>
                <w:szCs w:val="19"/>
              </w:rPr>
              <w:t xml:space="preserve">BID</w:t>
            </w:r>
          </w:p>
        </w:tc>
      </w:tr>
      <w:tr>
        <w:tc>
          <w:tcPr>
            <w:tcW w:type="dxa" w:w="26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C2C2C"/>
                <w:sz w:val="19"/>
                <w:szCs w:val="19"/>
              </w:rPr>
              <w:t xml:space="preserve">Apex Frontier</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bCs/>
                <w:color w:val="2C2C2C"/>
                <w:sz w:val="19"/>
                <w:szCs w:val="19"/>
              </w:rPr>
              <w:t xml:space="preserve">$350,000</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25%</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C2C2C"/>
                <w:sz w:val="19"/>
                <w:szCs w:val="19"/>
              </w:rPr>
              <w:t xml:space="preserve">$1.4M</w:t>
            </w:r>
          </w:p>
        </w:tc>
        <w:tc>
          <w:tcPr>
            <w:tcW w:type="dxa" w:w="2160"/>
            <w:tcBorders>
              <w:top w:val="single" w:color="D0D0D0" w:sz="1"/>
              <w:left w:val="single" w:color="D0D0D0" w:sz="1"/>
              <w:bottom w:val="single" w:color="D0D0D0" w:sz="1"/>
              <w:right w:val="single" w:color="D0D0D0" w:sz="1"/>
            </w:tcBorders>
            <w:shd w:fill="FFFFFF" w:val="clear"/>
            <w:tcMar>
              <w:top w:type="dxa" w:w="100"/>
              <w:left w:type="dxa" w:w="150"/>
              <w:bottom w:type="dxa" w:w="100"/>
              <w:right w:type="dxa" w:w="150"/>
            </w:tcMar>
          </w:tcPr>
          <w:p>
            <w:pPr>
              <w:jc w:val="left"/>
            </w:pPr>
            <w:r>
              <w:rPr>
                <w:rFonts w:ascii="Arial" w:cs="Arial" w:eastAsia="Arial" w:hAnsi="Arial"/>
                <w:b/>
                <w:bCs/>
                <w:color w:val="B8860B"/>
                <w:sz w:val="19"/>
                <w:szCs w:val="19"/>
              </w:rPr>
              <w:t xml:space="preserve">BID (conditional)</w:t>
            </w:r>
          </w:p>
        </w:tc>
      </w:tr>
    </w:tbl>
    <w:p>
      <w:pPr>
        <w:spacing w:after="0" w:before="0" w:line="12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What the Panel Agreed On</w:t>
      </w:r>
    </w:p>
    <w:p>
      <w:pPr>
        <w:spacing w:after="80" w:before="80"/>
        <w:jc w:val="left"/>
      </w:pPr>
      <w:r>
        <w:rPr>
          <w:rFonts w:ascii="Arial" w:cs="Arial" w:eastAsia="Arial" w:hAnsi="Arial"/>
          <w:b w:val="false"/>
          <w:bCs w:val="false"/>
          <w:i w:val="false"/>
          <w:iCs w:val="false"/>
          <w:color w:val="2C2C2C"/>
          <w:sz w:val="20"/>
          <w:szCs w:val="20"/>
        </w:rPr>
        <w:t xml:space="preserve">All five firms agreed on three things:</w:t>
      </w:r>
    </w:p>
    <w:p>
      <w:pPr>
        <w:pStyle w:val="ListParagraph"/>
        <w:numPr>
          <w:ilvl w:val="0"/>
          <w:numId w:val="2"/>
        </w:numPr>
        <w:spacing w:after="40" w:before="40"/>
      </w:pPr>
      <w:r>
        <w:rPr>
          <w:rFonts w:ascii="Arial" w:cs="Arial" w:eastAsia="Arial" w:hAnsi="Arial"/>
          <w:b w:val="false"/>
          <w:bCs w:val="false"/>
          <w:color w:val="2C2C2C"/>
          <w:sz w:val="20"/>
          <w:szCs w:val="20"/>
        </w:rPr>
        <w:t xml:space="preserve">The AI avatar is the most defensible feature. Every firm that did not pass referenced it as the primary reason for interest.</w:t>
      </w:r>
    </w:p>
    <w:p>
      <w:pPr>
        <w:pStyle w:val="ListParagraph"/>
        <w:numPr>
          <w:ilvl w:val="0"/>
          <w:numId w:val="2"/>
        </w:numPr>
        <w:spacing w:after="40" w:before="40"/>
      </w:pPr>
      <w:r>
        <w:rPr>
          <w:rFonts w:ascii="Arial" w:cs="Arial" w:eastAsia="Arial" w:hAnsi="Arial"/>
          <w:b w:val="false"/>
          <w:bCs w:val="false"/>
          <w:color w:val="2C2C2C"/>
          <w:sz w:val="20"/>
          <w:szCs w:val="20"/>
        </w:rPr>
        <w:t xml:space="preserve">Zero revenue at this stage is a serious problem, not a minor one. This is not a typical pre-launch situation — the app is built, Stripe is integrated, and the payment links are not wired in. That gap is a founder execution concern.</w:t>
      </w:r>
    </w:p>
    <w:p>
      <w:pPr>
        <w:pStyle w:val="ListParagraph"/>
        <w:numPr>
          <w:ilvl w:val="0"/>
          <w:numId w:val="2"/>
        </w:numPr>
        <w:spacing w:after="40" w:before="40"/>
      </w:pPr>
      <w:r>
        <w:rPr>
          <w:rFonts w:ascii="Arial" w:cs="Arial" w:eastAsia="Arial" w:hAnsi="Arial"/>
          <w:b w:val="false"/>
          <w:bCs w:val="false"/>
          <w:color w:val="2C2C2C"/>
          <w:sz w:val="20"/>
          <w:szCs w:val="20"/>
        </w:rPr>
        <w:t xml:space="preserve">Solo founder risk is real and will be priced into every offer. Two of the three bidding firms made team-building a hard condition.</w:t>
      </w:r>
    </w:p>
    <w:p>
      <w:pPr>
        <w:spacing w:after="0" w:before="0" w:line="6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What the Panel Disagreed On</w:t>
      </w:r>
    </w:p>
    <w:p>
      <w:pPr>
        <w:spacing w:after="80" w:before="80"/>
        <w:jc w:val="left"/>
      </w:pPr>
      <w:r>
        <w:rPr>
          <w:rFonts w:ascii="Arial" w:cs="Arial" w:eastAsia="Arial" w:hAnsi="Arial"/>
          <w:b w:val="false"/>
          <w:bCs w:val="false"/>
          <w:i w:val="false"/>
          <w:iCs w:val="false"/>
          <w:color w:val="2C2C2C"/>
          <w:sz w:val="20"/>
          <w:szCs w:val="20"/>
        </w:rPr>
        <w:t xml:space="preserve">The three bidding firms disagree fundamentally on what Solace Life is:</w:t>
      </w:r>
    </w:p>
    <w:p>
      <w:pPr>
        <w:pStyle w:val="ListParagraph"/>
        <w:numPr>
          <w:ilvl w:val="0"/>
          <w:numId w:val="2"/>
        </w:numPr>
        <w:spacing w:after="40" w:before="40"/>
      </w:pPr>
      <w:r>
        <w:rPr>
          <w:rFonts w:ascii="Arial" w:cs="Arial" w:eastAsia="Arial" w:hAnsi="Arial"/>
          <w:b w:val="false"/>
          <w:bCs w:val="false"/>
          <w:color w:val="2C2C2C"/>
          <w:sz w:val="20"/>
          <w:szCs w:val="20"/>
        </w:rPr>
        <w:t xml:space="preserve">Stonegate sees a longevity/aging tech company with a B2B distribution channel. Their thesis is: build a network of professional referrers, let the product sell through trust, and grow slowly but stickily.</w:t>
      </w:r>
    </w:p>
    <w:p>
      <w:pPr>
        <w:pStyle w:val="ListParagraph"/>
        <w:numPr>
          <w:ilvl w:val="0"/>
          <w:numId w:val="2"/>
        </w:numPr>
        <w:spacing w:after="40" w:before="40"/>
      </w:pPr>
      <w:r>
        <w:rPr>
          <w:rFonts w:ascii="Arial" w:cs="Arial" w:eastAsia="Arial" w:hAnsi="Arial"/>
          <w:b w:val="false"/>
          <w:bCs w:val="false"/>
          <w:color w:val="2C2C2C"/>
          <w:sz w:val="20"/>
          <w:szCs w:val="20"/>
        </w:rPr>
        <w:t xml:space="preserve">Northern Arch sees a Canadian company that can dominate domestically before scaling. Their thesis is: focus, simplify, use government funding, and build the partner channel as the primary GTM.</w:t>
      </w:r>
    </w:p>
    <w:p>
      <w:pPr>
        <w:pStyle w:val="ListParagraph"/>
        <w:numPr>
          <w:ilvl w:val="0"/>
          <w:numId w:val="2"/>
        </w:numPr>
        <w:spacing w:after="40" w:before="40"/>
      </w:pPr>
      <w:r>
        <w:rPr>
          <w:rFonts w:ascii="Arial" w:cs="Arial" w:eastAsia="Arial" w:hAnsi="Arial"/>
          <w:b w:val="false"/>
          <w:bCs w:val="false"/>
          <w:color w:val="2C2C2C"/>
          <w:sz w:val="20"/>
          <w:szCs w:val="20"/>
        </w:rPr>
        <w:t xml:space="preserve">Apex sees an AI acquisition play. Their thesis is: the avatar data is the asset, the product is the delivery mechanism, and the exit is a strategic acquisition by a funeral services or insurance conglomerate. They are not betting on SaaS. They are betting on an M&amp;A event.</w:t>
      </w:r>
    </w:p>
    <w:p>
      <w:pPr>
        <w:spacing w:after="80" w:before="80"/>
        <w:jc w:val="left"/>
      </w:pPr>
      <w:r>
        <w:rPr>
          <w:rFonts w:ascii="Arial" w:cs="Arial" w:eastAsia="Arial" w:hAnsi="Arial"/>
          <w:b w:val="false"/>
          <w:bCs w:val="false"/>
          <w:i w:val="false"/>
          <w:iCs w:val="false"/>
          <w:color w:val="2C2C2C"/>
          <w:sz w:val="20"/>
          <w:szCs w:val="20"/>
        </w:rPr>
        <w:t xml:space="preserve">These are not variations on the same thesis. They are three different companies. The founder must decide which company they are building before choosing a partner.</w:t>
      </w:r>
    </w:p>
    <w:p>
      <w:pPr>
        <w:spacing w:after="0" w:before="0" w:line="6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The Real Risks Not Fully Addressed in Any Pitch</w:t>
      </w:r>
    </w:p>
    <w:p>
      <w:pPr>
        <w:pStyle w:val="ListParagraph"/>
        <w:numPr>
          <w:ilvl w:val="0"/>
          <w:numId w:val="2"/>
        </w:numPr>
        <w:spacing w:after="40" w:before="40"/>
      </w:pPr>
      <w:r>
        <w:rPr>
          <w:rFonts w:ascii="Arial" w:cs="Arial" w:eastAsia="Arial" w:hAnsi="Arial"/>
          <w:b w:val="false"/>
          <w:bCs w:val="false"/>
          <w:color w:val="2C2C2C"/>
          <w:sz w:val="20"/>
          <w:szCs w:val="20"/>
        </w:rPr>
        <w:t xml:space="preserve">Regulatory risk on deceased AI data. If Solace Life scales to 50,000 users and a family member sues because the AI avatar of their deceased spouse said something harmful or inaccurate, there is no legal framework in the product today to handle that. GDPR Article 17 (right to erasure) does not stop at death in all European jurisdictions. Canada's PIPEDA is silent on AI-generated content from deceased persons. This will become a problem.</w:t>
      </w:r>
    </w:p>
    <w:p>
      <w:pPr>
        <w:pStyle w:val="ListParagraph"/>
        <w:numPr>
          <w:ilvl w:val="0"/>
          <w:numId w:val="2"/>
        </w:numPr>
        <w:spacing w:after="40" w:before="40"/>
      </w:pPr>
      <w:r>
        <w:rPr>
          <w:rFonts w:ascii="Arial" w:cs="Arial" w:eastAsia="Arial" w:hAnsi="Arial"/>
          <w:b w:val="false"/>
          <w:bCs w:val="false"/>
          <w:color w:val="2C2C2C"/>
          <w:sz w:val="20"/>
          <w:szCs w:val="20"/>
        </w:rPr>
        <w:t xml:space="preserve">The 9-screen onboarding is a conversion killer for the 55+ demographic. There is no A/B test data, no conversion funnel data, and no session recording analysis. For a product targeting users who are not digital natives, a long onboarding is the most reliable way to lose them.</w:t>
      </w:r>
    </w:p>
    <w:p>
      <w:pPr>
        <w:pStyle w:val="ListParagraph"/>
        <w:numPr>
          <w:ilvl w:val="0"/>
          <w:numId w:val="2"/>
        </w:numPr>
        <w:spacing w:after="40" w:before="40"/>
      </w:pPr>
      <w:r>
        <w:rPr>
          <w:rFonts w:ascii="Arial" w:cs="Arial" w:eastAsia="Arial" w:hAnsi="Arial"/>
          <w:b w:val="false"/>
          <w:bCs w:val="false"/>
          <w:color w:val="2C2C2C"/>
          <w:sz w:val="20"/>
          <w:szCs w:val="20"/>
        </w:rPr>
        <w:t xml:space="preserve">The product does too many things. The vault, the emergency contact system, the partner program, the AI avatar, the time capsule scheduling, the check-in system, the occasion nudges — each of these is a standalone product idea. The founder has built them all. That is admirable engineering and a strategic liability. Users do not understand what Solace Life is for when they land on the page.</w:t>
      </w:r>
    </w:p>
    <w:p>
      <w:pPr>
        <w:pStyle w:val="ListParagraph"/>
        <w:numPr>
          <w:ilvl w:val="0"/>
          <w:numId w:val="2"/>
        </w:numPr>
        <w:spacing w:after="40" w:before="40"/>
      </w:pPr>
      <w:r>
        <w:rPr>
          <w:rFonts w:ascii="Arial" w:cs="Arial" w:eastAsia="Arial" w:hAnsi="Arial"/>
          <w:b w:val="false"/>
          <w:bCs w:val="false"/>
          <w:color w:val="2C2C2C"/>
          <w:sz w:val="20"/>
          <w:szCs w:val="20"/>
        </w:rPr>
        <w:t xml:space="preserve">The marketing approach (AI-generated Hailuo video clips of actors portraying emotional family moments) will generate attention but may position the product as aspirational rather than practical. The 55+ user buys on trust, not on aesthetics. The most effective marketing in this category is testimonials, word of mouth, and professional referrals — none of which exist yet.</w:t>
      </w:r>
    </w:p>
    <w:p>
      <w:pPr>
        <w:spacing w:after="0" w:before="0" w:line="60"/>
      </w:pPr>
      <w:r>
        <w:rPr>
          <w:rFonts w:ascii="Arial" w:cs="Arial" w:eastAsia="Arial" w:hAnsi="Arial"/>
        </w:rPr>
        <w:t xml:space="preserve"/>
      </w:r>
    </w:p>
    <w:p>
      <w:pPr>
        <w:pStyle w:val="Heading2"/>
        <w:spacing w:after="160" w:before="320"/>
      </w:pPr>
      <w:r>
        <w:rPr>
          <w:rFonts w:ascii="Arial" w:cs="Arial" w:eastAsia="Arial" w:hAnsi="Arial"/>
          <w:b/>
          <w:bCs/>
          <w:color w:val="1A1A1A"/>
        </w:rPr>
        <w:t xml:space="preserve">Chairman's Recommendation to the Founder</w:t>
      </w:r>
    </w:p>
    <w:p>
      <w:pPr>
        <w:pBdr>
          <w:bottom w:val="single" w:color="B8860B" w:sz="4" w:space="1"/>
        </w:pBdr>
        <w:spacing w:after="0" w:before="0"/>
      </w:pPr>
      <w:r>
        <w:rPr>
          <w:rFonts w:ascii="Arial" w:cs="Arial" w:eastAsia="Arial" w:hAnsi="Arial"/>
        </w:rPr>
        <w:t xml:space="preserve"/>
      </w:r>
    </w:p>
    <w:p>
      <w:pPr>
        <w:spacing w:after="0" w:before="0" w:line="8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You have three offers. One from a Canadian firm that wants you to stay small and focused. One from a longevity-focused firm that believes in the market but wants a team. One from an AI-forward firm that wants to change your product. Before you decide, answer these questions honestly:</w:t>
      </w:r>
    </w:p>
    <w:p>
      <w:pPr>
        <w:spacing w:after="0" w:before="0" w:lin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120"/>
              <w:left w:type="dxa" w:w="80"/>
              <w:bottom w:type="dxa" w:w="120"/>
              <w:right w:type="dxa" w:w="80"/>
            </w:tcMar>
          </w:tcPr>
          <w:p>
            <w:r>
              <w:rPr>
                <w:rFonts w:ascii="Arial" w:cs="Arial" w:eastAsia="Arial" w:hAnsi="Arial"/>
                <w:b/>
                <w:bCs/>
                <w:color w:val="B8860B"/>
                <w:sz w:val="22"/>
                <w:szCs w:val="22"/>
              </w:rPr>
              <w:t xml:space="preserve">1.</w:t>
            </w:r>
          </w:p>
        </w:tc>
        <w:tc>
          <w:tcPr>
            <w:tcW w:type="dxa" w:w="8960"/>
            <w:tcBorders>
              <w:top w:val="none" w:color="FFFFFF" w:sz="0"/>
              <w:left w:val="none" w:color="FFFFFF" w:sz="0"/>
              <w:bottom w:val="none" w:color="FFFFFF" w:sz="0"/>
              <w:right w:val="none" w:color="FFFFFF" w:sz="0"/>
            </w:tcBorders>
            <w:tcMar>
              <w:top w:type="dxa" w:w="120"/>
              <w:left w:type="dxa" w:w="80"/>
              <w:bottom w:type="dxa" w:w="120"/>
              <w:right w:type="dxa" w:w="80"/>
            </w:tcMar>
          </w:tcPr>
          <w:p>
            <w:r>
              <w:rPr>
                <w:rFonts w:ascii="Arial" w:cs="Arial" w:eastAsia="Arial" w:hAnsi="Arial"/>
                <w:color w:val="2C2C2C"/>
                <w:sz w:val="20"/>
                <w:szCs w:val="20"/>
              </w:rPr>
              <w:t xml:space="preserve">What is the one feature you would keep if you had to cut everything else? If the answer is not the AI avatar, you are not building Apex's company. If it is, reconsider your pricing immediately.</w:t>
            </w:r>
          </w:p>
        </w:tc>
      </w:tr>
      <w:tr>
        <w:tc>
          <w:tcPr>
            <w:tcW w:type="dxa" w:w="400"/>
            <w:tcBorders>
              <w:top w:val="none" w:color="FFFFFF" w:sz="0"/>
              <w:left w:val="none" w:color="FFFFFF" w:sz="0"/>
              <w:bottom w:val="none" w:color="FFFFFF" w:sz="0"/>
              <w:right w:val="none" w:color="FFFFFF" w:sz="0"/>
            </w:tcBorders>
            <w:tcMar>
              <w:top w:type="dxa" w:w="120"/>
              <w:left w:type="dxa" w:w="80"/>
              <w:bottom w:type="dxa" w:w="120"/>
              <w:right w:type="dxa" w:w="80"/>
            </w:tcMar>
          </w:tcPr>
          <w:p>
            <w:r>
              <w:rPr>
                <w:rFonts w:ascii="Arial" w:cs="Arial" w:eastAsia="Arial" w:hAnsi="Arial"/>
                <w:b/>
                <w:bCs/>
                <w:color w:val="B8860B"/>
                <w:sz w:val="22"/>
                <w:szCs w:val="22"/>
              </w:rPr>
              <w:t xml:space="preserve">2.</w:t>
            </w:r>
          </w:p>
        </w:tc>
        <w:tc>
          <w:tcPr>
            <w:tcW w:type="dxa" w:w="8960"/>
            <w:tcBorders>
              <w:top w:val="none" w:color="FFFFFF" w:sz="0"/>
              <w:left w:val="none" w:color="FFFFFF" w:sz="0"/>
              <w:bottom w:val="none" w:color="FFFFFF" w:sz="0"/>
              <w:right w:val="none" w:color="FFFFFF" w:sz="0"/>
            </w:tcBorders>
            <w:tcMar>
              <w:top w:type="dxa" w:w="120"/>
              <w:left w:type="dxa" w:w="80"/>
              <w:bottom w:type="dxa" w:w="120"/>
              <w:right w:type="dxa" w:w="80"/>
            </w:tcMar>
          </w:tcPr>
          <w:p>
            <w:r>
              <w:rPr>
                <w:rFonts w:ascii="Arial" w:cs="Arial" w:eastAsia="Arial" w:hAnsi="Arial"/>
                <w:color w:val="2C2C2C"/>
                <w:sz w:val="20"/>
                <w:szCs w:val="20"/>
              </w:rPr>
              <w:t xml:space="preserve">Can you wire Stripe and get 10 paying users in the next 30 days without a dollar of investor money? If yes, do it before accepting any offer. Traction changes every number on this table.</w:t>
            </w:r>
          </w:p>
        </w:tc>
      </w:tr>
      <w:tr>
        <w:tc>
          <w:tcPr>
            <w:tcW w:type="dxa" w:w="400"/>
            <w:tcBorders>
              <w:top w:val="none" w:color="FFFFFF" w:sz="0"/>
              <w:left w:val="none" w:color="FFFFFF" w:sz="0"/>
              <w:bottom w:val="none" w:color="FFFFFF" w:sz="0"/>
              <w:right w:val="none" w:color="FFFFFF" w:sz="0"/>
            </w:tcBorders>
            <w:tcMar>
              <w:top w:type="dxa" w:w="120"/>
              <w:left w:type="dxa" w:w="80"/>
              <w:bottom w:type="dxa" w:w="120"/>
              <w:right w:type="dxa" w:w="80"/>
            </w:tcMar>
          </w:tcPr>
          <w:p>
            <w:r>
              <w:rPr>
                <w:rFonts w:ascii="Arial" w:cs="Arial" w:eastAsia="Arial" w:hAnsi="Arial"/>
                <w:b/>
                <w:bCs/>
                <w:color w:val="B8860B"/>
                <w:sz w:val="22"/>
                <w:szCs w:val="22"/>
              </w:rPr>
              <w:t xml:space="preserve">3.</w:t>
            </w:r>
          </w:p>
        </w:tc>
        <w:tc>
          <w:tcPr>
            <w:tcW w:type="dxa" w:w="8960"/>
            <w:tcBorders>
              <w:top w:val="none" w:color="FFFFFF" w:sz="0"/>
              <w:left w:val="none" w:color="FFFFFF" w:sz="0"/>
              <w:bottom w:val="none" w:color="FFFFFF" w:sz="0"/>
              <w:right w:val="none" w:color="FFFFFF" w:sz="0"/>
            </w:tcBorders>
            <w:tcMar>
              <w:top w:type="dxa" w:w="120"/>
              <w:left w:type="dxa" w:w="80"/>
              <w:bottom w:type="dxa" w:w="120"/>
              <w:right w:type="dxa" w:w="80"/>
            </w:tcMar>
          </w:tcPr>
          <w:p>
            <w:r>
              <w:rPr>
                <w:rFonts w:ascii="Arial" w:cs="Arial" w:eastAsia="Arial" w:hAnsi="Arial"/>
                <w:color w:val="2C2C2C"/>
                <w:sz w:val="20"/>
                <w:szCs w:val="20"/>
              </w:rPr>
              <w:t xml:space="preserve">Who is your co-founder or first hire? Every firm on this panel flagged solo-founder risk. It is the single most consistent concern across all five evaluations. Address it before it becomes a reason not to fund you.</w:t>
            </w:r>
          </w:p>
        </w:tc>
      </w:tr>
      <w:tr>
        <w:tc>
          <w:tcPr>
            <w:tcW w:type="dxa" w:w="400"/>
            <w:tcBorders>
              <w:top w:val="none" w:color="FFFFFF" w:sz="0"/>
              <w:left w:val="none" w:color="FFFFFF" w:sz="0"/>
              <w:bottom w:val="none" w:color="FFFFFF" w:sz="0"/>
              <w:right w:val="none" w:color="FFFFFF" w:sz="0"/>
            </w:tcBorders>
            <w:tcMar>
              <w:top w:type="dxa" w:w="120"/>
              <w:left w:type="dxa" w:w="80"/>
              <w:bottom w:type="dxa" w:w="120"/>
              <w:right w:type="dxa" w:w="80"/>
            </w:tcMar>
          </w:tcPr>
          <w:p>
            <w:r>
              <w:rPr>
                <w:rFonts w:ascii="Arial" w:cs="Arial" w:eastAsia="Arial" w:hAnsi="Arial"/>
                <w:b/>
                <w:bCs/>
                <w:color w:val="B8860B"/>
                <w:sz w:val="22"/>
                <w:szCs w:val="22"/>
              </w:rPr>
              <w:t xml:space="preserve">4.</w:t>
            </w:r>
          </w:p>
        </w:tc>
        <w:tc>
          <w:tcPr>
            <w:tcW w:type="dxa" w:w="8960"/>
            <w:tcBorders>
              <w:top w:val="none" w:color="FFFFFF" w:sz="0"/>
              <w:left w:val="none" w:color="FFFFFF" w:sz="0"/>
              <w:bottom w:val="none" w:color="FFFFFF" w:sz="0"/>
              <w:right w:val="none" w:color="FFFFFF" w:sz="0"/>
            </w:tcBorders>
            <w:tcMar>
              <w:top w:type="dxa" w:w="120"/>
              <w:left w:type="dxa" w:w="80"/>
              <w:bottom w:type="dxa" w:w="120"/>
              <w:right w:type="dxa" w:w="80"/>
            </w:tcMar>
          </w:tcPr>
          <w:p>
            <w:r>
              <w:rPr>
                <w:rFonts w:ascii="Arial" w:cs="Arial" w:eastAsia="Arial" w:hAnsi="Arial"/>
                <w:color w:val="2C2C2C"/>
                <w:sz w:val="20"/>
                <w:szCs w:val="20"/>
              </w:rPr>
              <w:t xml:space="preserve">Have you applied for SR&amp;ED and IRAP? If not, you are leaving non-dilutive capital on the table that would give you 6 additional months of runway without giving up a single percentage point of equity. Do this before signing with anyone.</w:t>
            </w:r>
          </w:p>
        </w:tc>
      </w:tr>
    </w:tbl>
    <w:p>
      <w:pPr>
        <w:spacing w:after="0" w:before="0" w:line="10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The strongest offer on paper is Apex at $350,000. It is also the most conditional and requires the biggest strategic pivot. The most aligned offer is Northern Arch at $175,000 — it reflects reality, asks for less equity, and has conditions the founder can meet. Stonegate at $225,000 is the middle path: more capital than Northern Arch, more realistic than Apex, and with a B2B thesis that could work.</w:t>
      </w:r>
    </w:p>
    <w:p>
      <w:pPr>
        <w:spacing w:after="0" w:before="0" w:line="6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2C2C2C"/>
          <w:sz w:val="20"/>
          <w:szCs w:val="20"/>
        </w:rPr>
        <w:t xml:space="preserve">None of these offers are wrong. All of them are premature if the founder cannot get paying users before close. The single highest-leverage action available to Solace Life today is not choosing an investor. It is wiring Stripe, sending the landing page to 50 people the founder knows personally, and getting 10 paying users in the next 30 days. That action changes the valuation conversation from speculative to factual. Everything else is secondary.</w:t>
      </w:r>
    </w:p>
    <w:p>
      <w:pPr>
        <w:spacing w:after="0" w:before="0" w:line="80"/>
      </w:pPr>
      <w:r>
        <w:rPr>
          <w:rFonts w:ascii="Arial" w:cs="Arial" w:eastAsia="Arial" w:hAnsi="Arial"/>
        </w:rPr>
        <w:t xml:space="preserve"/>
      </w:r>
    </w:p>
    <w:p>
      <w:pPr>
        <w:pBdr>
          <w:bottom w:val="single" w:color="B8860B" w:sz="4" w:space="1"/>
        </w:pBdr>
        <w:spacing w:after="0" w:before="0"/>
      </w:pPr>
      <w:r>
        <w:rPr>
          <w:rFonts w:ascii="Arial" w:cs="Arial" w:eastAsia="Arial" w:hAnsi="Arial"/>
        </w:rPr>
        <w:t xml:space="preserve"/>
      </w:r>
    </w:p>
    <w:p>
      <w:pPr>
        <w:spacing w:after="0" w:before="0" w:line="80"/>
      </w:pPr>
      <w:r>
        <w:rPr>
          <w:rFonts w:ascii="Arial" w:cs="Arial" w:eastAsia="Arial" w:hAnsi="Arial"/>
        </w:rPr>
        <w:t xml:space="preserve"/>
      </w:r>
    </w:p>
    <w:p>
      <w:pPr>
        <w:spacing w:after="0" w:before="0"/>
        <w:jc w:val="center"/>
      </w:pPr>
      <w:r>
        <w:rPr>
          <w:rFonts w:ascii="Arial" w:cs="Arial" w:eastAsia="Arial" w:hAnsi="Arial"/>
          <w:i/>
          <w:iCs/>
          <w:color w:val="6B6B6B"/>
          <w:sz w:val="18"/>
          <w:szCs w:val="18"/>
        </w:rPr>
        <w:t xml:space="preserve">End of Panel Evaluation  —  Solace Life  —  May 2026</w:t>
      </w:r>
    </w:p>
    <w:p>
      <w:pPr>
        <w:spacing w:after="0" w:before="0" w:line="40"/>
      </w:pPr>
      <w:r>
        <w:rPr>
          <w:rFonts w:ascii="Arial" w:cs="Arial" w:eastAsia="Arial" w:hAnsi="Arial"/>
        </w:rPr>
        <w:t xml:space="preserve"/>
      </w:r>
    </w:p>
    <w:p>
      <w:pPr>
        <w:spacing w:after="0" w:before="0"/>
        <w:jc w:val="center"/>
      </w:pPr>
      <w:r>
        <w:rPr>
          <w:rFonts w:ascii="Arial" w:cs="Arial" w:eastAsia="Arial" w:hAnsi="Arial"/>
          <w:color w:val="D0D0D0"/>
          <w:sz w:val="16"/>
          <w:szCs w:val="16"/>
        </w:rPr>
        <w:t xml:space="preserve">This document was produced as an independent assessment. It contains no guarantees, no financial advice, and no endorsement of any participating firm.</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1"/>
      </w:pBdr>
      <w:jc w:val="center"/>
    </w:pPr>
    <w:r>
      <w:rPr>
        <w:rFonts w:ascii="Arial" w:cs="Arial" w:eastAsia="Arial" w:hAnsi="Arial"/>
        <w:color w:val="6B6B6B"/>
        <w:sz w:val="16"/>
        <w:szCs w:val="16"/>
      </w:rPr>
      <w:t xml:space="preserve">Page </w:t>
    </w:r>
    <w:r>
      <w:rPr>
        <w:rFonts w:ascii="Arial" w:cs="Arial" w:eastAsia="Arial" w:hAnsi="Arial"/>
        <w:color w:val="6B6B6B"/>
        <w:sz w:val="16"/>
        <w:szCs w:val="16"/>
      </w:rPr>
      <w:fldChar w:fldCharType="begin"/>
      <w:instrText xml:space="preserve">PAGE</w:instrText>
      <w:fldChar w:fldCharType="separate"/>
      <w:fldChar w:fldCharType="end"/>
    </w:r>
    <w:r>
      <w:rPr>
        <w:rFonts w:ascii="Arial" w:cs="Arial" w:eastAsia="Arial" w:hAnsi="Arial"/>
        <w:color w:val="6B6B6B"/>
        <w:sz w:val="16"/>
        <w:szCs w:val="16"/>
      </w:rPr>
      <w:t xml:space="preserve"> of </w:t>
    </w:r>
    <w:r>
      <w:rPr>
        <w:rFonts w:ascii="Arial" w:cs="Arial" w:eastAsia="Arial" w:hAnsi="Arial"/>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1"/>
      </w:pBdr>
      <w:spacing w:after="0"/>
      <w:jc w:val="right"/>
    </w:pPr>
    <w:r>
      <w:rPr>
        <w:rFonts w:ascii="Arial" w:cs="Arial" w:eastAsia="Arial" w:hAnsi="Arial"/>
        <w:color w:val="6B6B6B"/>
        <w:sz w:val="16"/>
        <w:szCs w:val="16"/>
      </w:rPr>
      <w:t xml:space="preserve">CONFIDENTIAL — Solace Life VC Panel Evaluation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2C2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2026-05-28T18:04:03.942Z</dcterms:created>
  <dcterms:modified xsi:type="dcterms:W3CDTF">2026-05-28T18:04:03.966Z</dcterms:modified>
</cp:coreProperties>
</file>

<file path=docProps/custom.xml><?xml version="1.0" encoding="utf-8"?>
<Properties xmlns="http://schemas.openxmlformats.org/officeDocument/2006/custom-properties" xmlns:vt="http://schemas.openxmlformats.org/officeDocument/2006/docPropsVTypes"/>
</file>