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Arial" w:cs="Arial" w:eastAsia="Arial" w:hAnsi="Arial"/>
        </w:rPr>
        <w:t xml:space="preserve"/>
      </w:r>
    </w:p>
    <w:p>
      <w:pPr>
        <w:spacing w:after="80" w:before="0"/>
        <w:jc w:val="center"/>
      </w:pPr>
      <w:r>
        <w:rPr>
          <w:rFonts w:ascii="Arial" w:cs="Arial" w:eastAsia="Arial" w:hAnsi="Arial"/>
          <w:b/>
          <w:bCs/>
          <w:color w:val="1A1A1A"/>
          <w:sz w:val="56"/>
          <w:szCs w:val="56"/>
        </w:rPr>
        <w:t xml:space="preserve">SOLACE LIFE</w:t>
      </w:r>
    </w:p>
    <w:p>
      <w:pPr>
        <w:spacing w:after="40" w:before="0"/>
        <w:jc w:val="center"/>
      </w:pPr>
      <w:r>
        <w:rPr>
          <w:rFonts w:ascii="Arial" w:cs="Arial" w:eastAsia="Arial" w:hAnsi="Arial"/>
          <w:color w:val="6B6B6B"/>
          <w:sz w:val="26"/>
          <w:szCs w:val="26"/>
        </w:rPr>
        <w:t xml:space="preserve">Independent Venture Capital Panel Evaluation</w:t>
      </w:r>
    </w:p>
    <w:p>
      <w:pPr>
        <w:spacing w:after="120" w:before="0"/>
        <w:jc w:val="center"/>
      </w:pPr>
      <w:r>
        <w:rPr>
          <w:rFonts w:ascii="Arial" w:cs="Arial" w:eastAsia="Arial" w:hAnsi="Arial"/>
          <w:b/>
          <w:bCs/>
          <w:color w:val="B8860B"/>
          <w:sz w:val="20"/>
          <w:szCs w:val="20"/>
        </w:rPr>
        <w:t xml:space="preserve">v2 — Corrected Record</w:t>
      </w:r>
    </w:p>
    <w:p>
      <w:pPr>
        <w:pBdr>
          <w:bottom w:val="single" w:color="D0D0D0" w:sz="6" w:space="1"/>
        </w:pBdr>
        <w:spacing w:after="0" w:before="0"/>
      </w:pPr>
      <w:r>
        <w:rPr>
          <w:rFonts w:ascii="Arial" w:cs="Arial" w:eastAsia="Arial" w:hAnsi="Arial"/>
        </w:rPr>
        <w:t xml:space="preserve"/>
      </w:r>
    </w:p>
    <w:p>
      <w:pPr>
        <w:spacing w:after="0" w:before="0" w:line="200"/>
      </w:pPr>
      <w:r>
        <w:rPr>
          <w:rFonts w:ascii="Arial" w:cs="Arial" w:eastAsia="Arial" w:hAnsi="Arial"/>
        </w:rPr>
        <w:t xml:space="preserve"/>
      </w:r>
    </w:p>
    <w:p>
      <w:pPr>
        <w:spacing w:after="60" w:before="0"/>
        <w:jc w:val="center"/>
      </w:pPr>
      <w:r>
        <w:rPr>
          <w:rFonts w:ascii="Arial" w:cs="Arial" w:eastAsia="Arial" w:hAnsi="Arial"/>
          <w:b/>
          <w:bCs/>
          <w:i/>
          <w:iCs/>
          <w:color w:val="4A4A4A"/>
          <w:sz w:val="24"/>
          <w:szCs w:val="24"/>
        </w:rPr>
        <w:t xml:space="preserve">Five Competing Firms. No Affiliations. No Filter.</w:t>
      </w:r>
    </w:p>
    <w:p>
      <w:pPr>
        <w:spacing w:after="0" w:before="0" w:line="80"/>
      </w:pPr>
      <w:r>
        <w:rPr>
          <w:rFonts w:ascii="Arial" w:cs="Arial" w:eastAsia="Arial" w:hAnsi="Arial"/>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Panel date</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May 2026</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Company</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Solace Life (solacelife.ca)</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Founder</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Sokha Eang — Vancouver, BC</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Development Lead</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Jordan Park — App developer, 0-to-1 specialist</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Advisory team</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A-Team: billing strategy, end-of-life UI/UX psychology, clinical language review</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Stage</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Pre-revenue — App Store launch targeted within 30 days</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Hero feature</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Time Capsule (scheduled future delivery to family)</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Category</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Legacy tech / End-of-life planning / AI-assisted</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Chairman</w:t>
            </w:r>
          </w:p>
        </w:tc>
        <w:tc>
          <w:tcPr>
            <w:tcW w:type="dxa" w:w="4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Independent — no financial interest</w:t>
            </w:r>
          </w:p>
        </w:tc>
      </w:tr>
    </w:tbl>
    <w:p>
      <w:pPr>
        <w:spacing w:after="0" w:before="0" w:line="200"/>
      </w:pPr>
      <w:r>
        <w:rPr>
          <w:rFonts w:ascii="Arial" w:cs="Arial" w:eastAsia="Arial" w:hAnsi="Arial"/>
        </w:rPr>
        <w:t xml:space="preserve"/>
      </w:r>
    </w:p>
    <w:p>
      <w:pPr>
        <w:spacing w:after="0" w:before="0"/>
        <w:jc w:val="center"/>
      </w:pPr>
      <w:r>
        <w:rPr>
          <w:rFonts w:ascii="Arial" w:cs="Arial" w:eastAsia="Arial" w:hAnsi="Arial"/>
          <w:i/>
          <w:iCs/>
          <w:color w:val="6B6B6B"/>
          <w:sz w:val="18"/>
          <w:szCs w:val="18"/>
        </w:rPr>
        <w:t xml:space="preserve">This document contains no promotional content, no sentiment, and no encouragement. It is a factual assessment of a real product by five independent investor archetypes. Bids and verdicts are simulated based on information observed in the codebase, landing pages, and feature set as of the evaluation date, including corrections submitted by the founder after the initial panel.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FOUNDER CORRECTIONS — APPLIED TO THIS VERSION</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The following material corrections were submitted by the founder after the initial panel evaluation. Each correction has been reviewed, accepted as factual, and applied throughout all five firm evaluations and the chairman's summary. The corrections are not minor. They change the risk profile of this company in measurable ways.</w:t>
      </w:r>
    </w:p>
    <w:p>
      <w:pPr>
        <w:spacing w:after="0" w:before="0" w:lin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Correction</w:t>
            </w:r>
          </w:p>
        </w:tc>
        <w:tc>
          <w:tcPr>
            <w:tcW w:type="dxa" w:w="616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Impact on evaluation</w:t>
            </w:r>
          </w:p>
        </w:tc>
      </w:tr>
      <w:tr>
        <w:tc>
          <w:tcPr>
            <w:tcW w:type="dxa" w:w="3200"/>
            <w:tcBorders>
              <w:top w:val="single" w:color="D0D0D0" w:sz="1"/>
              <w:left w:val="single" w:color="D0D0D0" w:sz="1"/>
              <w:bottom w:val="single" w:color="D0D0D0" w:sz="1"/>
              <w:right w:val="single" w:color="D0D0D0" w:sz="1"/>
            </w:tcBorders>
            <w:shd w:fill="FFFD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A-Team advisory in place — billing strategy, end-of-life UI/UX psychology, clinical language</w:t>
            </w:r>
          </w:p>
        </w:tc>
        <w:tc>
          <w:tcPr>
            <w:tcW w:type="dxa" w:w="6160"/>
            <w:tcBorders>
              <w:top w:val="single" w:color="D0D0D0" w:sz="1"/>
              <w:left w:val="single" w:color="D0D0D0" w:sz="1"/>
              <w:bottom w:val="single" w:color="D0D0D0" w:sz="1"/>
              <w:right w:val="single" w:color="D0D0D0" w:sz="1"/>
            </w:tcBorders>
            <w:shd w:fill="FFFD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Partially mitigates solo-founder operational risk. Strategy decisions are not being made unilaterally. Reduces the "one person" concern raised by all five firms, though it does not replace a co-founder or full-time team member.</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Jordan Park hired as app development lead — 0-to-1 specialist</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Directly addresses the most-cited risk across all five evaluations. The company now has a dedicated technical launch resource with relevant experience. This is a meaningful change. It does not fully resolve team depth concerns but it eliminates the "solo founder shipping a complex app alone" narrative.</w:t>
            </w:r>
          </w:p>
        </w:tc>
      </w:tr>
      <w:tr>
        <w:tc>
          <w:tcPr>
            <w:tcW w:type="dxa" w:w="3200"/>
            <w:tcBorders>
              <w:top w:val="single" w:color="D0D0D0" w:sz="1"/>
              <w:left w:val="single" w:color="D0D0D0" w:sz="1"/>
              <w:bottom w:val="single" w:color="D0D0D0" w:sz="1"/>
              <w:right w:val="single" w:color="D0D0D0" w:sz="1"/>
            </w:tcBorders>
            <w:shd w:fill="FFFD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App Store launch anticipated within 30 days</w:t>
            </w:r>
          </w:p>
        </w:tc>
        <w:tc>
          <w:tcPr>
            <w:tcW w:type="dxa" w:w="6160"/>
            <w:tcBorders>
              <w:top w:val="single" w:color="D0D0D0" w:sz="1"/>
              <w:left w:val="single" w:color="D0D0D0" w:sz="1"/>
              <w:bottom w:val="single" w:color="D0D0D0" w:sz="1"/>
              <w:right w:val="single" w:color="D0D0D0" w:sz="1"/>
            </w:tcBorders>
            <w:shd w:fill="FFFD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Materially changes the timeline risk. Pre-revenue is a different conversation when revenue is 30 days away versus 6 months away. Firms that cited "no demand signal" must now reckon with an imminent live product.</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Hero feature is Time Capsule, not AI Avatar. Avatar is a secondary feature.</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Significant product positioning correction. Time Capsule as hero gives the product cleaner, more immediately understood consumer positioning. It also directly affects one firm's investment thesis (Apex Frontier, whose bid was avatar-centric). Apex has revised accordingly.</w:t>
            </w:r>
          </w:p>
        </w:tc>
      </w:tr>
      <w:tr>
        <w:tc>
          <w:tcPr>
            <w:tcW w:type="dxa" w:w="3200"/>
            <w:tcBorders>
              <w:top w:val="single" w:color="D0D0D0" w:sz="1"/>
              <w:left w:val="single" w:color="D0D0D0" w:sz="1"/>
              <w:bottom w:val="single" w:color="D0D0D0" w:sz="1"/>
              <w:right w:val="single" w:color="D0D0D0" w:sz="1"/>
            </w:tcBorders>
            <w:shd w:fill="FFFD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Detailed launch plan: stakeholders include seniors homes, professional counselling, professional services</w:t>
            </w:r>
          </w:p>
        </w:tc>
        <w:tc>
          <w:tcPr>
            <w:tcW w:type="dxa" w:w="6160"/>
            <w:tcBorders>
              <w:top w:val="single" w:color="D0D0D0" w:sz="1"/>
              <w:left w:val="single" w:color="D0D0D0" w:sz="1"/>
              <w:bottom w:val="single" w:color="D0D0D0" w:sz="1"/>
              <w:right w:val="single" w:color="D0D0D0" w:sz="1"/>
            </w:tcBorders>
            <w:shd w:fill="FFFD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This is the most significant strategic correction. A documented GTM plan with identified B2B stakeholder channels (seniors homes, counsellors, professional services) is exactly what the distribution-focused firms demanded. It transforms the distribution story from "unproven" to "planned and in motion."</w:t>
            </w:r>
          </w:p>
        </w:tc>
      </w:tr>
    </w:tbl>
    <w:p>
      <w:r>
        <w:br w:type="page"/>
      </w:r>
    </w:p>
    <w:p>
      <w:pPr>
        <w:pStyle w:val="Heading1"/>
        <w:spacing w:after="160" w:before="320"/>
      </w:pPr>
      <w:r>
        <w:rPr>
          <w:rFonts w:ascii="Arial" w:cs="Arial" w:eastAsia="Arial" w:hAnsi="Arial"/>
          <w:b/>
          <w:bCs/>
          <w:color w:val="1A1A1A"/>
        </w:rPr>
        <w:t xml:space="preserve">Executive Summary</w:t>
      </w:r>
    </w:p>
    <w:p>
      <w:pPr>
        <w:pBdr>
          <w:bottom w:val="single" w:color="B8860B" w:sz="6" w:space="1"/>
        </w:pBdr>
        <w:spacing w:after="0" w:before="0"/>
      </w:pPr>
      <w:r>
        <w:rPr>
          <w:rFonts w:ascii="Arial" w:cs="Arial" w:eastAsia="Arial" w:hAnsi="Arial"/>
        </w:rPr>
        <w:t xml:space="preserve"/>
      </w:r>
    </w:p>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Solace Life is a mobile application that allows users to record voice messages, video memories, and written notes — scheduled for future delivery to family members on dates that matter. The Time Capsule is the hero feature: a scheduled, emotionally intentional delivery of recorded memories to specific recipients on specific occasions (birthdays, anniversaries, milestones, after death). Secondary features include an AI avatar (GPT-4o-mini trained on vault content), a dead man's switch check-in system, an emergency contact consent system, a professional referral partner network, and a cloud media vault.</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The product is built on React Native (Expo SDK 54), Supabase (46 database migrations, 15 deployed edge functions), and Stripe for payments. The tech stack is production-capable. Founder Sokha Eang operates with the support of an advisory A-Team covering billing strategy, end-of-life UI/UX psychology, and clinical language. Jordan Park has been engaged as development lead, bringing 0-to-1 app launch experience. App Store launch is targeted within 30 days.</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The go-to-market plan includes structured outreach to seniors homes, professional counselling networks, and professional services (estate lawyers, funeral planners). The partner program is built and ready to activate. The long-term pricing model is $49/year (annual) or $149 one-time lifetime. Stripe is integrated; payment links go live at App Store launch.</w:t>
      </w:r>
    </w:p>
    <w:p>
      <w:pPr>
        <w:spacing w:after="0" w:before="0" w:lin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Hero feature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Time Capsule — scheduled future delivery to family on meaningful occasions</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Secondary features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AI avatar, dead man's switch, emergency contacts, partner program, media vault</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Team</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Sokha Eang (founder) + Jordan Park (dev lead, 0-to-1) + A-Team advisors (billing, UX psychology, clinical language)</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App Store launch</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1A7A2E"/>
                <w:sz w:val="20"/>
                <w:szCs w:val="20"/>
              </w:rPr>
              <w:t xml:space="preserve">Targeted within 30 days of panel date</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Revenue today</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CC2200"/>
                <w:sz w:val="20"/>
                <w:szCs w:val="20"/>
              </w:rPr>
              <w:t xml:space="preserve">$0 — Stripe integrated; payment links activate at launch</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GTM plan</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Seniors homes, professional counselling networks, estate lawyers, funeral planners — structured stakeholder outreach in progress</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Screens built</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10 main + 9 onboarding + 4 auth screens</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Edge functions deployed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15 (deliver-time-capsules, chat-with-avatar, process-checkins, confirm-passing, stripe-webhook, create-checkout-session, and 9 others)</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Primary competitors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Storyworth ($99/yr, established 2012), GoodTrust, Evermore, Legacybox, Cake — none with a comparable B2B stakeholder GTM in Canada</w:t>
            </w:r>
          </w:p>
        </w:tc>
      </w:tr>
    </w:tbl>
    <w:p>
      <w:r>
        <w:br w:type="page"/>
      </w:r>
    </w:p>
    <w:p>
      <w:pPr>
        <w:pStyle w:val="Heading1"/>
        <w:spacing w:after="160" w:before="320"/>
      </w:pPr>
      <w:r>
        <w:rPr>
          <w:rFonts w:ascii="Arial" w:cs="Arial" w:eastAsia="Arial" w:hAnsi="Arial"/>
          <w:b/>
          <w:bCs/>
          <w:color w:val="1A1A1A"/>
        </w:rPr>
        <w:t xml:space="preserve">The Panel</w:t>
      </w:r>
    </w:p>
    <w:p>
      <w:pPr>
        <w:pBdr>
          <w:bottom w:val="single" w:color="D0D0D0" w:sz="4" w:space="1"/>
        </w:pBdr>
        <w:spacing w:after="0" w:before="0"/>
      </w:pPr>
      <w:r>
        <w:rPr>
          <w:rFonts w:ascii="Arial" w:cs="Arial" w:eastAsia="Arial" w:hAnsi="Arial"/>
        </w:rPr>
        <w:t xml:space="preserve"/>
      </w:r>
    </w:p>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Five firms were selected to represent distinct investor archetypes. Each evaluated the product independently and was given the same corrected set of facts.</w:t>
      </w:r>
    </w:p>
    <w:p>
      <w:pPr>
        <w:spacing w:after="0" w:before="0" w:lin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Firm</w:t>
            </w:r>
          </w:p>
        </w:tc>
        <w:tc>
          <w:tcPr>
            <w:tcW w:type="dxa" w:w="18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HQ</w:t>
            </w:r>
          </w:p>
        </w:tc>
        <w:tc>
          <w:tcPr>
            <w:tcW w:type="dxa" w:w="22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Focus</w:t>
            </w:r>
          </w:p>
        </w:tc>
        <w:tc>
          <w:tcPr>
            <w:tcW w:type="dxa" w:w="316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Style</w:t>
            </w:r>
          </w:p>
        </w:tc>
      </w:tr>
      <w:tr>
        <w:tc>
          <w:tcPr>
            <w:tcW w:type="dxa" w:w="2200"/>
            <w:tcBorders>
              <w:top w:val="single" w:color="D0D0D0" w:sz="1"/>
              <w:left w:val="single" w:color="D0D0D0" w:sz="1"/>
              <w:bottom w:val="single" w:color="D0D0D0" w:sz="1"/>
              <w:right w:val="single" w:color="D0D0D0" w:sz="1"/>
            </w:tcBorders>
            <w:shd w:fill="EEF2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Meridian Ventures</w:t>
            </w:r>
          </w:p>
        </w:tc>
        <w:tc>
          <w:tcPr>
            <w:tcW w:type="dxa" w:w="1800"/>
            <w:tcBorders>
              <w:top w:val="single" w:color="D0D0D0" w:sz="1"/>
              <w:left w:val="single" w:color="D0D0D0" w:sz="1"/>
              <w:bottom w:val="single" w:color="D0D0D0" w:sz="1"/>
              <w:right w:val="single" w:color="D0D0D0" w:sz="1"/>
            </w:tcBorders>
            <w:shd w:fill="EEF2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San Francisco</w:t>
            </w:r>
          </w:p>
        </w:tc>
        <w:tc>
          <w:tcPr>
            <w:tcW w:type="dxa" w:w="2200"/>
            <w:tcBorders>
              <w:top w:val="single" w:color="D0D0D0" w:sz="1"/>
              <w:left w:val="single" w:color="D0D0D0" w:sz="1"/>
              <w:bottom w:val="single" w:color="D0D0D0" w:sz="1"/>
              <w:right w:val="single" w:color="D0D0D0" w:sz="1"/>
            </w:tcBorders>
            <w:shd w:fill="EEF2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Consumer subscription, Series A</w:t>
            </w:r>
          </w:p>
        </w:tc>
        <w:tc>
          <w:tcPr>
            <w:tcW w:type="dxa" w:w="3160"/>
            <w:tcBorders>
              <w:top w:val="single" w:color="D0D0D0" w:sz="1"/>
              <w:left w:val="single" w:color="D0D0D0" w:sz="1"/>
              <w:bottom w:val="single" w:color="D0D0D0" w:sz="1"/>
              <w:right w:val="single" w:color="D0D0D0" w:sz="1"/>
            </w:tcBorders>
            <w:shd w:fill="EEF2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Unit-economics first. Will not invest pre-revenue without a verified demand signal.</w:t>
            </w:r>
          </w:p>
        </w:tc>
      </w:tr>
      <w:tr>
        <w:tc>
          <w:tcPr>
            <w:tcW w:type="dxa" w:w="2200"/>
            <w:tcBorders>
              <w:top w:val="single" w:color="D0D0D0" w:sz="1"/>
              <w:left w:val="single" w:color="D0D0D0" w:sz="1"/>
              <w:bottom w:val="single" w:color="D0D0D0" w:sz="1"/>
              <w:right w:val="single" w:color="D0D0D0" w:sz="1"/>
            </w:tcBorders>
            <w:shd w:fill="EEF5E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Stonegate Capital</w:t>
            </w:r>
          </w:p>
        </w:tc>
        <w:tc>
          <w:tcPr>
            <w:tcW w:type="dxa" w:w="1800"/>
            <w:tcBorders>
              <w:top w:val="single" w:color="D0D0D0" w:sz="1"/>
              <w:left w:val="single" w:color="D0D0D0" w:sz="1"/>
              <w:bottom w:val="single" w:color="D0D0D0" w:sz="1"/>
              <w:right w:val="single" w:color="D0D0D0" w:sz="1"/>
            </w:tcBorders>
            <w:shd w:fill="EEF5E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New York</w:t>
            </w:r>
          </w:p>
        </w:tc>
        <w:tc>
          <w:tcPr>
            <w:tcW w:type="dxa" w:w="2200"/>
            <w:tcBorders>
              <w:top w:val="single" w:color="D0D0D0" w:sz="1"/>
              <w:left w:val="single" w:color="D0D0D0" w:sz="1"/>
              <w:bottom w:val="single" w:color="D0D0D0" w:sz="1"/>
              <w:right w:val="single" w:color="D0D0D0" w:sz="1"/>
            </w:tcBorders>
            <w:shd w:fill="EEF5E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Aging tech, longevity, health-adjacent</w:t>
            </w:r>
          </w:p>
        </w:tc>
        <w:tc>
          <w:tcPr>
            <w:tcW w:type="dxa" w:w="3160"/>
            <w:tcBorders>
              <w:top w:val="single" w:color="D0D0D0" w:sz="1"/>
              <w:left w:val="single" w:color="D0D0D0" w:sz="1"/>
              <w:bottom w:val="single" w:color="D0D0D0" w:sz="1"/>
              <w:right w:val="single" w:color="D0D0D0" w:sz="1"/>
            </w:tcBorders>
            <w:shd w:fill="EEF5E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Thesis-driven around the 65+ wave. Patient capital. Wants B2B distribution proof.</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Black River Partners</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New York</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Quantitative, data-first, sector-agnostic</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Pure metrics. No cohort data, no LTV/CAC, no MRR — no meeting.</w:t>
            </w:r>
          </w:p>
        </w:tc>
      </w:tr>
      <w:tr>
        <w:tc>
          <w:tcPr>
            <w:tcW w:type="dxa" w:w="2200"/>
            <w:tcBorders>
              <w:top w:val="single" w:color="D0D0D0" w:sz="1"/>
              <w:left w:val="single" w:color="D0D0D0" w:sz="1"/>
              <w:bottom w:val="single" w:color="D0D0D0" w:sz="1"/>
              <w:right w:val="single" w:color="D0D0D0" w:sz="1"/>
            </w:tcBorders>
            <w:shd w:fill="FDF0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Northern Arch Capital</w:t>
            </w:r>
          </w:p>
        </w:tc>
        <w:tc>
          <w:tcPr>
            <w:tcW w:type="dxa" w:w="1800"/>
            <w:tcBorders>
              <w:top w:val="single" w:color="D0D0D0" w:sz="1"/>
              <w:left w:val="single" w:color="D0D0D0" w:sz="1"/>
              <w:bottom w:val="single" w:color="D0D0D0" w:sz="1"/>
              <w:right w:val="single" w:color="D0D0D0" w:sz="1"/>
            </w:tcBorders>
            <w:shd w:fill="FDF0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Toronto</w:t>
            </w:r>
          </w:p>
        </w:tc>
        <w:tc>
          <w:tcPr>
            <w:tcW w:type="dxa" w:w="2200"/>
            <w:tcBorders>
              <w:top w:val="single" w:color="D0D0D0" w:sz="1"/>
              <w:left w:val="single" w:color="D0D0D0" w:sz="1"/>
              <w:bottom w:val="single" w:color="D0D0D0" w:sz="1"/>
              <w:right w:val="single" w:color="D0D0D0" w:sz="1"/>
            </w:tcBorders>
            <w:shd w:fill="FDF0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Canadian startups, B2B-friendly</w:t>
            </w:r>
          </w:p>
        </w:tc>
        <w:tc>
          <w:tcPr>
            <w:tcW w:type="dxa" w:w="3160"/>
            <w:tcBorders>
              <w:top w:val="single" w:color="D0D0D0" w:sz="1"/>
              <w:left w:val="single" w:color="D0D0D0" w:sz="1"/>
              <w:bottom w:val="single" w:color="D0D0D0" w:sz="1"/>
              <w:right w:val="single" w:color="D0D0D0" w:sz="1"/>
            </w:tcBorders>
            <w:shd w:fill="FDF0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Understands Canadian market. Comfortable with slower SaaS. Interested in partner/B2B channels.</w:t>
            </w:r>
          </w:p>
        </w:tc>
      </w:tr>
      <w:tr>
        <w:tc>
          <w:tcPr>
            <w:tcW w:type="dxa" w:w="2200"/>
            <w:tcBorders>
              <w:top w:val="single" w:color="D0D0D0" w:sz="1"/>
              <w:left w:val="single" w:color="D0D0D0" w:sz="1"/>
              <w:bottom w:val="single" w:color="D0D0D0" w:sz="1"/>
              <w:right w:val="single" w:color="D0D0D0" w:sz="1"/>
            </w:tcBorders>
            <w:shd w:fill="F4EE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Apex Frontier</w:t>
            </w:r>
          </w:p>
        </w:tc>
        <w:tc>
          <w:tcPr>
            <w:tcW w:type="dxa" w:w="1800"/>
            <w:tcBorders>
              <w:top w:val="single" w:color="D0D0D0" w:sz="1"/>
              <w:left w:val="single" w:color="D0D0D0" w:sz="1"/>
              <w:bottom w:val="single" w:color="D0D0D0" w:sz="1"/>
              <w:right w:val="single" w:color="D0D0D0" w:sz="1"/>
            </w:tcBorders>
            <w:shd w:fill="F4EE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San Francisco</w:t>
            </w:r>
          </w:p>
        </w:tc>
        <w:tc>
          <w:tcPr>
            <w:tcW w:type="dxa" w:w="2200"/>
            <w:tcBorders>
              <w:top w:val="single" w:color="D0D0D0" w:sz="1"/>
              <w:left w:val="single" w:color="D0D0D0" w:sz="1"/>
              <w:bottom w:val="single" w:color="D0D0D0" w:sz="1"/>
              <w:right w:val="single" w:color="D0D0D0" w:sz="1"/>
            </w:tcBorders>
            <w:shd w:fill="F4EE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AI-native products, platform plays</w:t>
            </w:r>
          </w:p>
        </w:tc>
        <w:tc>
          <w:tcPr>
            <w:tcW w:type="dxa" w:w="3160"/>
            <w:tcBorders>
              <w:top w:val="single" w:color="D0D0D0" w:sz="1"/>
              <w:left w:val="single" w:color="D0D0D0" w:sz="1"/>
              <w:bottom w:val="single" w:color="D0D0D0" w:sz="1"/>
              <w:right w:val="single" w:color="D0D0D0" w:sz="1"/>
            </w:tcBorders>
            <w:shd w:fill="F4EE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Bets on AI features as the primary moat. Has revised position following avatar demotion.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1 OF 5 — MERIDIAN VENTURES  |  San Francisco, CA</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Updated Position Following Founder Corrections</w:t>
      </w:r>
    </w:p>
    <w:p>
      <w:pPr>
        <w:spacing w:after="80" w:before="80"/>
        <w:jc w:val="left"/>
      </w:pPr>
      <w:r>
        <w:rPr>
          <w:rFonts w:ascii="Arial" w:cs="Arial" w:eastAsia="Arial" w:hAnsi="Arial"/>
          <w:b w:val="false"/>
          <w:bCs w:val="false"/>
          <w:i w:val="false"/>
          <w:iCs w:val="false"/>
          <w:color w:val="2C2C2C"/>
          <w:sz w:val="20"/>
          <w:szCs w:val="20"/>
        </w:rPr>
        <w:t xml:space="preserve">The corrections submitted by the founder change our position slightly — from a firm pass to a watch list. We are not investing today. We will explain why, and we will explain what would change that.</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Changed</w:t>
      </w:r>
    </w:p>
    <w:p>
      <w:pPr>
        <w:pStyle w:val="ListParagraph"/>
        <w:numPr>
          <w:ilvl w:val="0"/>
          <w:numId w:val="2"/>
        </w:numPr>
        <w:spacing w:after="40" w:before="40"/>
      </w:pPr>
      <w:r>
        <w:rPr>
          <w:rFonts w:ascii="Arial" w:cs="Arial" w:eastAsia="Arial" w:hAnsi="Arial"/>
          <w:b w:val="false"/>
          <w:bCs w:val="false"/>
          <w:color w:val="2C2C2C"/>
          <w:sz w:val="20"/>
          <w:szCs w:val="20"/>
        </w:rPr>
        <w:t xml:space="preserve">Jordan Park's engagement as a development lead with 0-to-1 experience is the most meaningful update. The previous evaluation's primary structural concern — a single person building, selling, and launching a complex mobile application — is now partially addressed. "Partially" because an external dev lead is not the same as a co-founder with equity and personal financial stake in the outcome. But it is a real change.</w:t>
      </w:r>
    </w:p>
    <w:p>
      <w:pPr>
        <w:pStyle w:val="ListParagraph"/>
        <w:numPr>
          <w:ilvl w:val="0"/>
          <w:numId w:val="2"/>
        </w:numPr>
        <w:spacing w:after="40" w:before="40"/>
      </w:pPr>
      <w:r>
        <w:rPr>
          <w:rFonts w:ascii="Arial" w:cs="Arial" w:eastAsia="Arial" w:hAnsi="Arial"/>
          <w:b w:val="false"/>
          <w:bCs w:val="false"/>
          <w:color w:val="2C2C2C"/>
          <w:sz w:val="20"/>
          <w:szCs w:val="20"/>
        </w:rPr>
        <w:t xml:space="preserve">The 30-day App Store launch timeline is a firm signal. It forces a real evaluation window. If the product is live in 30 days and generates any paid users in the following 30 days, we are having a different conversation than we were having yesterday.</w:t>
      </w:r>
    </w:p>
    <w:p>
      <w:pPr>
        <w:pStyle w:val="ListParagraph"/>
        <w:numPr>
          <w:ilvl w:val="0"/>
          <w:numId w:val="2"/>
        </w:numPr>
        <w:spacing w:after="40" w:before="40"/>
      </w:pPr>
      <w:r>
        <w:rPr>
          <w:rFonts w:ascii="Arial" w:cs="Arial" w:eastAsia="Arial" w:hAnsi="Arial"/>
          <w:b w:val="false"/>
          <w:bCs w:val="false"/>
          <w:color w:val="2C2C2C"/>
          <w:sz w:val="20"/>
          <w:szCs w:val="20"/>
        </w:rPr>
        <w:t xml:space="preserve">The GTM plan (seniors homes, counselling networks, professional services) is the kind of focused, channel-specific distribution thinking that is almost always absent from consumer app pitches at this stage. The A-Team's involvement in strategy — specifically the clinical language and end-of-life UI/UX considerations — demonstrates that the founder understands they are selling to a psychologically sensitive audience, not a general consumer.</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Has Not Changed</w:t>
      </w:r>
    </w:p>
    <w:p>
      <w:pPr>
        <w:pStyle w:val="ListParagraph"/>
        <w:numPr>
          <w:ilvl w:val="0"/>
          <w:numId w:val="2"/>
        </w:numPr>
        <w:spacing w:after="40" w:before="40"/>
      </w:pPr>
      <w:r>
        <w:rPr>
          <w:rFonts w:ascii="Arial" w:cs="Arial" w:eastAsia="Arial" w:hAnsi="Arial"/>
          <w:b w:val="false"/>
          <w:bCs w:val="false"/>
          <w:color w:val="2C2C2C"/>
          <w:sz w:val="20"/>
          <w:szCs w:val="20"/>
        </w:rPr>
        <w:t xml:space="preserve">Revenue is still $0. The 30-day launch is a target, not a fact. In consumer apps, launch targets slip. In our portfolio, a 30-day target has a historical on-time rate of approximately 40%. We are not pricing in the launch as certain.</w:t>
      </w:r>
    </w:p>
    <w:p>
      <w:pPr>
        <w:pStyle w:val="ListParagraph"/>
        <w:numPr>
          <w:ilvl w:val="0"/>
          <w:numId w:val="2"/>
        </w:numPr>
        <w:spacing w:after="40" w:before="40"/>
      </w:pPr>
      <w:r>
        <w:rPr>
          <w:rFonts w:ascii="Arial" w:cs="Arial" w:eastAsia="Arial" w:hAnsi="Arial"/>
          <w:b w:val="false"/>
          <w:bCs w:val="false"/>
          <w:color w:val="2C2C2C"/>
          <w:sz w:val="20"/>
          <w:szCs w:val="20"/>
        </w:rPr>
        <w:t xml:space="preserve">$49/year ARPU remains too low for our fund model. At a 5x ARR exit multiple and a 20% stake, we need the company to reach $10M ARR to return $10M to our fund. At $49/year, that is 204,000 paying subscribers. The B2B stakeholder channel is the only credible path to that number at scale, and it is unproven.</w:t>
      </w:r>
    </w:p>
    <w:p>
      <w:pPr>
        <w:pStyle w:val="ListParagraph"/>
        <w:numPr>
          <w:ilvl w:val="0"/>
          <w:numId w:val="2"/>
        </w:numPr>
        <w:spacing w:after="40" w:before="40"/>
      </w:pPr>
      <w:r>
        <w:rPr>
          <w:rFonts w:ascii="Arial" w:cs="Arial" w:eastAsia="Arial" w:hAnsi="Arial"/>
          <w:b w:val="false"/>
          <w:bCs w:val="false"/>
          <w:color w:val="2C2C2C"/>
          <w:sz w:val="20"/>
          <w:szCs w:val="20"/>
        </w:rPr>
        <w:t xml:space="preserve">The Time Capsule as hero is cleaner positioning than the original pitch, but Storyworth has occupied this space since 2012. The founder needs to be able to answer the question "why not Storyworth?" in one sentence. The AI avatar as a secondary feature is a differentiator, but it is no longer the lead.</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Would Move Us to a BID</w:t>
      </w:r>
    </w:p>
    <w:p>
      <w:pPr>
        <w:spacing w:after="80" w:before="80"/>
        <w:jc w:val="left"/>
      </w:pPr>
      <w:r>
        <w:rPr>
          <w:rFonts w:ascii="Arial" w:cs="Arial" w:eastAsia="Arial" w:hAnsi="Arial"/>
          <w:b w:val="false"/>
          <w:bCs w:val="false"/>
          <w:i w:val="false"/>
          <w:iCs w:val="false"/>
          <w:color w:val="2C2C2C"/>
          <w:sz w:val="20"/>
          <w:szCs w:val="20"/>
        </w:rPr>
        <w:t xml:space="preserve">Sixty days from now: App Store live, 50 paying subscribers at any price point, one signed B2B agreement with a seniors home or counselling network. Those three data points transform this from a narrative to an evidence-based investment. We will be watching.</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Meridian Verdict</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CC220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PASS — WATCH LIST (re-evaluate at 60-day mark)</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The founder corrections represent genuine progress. They do not yet represent the evidence threshold Meridian requires to deploy capital. We are on record as watching this company. That is more than we said last time.</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27"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2 OF 5 — STONEGATE CAPITAL  |  New York, NY</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Updated Position Following Founder Corrections</w:t>
      </w:r>
    </w:p>
    <w:p>
      <w:pPr>
        <w:spacing w:after="80" w:before="80"/>
        <w:jc w:val="left"/>
      </w:pPr>
      <w:r>
        <w:rPr>
          <w:rFonts w:ascii="Arial" w:cs="Arial" w:eastAsia="Arial" w:hAnsi="Arial"/>
          <w:b w:val="false"/>
          <w:bCs w:val="false"/>
          <w:i w:val="false"/>
          <w:iCs w:val="false"/>
          <w:color w:val="2C2C2C"/>
          <w:sz w:val="20"/>
          <w:szCs w:val="20"/>
        </w:rPr>
        <w:t xml:space="preserve">Stonegate has revised its offer upward. The founder corrections address three of our four primary concerns directly. The fourth — revenue — is addressed by a credible 30-day timeline. We are increasing our offer and reducing our equity ask.</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How the Corrections Change the Evaluation</w:t>
      </w:r>
    </w:p>
    <w:p>
      <w:pPr>
        <w:pStyle w:val="ListParagraph"/>
        <w:numPr>
          <w:ilvl w:val="0"/>
          <w:numId w:val="2"/>
        </w:numPr>
        <w:spacing w:after="40" w:before="40"/>
      </w:pPr>
      <w:r>
        <w:rPr>
          <w:rFonts w:ascii="Arial" w:cs="Arial" w:eastAsia="Arial" w:hAnsi="Arial"/>
          <w:b w:val="false"/>
          <w:bCs w:val="false"/>
          <w:color w:val="2C2C2C"/>
          <w:sz w:val="20"/>
          <w:szCs w:val="20"/>
        </w:rPr>
        <w:t xml:space="preserve">The seniors homes and counselling network GTM is exactly the distribution channel we prescribed in our first evaluation. The fact that the founder already had this in the plan — and we were not aware of it — is itself a signal. When a founder has already thought of the thing you are about to recommend, that is a better signal than a founder who needs to be told. We adjust our assessment of execution capability upward.</w:t>
      </w:r>
    </w:p>
    <w:p>
      <w:pPr>
        <w:pStyle w:val="ListParagraph"/>
        <w:numPr>
          <w:ilvl w:val="0"/>
          <w:numId w:val="2"/>
        </w:numPr>
        <w:spacing w:after="40" w:before="40"/>
      </w:pPr>
      <w:r>
        <w:rPr>
          <w:rFonts w:ascii="Arial" w:cs="Arial" w:eastAsia="Arial" w:hAnsi="Arial"/>
          <w:b w:val="false"/>
          <w:bCs w:val="false"/>
          <w:color w:val="2C2C2C"/>
          <w:sz w:val="20"/>
          <w:szCs w:val="20"/>
        </w:rPr>
        <w:t xml:space="preserve">The A-Team's involvement in end-of-life UI/UX psychology and clinical language is a differentiator that no competitor in this space has disclosed. Storyworth has no clinical advisory. GoodTrust has no clinical advisory. A product designed with psychologists for users who are confronting their mortality is a fundamentally different product than a memory storage app with prettier branding. This is a moat that takes years to replicate.</w:t>
      </w:r>
    </w:p>
    <w:p>
      <w:pPr>
        <w:pStyle w:val="ListParagraph"/>
        <w:numPr>
          <w:ilvl w:val="0"/>
          <w:numId w:val="2"/>
        </w:numPr>
        <w:spacing w:after="40" w:before="40"/>
      </w:pPr>
      <w:r>
        <w:rPr>
          <w:rFonts w:ascii="Arial" w:cs="Arial" w:eastAsia="Arial" w:hAnsi="Arial"/>
          <w:b w:val="false"/>
          <w:bCs w:val="false"/>
          <w:color w:val="2C2C2C"/>
          <w:sz w:val="20"/>
          <w:szCs w:val="20"/>
        </w:rPr>
        <w:t xml:space="preserve">Jordan Park as development lead resolves the most immediate execution risk. The 30-day launch target is now credible in a way it was not when one person was responsible for building and launching a 23-screen application.</w:t>
      </w:r>
    </w:p>
    <w:p>
      <w:pPr>
        <w:pStyle w:val="ListParagraph"/>
        <w:numPr>
          <w:ilvl w:val="0"/>
          <w:numId w:val="2"/>
        </w:numPr>
        <w:spacing w:after="40" w:before="40"/>
      </w:pPr>
      <w:r>
        <w:rPr>
          <w:rFonts w:ascii="Arial" w:cs="Arial" w:eastAsia="Arial" w:hAnsi="Arial"/>
          <w:b w:val="false"/>
          <w:bCs w:val="false"/>
          <w:color w:val="2C2C2C"/>
          <w:sz w:val="20"/>
          <w:szCs w:val="20"/>
        </w:rPr>
        <w:t xml:space="preserve">The Time Capsule as hero simplifies the sales conversation with our target stakeholders. An estate lawyer explaining Solace Life to a client does not want to lead with "AI avatar of deceased persons." They want to lead with "your family will receive your voice on their wedding day." That is a clean, emotionally resonant, legally uncomplicated proposition.</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Remaining Concerns</w:t>
      </w:r>
    </w:p>
    <w:p>
      <w:pPr>
        <w:pStyle w:val="ListParagraph"/>
        <w:numPr>
          <w:ilvl w:val="0"/>
          <w:numId w:val="2"/>
        </w:numPr>
        <w:spacing w:after="40" w:before="40"/>
      </w:pPr>
      <w:r>
        <w:rPr>
          <w:rFonts w:ascii="Arial" w:cs="Arial" w:eastAsia="Arial" w:hAnsi="Arial"/>
          <w:b w:val="false"/>
          <w:bCs w:val="false"/>
          <w:color w:val="2C2C2C"/>
          <w:sz w:val="20"/>
          <w:szCs w:val="20"/>
        </w:rPr>
        <w:t xml:space="preserve">Pricing. $49/year is still too low for a B2B stakeholder channel to respect. A seniors home that endorses Solace Life to residents wants to offer something that feels premium and substantial. A $49 annual subscription feels like a Spotify plan. We would push the founder to test a $99/year price point with the professional referral channel specifically, even if the direct consumer price remains lower.</w:t>
      </w:r>
    </w:p>
    <w:p>
      <w:pPr>
        <w:pStyle w:val="ListParagraph"/>
        <w:numPr>
          <w:ilvl w:val="0"/>
          <w:numId w:val="2"/>
        </w:numPr>
        <w:spacing w:after="40" w:before="40"/>
      </w:pPr>
      <w:r>
        <w:rPr>
          <w:rFonts w:ascii="Arial" w:cs="Arial" w:eastAsia="Arial" w:hAnsi="Arial"/>
          <w:b w:val="false"/>
          <w:bCs w:val="false"/>
          <w:color w:val="2C2C2C"/>
          <w:sz w:val="20"/>
          <w:szCs w:val="20"/>
        </w:rPr>
        <w:t xml:space="preserve">The A-Team is advisory, not operational. We need to understand the depth of commitment — are these weekly engagements, or quarterly check-ins? An advisor who reviews copy once a month is not the same as an operator in the building.</w:t>
      </w:r>
    </w:p>
    <w:p>
      <w:pPr>
        <w:pStyle w:val="ListParagraph"/>
        <w:numPr>
          <w:ilvl w:val="0"/>
          <w:numId w:val="2"/>
        </w:numPr>
        <w:spacing w:after="40" w:before="40"/>
      </w:pPr>
      <w:r>
        <w:rPr>
          <w:rFonts w:ascii="Arial" w:cs="Arial" w:eastAsia="Arial" w:hAnsi="Arial"/>
          <w:b w:val="false"/>
          <w:bCs w:val="false"/>
          <w:color w:val="2C2C2C"/>
          <w:sz w:val="20"/>
          <w:szCs w:val="20"/>
        </w:rPr>
        <w:t xml:space="preserve">Android. The 55+ demographic in Canada skews Android, particularly outside major urban centres. An iOS-only launch leaves a segment of the target market inaccessible at launch.</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Stonegate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Criterion</w:t>
            </w:r>
          </w:p>
        </w:tc>
        <w:tc>
          <w:tcPr>
            <w:tcW w:type="dxa" w:w="18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Score</w:t>
            </w:r>
          </w:p>
        </w:tc>
        <w:tc>
          <w:tcPr>
            <w:tcW w:type="dxa" w:w="406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One-line verdict</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Market size / TAM</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Real, large, and underserved by technology</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Product differentiation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Clinical UX + time capsule + check-in system</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Revenue model</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Improved with B2B channel; ARPU still low</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Team depth</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Jordan Park + A-Team improves from ★★ to ★★★</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GTM plan quality</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Seniors homes + counselling = right channels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Technical execution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46 migrations, 15 edge functions; production-ready</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Traction / demand signal</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Still $0 revenue; launch in 30 days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Regulatory / ethical posture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Clinical language review noted; formal policy needed</w:t>
            </w:r>
          </w:p>
        </w:tc>
      </w:tr>
    </w:tbl>
    <w:p>
      <w:pPr>
        <w:spacing w:after="0" w:before="0" w:line="8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Stonegate Bid — Revised</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1A7A2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BID — $250,000 for 18% equity</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Post-money valuation: $1.39M. Revised from original $225K / 20% offer. Conditions: (1) App Store live within 30 days — we will verify; (2) First signed B2B stakeholder agreement (seniors home, counselling network, or professional services firm) within 90 days of close; (3) A-Team advisory engagement terms disclosed to Stonegate in writing before close; (4) Pricing strategy reviewed — founder presents a case for $99/year B2B referral pricing within 60 days. Capital use: 55% partner channel activation (seniors homes, counselling outreach), 30% product and engineering (Android roadmap, accessibility), 15% legal/compliance review.</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We came in skeptical about distribution. The founder already had the answer. We are increasing our offer because of it.</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3 OF 5 — BLACK RIVER PARTNERS  |  New York, NY</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Updated Position Following Founder Corrections</w:t>
      </w:r>
    </w:p>
    <w:p>
      <w:pPr>
        <w:spacing w:after="80" w:before="80"/>
        <w:jc w:val="left"/>
      </w:pPr>
      <w:r>
        <w:rPr>
          <w:rFonts w:ascii="Arial" w:cs="Arial" w:eastAsia="Arial" w:hAnsi="Arial"/>
          <w:b w:val="false"/>
          <w:bCs w:val="false"/>
          <w:i w:val="false"/>
          <w:iCs w:val="false"/>
          <w:color w:val="2C2C2C"/>
          <w:sz w:val="20"/>
          <w:szCs w:val="20"/>
        </w:rPr>
        <w:t xml:space="preserve">Black River evaluates corrections the same way we evaluate pitches: through numbers. The corrections submitted do not contain numbers. They contain plans. We distinguish between the two.</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the Corrections Are</w:t>
      </w:r>
    </w:p>
    <w:p>
      <w:pPr>
        <w:pStyle w:val="ListParagraph"/>
        <w:numPr>
          <w:ilvl w:val="0"/>
          <w:numId w:val="2"/>
        </w:numPr>
        <w:spacing w:after="40" w:before="40"/>
      </w:pPr>
      <w:r>
        <w:rPr>
          <w:rFonts w:ascii="Arial" w:cs="Arial" w:eastAsia="Arial" w:hAnsi="Arial"/>
          <w:b w:val="false"/>
          <w:bCs w:val="false"/>
          <w:color w:val="2C2C2C"/>
          <w:sz w:val="20"/>
          <w:szCs w:val="20"/>
        </w:rPr>
        <w:t xml:space="preserve">Jordan Park hired: one additional person on the team. Not quantified in terms of equity, contract terms, or committed hours. We note it without scoring it.</w:t>
      </w:r>
    </w:p>
    <w:p>
      <w:pPr>
        <w:pStyle w:val="ListParagraph"/>
        <w:numPr>
          <w:ilvl w:val="0"/>
          <w:numId w:val="2"/>
        </w:numPr>
        <w:spacing w:after="40" w:before="40"/>
      </w:pPr>
      <w:r>
        <w:rPr>
          <w:rFonts w:ascii="Arial" w:cs="Arial" w:eastAsia="Arial" w:hAnsi="Arial"/>
          <w:b w:val="false"/>
          <w:bCs w:val="false"/>
          <w:color w:val="2C2C2C"/>
          <w:sz w:val="20"/>
          <w:szCs w:val="20"/>
        </w:rPr>
        <w:t xml:space="preserve">App Store launch in 30 days: a stated intention, not a confirmed event. We have seen hundreds of "30-day launch" commitments in our portfolio history. The on-time rate is not high enough for us to price it as certain.</w:t>
      </w:r>
    </w:p>
    <w:p>
      <w:pPr>
        <w:pStyle w:val="ListParagraph"/>
        <w:numPr>
          <w:ilvl w:val="0"/>
          <w:numId w:val="2"/>
        </w:numPr>
        <w:spacing w:after="40" w:before="40"/>
      </w:pPr>
      <w:r>
        <w:rPr>
          <w:rFonts w:ascii="Arial" w:cs="Arial" w:eastAsia="Arial" w:hAnsi="Arial"/>
          <w:b w:val="false"/>
          <w:bCs w:val="false"/>
          <w:color w:val="2C2C2C"/>
          <w:sz w:val="20"/>
          <w:szCs w:val="20"/>
        </w:rPr>
        <w:t xml:space="preserve">Seniors homes and counselling GTM: a plan. Not a signed agreement, not a letter of intent, not a pilot. A plan.</w:t>
      </w:r>
    </w:p>
    <w:p>
      <w:pPr>
        <w:pStyle w:val="ListParagraph"/>
        <w:numPr>
          <w:ilvl w:val="0"/>
          <w:numId w:val="2"/>
        </w:numPr>
        <w:spacing w:after="40" w:before="40"/>
      </w:pPr>
      <w:r>
        <w:rPr>
          <w:rFonts w:ascii="Arial" w:cs="Arial" w:eastAsia="Arial" w:hAnsi="Arial"/>
          <w:b w:val="false"/>
          <w:bCs w:val="false"/>
          <w:color w:val="2C2C2C"/>
          <w:sz w:val="20"/>
          <w:szCs w:val="20"/>
        </w:rPr>
        <w:t xml:space="preserve">A-Team advisory: undisclosed identities, undisclosed engagement depth, undisclosed equity or compensation arrangements. We cannot evaluate what we cannot see.</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Would Change Our Position</w:t>
      </w:r>
    </w:p>
    <w:p>
      <w:pPr>
        <w:spacing w:after="80" w:before="80"/>
        <w:jc w:val="left"/>
      </w:pPr>
      <w:r>
        <w:rPr>
          <w:rFonts w:ascii="Arial" w:cs="Arial" w:eastAsia="Arial" w:hAnsi="Arial"/>
          <w:b w:val="false"/>
          <w:bCs w:val="false"/>
          <w:i w:val="false"/>
          <w:iCs w:val="false"/>
          <w:color w:val="2C2C2C"/>
          <w:sz w:val="20"/>
          <w:szCs w:val="20"/>
        </w:rPr>
        <w:t xml:space="preserve">The same things we said last time, now with a 30-day clock attached. Return with: the app live on the App Store, a minimum of 50 paying users, one signed B2B agreement with a named institution (seniors home or counselling network), and a 30-day retention rate for those users. Those are not aspirational metrics. They are the minimum dataset required to build a financial model.</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We acknowledge that the corrections represent genuine forward motion. We are not dismissing the company. We are maintaining our standard. The standard does not move for plans. It moves for data.</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Black River Verdict</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CC220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PASS — NO BID</w:t>
            </w:r>
          </w:p>
        </w:tc>
      </w:tr>
    </w:tbl>
    <w:p>
      <w:pPr>
        <w:spacing w:after="80" w:before="80"/>
        <w:jc w:val="left"/>
      </w:pPr>
      <w:r>
        <w:rPr>
          <w:rFonts w:ascii="Arial" w:cs="Arial" w:eastAsia="Arial" w:hAnsi="Arial"/>
          <w:b w:val="false"/>
          <w:bCs w:val="false"/>
          <w:i/>
          <w:iCs/>
          <w:color w:val="2C2C2C"/>
          <w:sz w:val="20"/>
          <w:szCs w:val="20"/>
        </w:rPr>
        <w:t xml:space="preserve">Set a calendar reminder for 60 days from App Store launch. Come back then. If the numbers are there, we move fast.</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4 OF 5 — NORTHERN ARCH CAPITAL  |  Toronto, ON</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Updated Position Following Founder Corrections</w:t>
      </w:r>
    </w:p>
    <w:p>
      <w:pPr>
        <w:spacing w:after="80" w:before="80"/>
        <w:jc w:val="left"/>
      </w:pPr>
      <w:r>
        <w:rPr>
          <w:rFonts w:ascii="Arial" w:cs="Arial" w:eastAsia="Arial" w:hAnsi="Arial"/>
          <w:b w:val="false"/>
          <w:bCs w:val="false"/>
          <w:i w:val="false"/>
          <w:iCs w:val="false"/>
          <w:color w:val="2C2C2C"/>
          <w:sz w:val="20"/>
          <w:szCs w:val="20"/>
        </w:rPr>
        <w:t xml:space="preserve">Northern Arch is revising our offer upward and our equity ask downward. These corrections are not cosmetic. They address the structural concerns that defined our original caution.</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Why the Corrections Matter More to Northern Arch Than to the Other Firms</w:t>
      </w:r>
    </w:p>
    <w:p>
      <w:pPr>
        <w:pStyle w:val="ListParagraph"/>
        <w:numPr>
          <w:ilvl w:val="0"/>
          <w:numId w:val="2"/>
        </w:numPr>
        <w:spacing w:after="40" w:before="40"/>
      </w:pPr>
      <w:r>
        <w:rPr>
          <w:rFonts w:ascii="Arial" w:cs="Arial" w:eastAsia="Arial" w:hAnsi="Arial"/>
          <w:b w:val="false"/>
          <w:bCs w:val="false"/>
          <w:color w:val="2C2C2C"/>
          <w:sz w:val="20"/>
          <w:szCs w:val="20"/>
        </w:rPr>
        <w:t xml:space="preserve">The seniors homes GTM is a Canadian-specific advantage. The largest operators — Chartwell, Sienna Senior Living, Extendicare — are all Canadian companies with national footprints. A B2B partnership with even one of those three gives Solace Life access to tens of thousands of residents across the country. No US-based VC on this panel understands that distribution channel the way we do. This is not a small detail.</w:t>
      </w:r>
    </w:p>
    <w:p>
      <w:pPr>
        <w:pStyle w:val="ListParagraph"/>
        <w:numPr>
          <w:ilvl w:val="0"/>
          <w:numId w:val="2"/>
        </w:numPr>
        <w:spacing w:after="40" w:before="40"/>
      </w:pPr>
      <w:r>
        <w:rPr>
          <w:rFonts w:ascii="Arial" w:cs="Arial" w:eastAsia="Arial" w:hAnsi="Arial"/>
          <w:b w:val="false"/>
          <w:bCs w:val="false"/>
          <w:color w:val="2C2C2C"/>
          <w:sz w:val="20"/>
          <w:szCs w:val="20"/>
        </w:rPr>
        <w:t xml:space="preserve">Counselling networks as a GTM channel is sophisticated thinking. The Canadian Association of Social Workers, provincial psychological associations, and grief counselling networks are organised, reachable, and serve exactly the population Solace Life targets. A professional who uses Solace Life in their practice will generate referrals that no digital ad spend can replicate. This is word-of-mouth at the professional level — the gold standard for the 55+ demographic.</w:t>
      </w:r>
    </w:p>
    <w:p>
      <w:pPr>
        <w:pStyle w:val="ListParagraph"/>
        <w:numPr>
          <w:ilvl w:val="0"/>
          <w:numId w:val="2"/>
        </w:numPr>
        <w:spacing w:after="40" w:before="40"/>
      </w:pPr>
      <w:r>
        <w:rPr>
          <w:rFonts w:ascii="Arial" w:cs="Arial" w:eastAsia="Arial" w:hAnsi="Arial"/>
          <w:b w:val="false"/>
          <w:bCs w:val="false"/>
          <w:color w:val="2C2C2C"/>
          <w:sz w:val="20"/>
          <w:szCs w:val="20"/>
        </w:rPr>
        <w:t xml:space="preserve">Jordan Park with 0-to-1 launch experience in a Canadian context is a meaningful hire. 0-to-1 app experience means the person has shipped something from scratch through the App Store review process. That is a specific and valuable skill set at exactly the moment Solace Life needs it.</w:t>
      </w:r>
    </w:p>
    <w:p>
      <w:pPr>
        <w:pStyle w:val="ListParagraph"/>
        <w:numPr>
          <w:ilvl w:val="0"/>
          <w:numId w:val="2"/>
        </w:numPr>
        <w:spacing w:after="40" w:before="40"/>
      </w:pPr>
      <w:r>
        <w:rPr>
          <w:rFonts w:ascii="Arial" w:cs="Arial" w:eastAsia="Arial" w:hAnsi="Arial"/>
          <w:b w:val="false"/>
          <w:bCs w:val="false"/>
          <w:color w:val="2C2C2C"/>
          <w:sz w:val="20"/>
          <w:szCs w:val="20"/>
        </w:rPr>
        <w:t xml:space="preserve">The A-Team's involvement in end-of-life UI/UX psychology is directly relevant to the Canadian regulatory environment. Health Canada and provincial health authorities will look more favourably on a product that can demonstrate clinical advisory involvement in its design. This is relevant if the founder pursues any government partnership or grant funding — which we would recommend.</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We Are Still Watching</w:t>
      </w:r>
    </w:p>
    <w:p>
      <w:pPr>
        <w:pStyle w:val="ListParagraph"/>
        <w:numPr>
          <w:ilvl w:val="0"/>
          <w:numId w:val="2"/>
        </w:numPr>
        <w:spacing w:after="40" w:before="40"/>
      </w:pPr>
      <w:r>
        <w:rPr>
          <w:rFonts w:ascii="Arial" w:cs="Arial" w:eastAsia="Arial" w:hAnsi="Arial"/>
          <w:b w:val="false"/>
          <w:bCs w:val="false"/>
          <w:color w:val="2C2C2C"/>
          <w:sz w:val="20"/>
          <w:szCs w:val="20"/>
        </w:rPr>
        <w:t xml:space="preserve">The 9-screen onboarding remains a concern for the 55+ user. Jordan Park should audit this before App Store submission. Every screen that can be removed should be removed. Three is the target. Five is acceptable. Nine is a risk.</w:t>
      </w:r>
    </w:p>
    <w:p>
      <w:pPr>
        <w:pStyle w:val="ListParagraph"/>
        <w:numPr>
          <w:ilvl w:val="0"/>
          <w:numId w:val="2"/>
        </w:numPr>
        <w:spacing w:after="40" w:before="40"/>
      </w:pPr>
      <w:r>
        <w:rPr>
          <w:rFonts w:ascii="Arial" w:cs="Arial" w:eastAsia="Arial" w:hAnsi="Arial"/>
          <w:b w:val="false"/>
          <w:bCs w:val="false"/>
          <w:color w:val="2C2C2C"/>
          <w:sz w:val="20"/>
          <w:szCs w:val="20"/>
        </w:rPr>
        <w:t xml:space="preserve">The feature scope is still wide. Time Capsule as hero is the right call and we support it. But the founder needs to make sure the marketing, the onboarding, and the App Store listing all reflect that single focus. A confused first impression does not get a second chance in the App Store.</w:t>
      </w:r>
    </w:p>
    <w:p>
      <w:pPr>
        <w:pStyle w:val="ListParagraph"/>
        <w:numPr>
          <w:ilvl w:val="0"/>
          <w:numId w:val="2"/>
        </w:numPr>
        <w:spacing w:after="40" w:before="40"/>
      </w:pPr>
      <w:r>
        <w:rPr>
          <w:rFonts w:ascii="Arial" w:cs="Arial" w:eastAsia="Arial" w:hAnsi="Arial"/>
          <w:b w:val="false"/>
          <w:bCs w:val="false"/>
          <w:color w:val="2C2C2C"/>
          <w:sz w:val="20"/>
          <w:szCs w:val="20"/>
        </w:rPr>
        <w:t xml:space="preserve">SR&amp;ED and IRAP filings: we reiterate our recommendation from the first evaluation. Non-dilutive funding is available and the founder should be pursuing it in parallel with this panel.</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Northern Arch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Criterion</w:t>
            </w:r>
          </w:p>
        </w:tc>
        <w:tc>
          <w:tcPr>
            <w:tcW w:type="dxa" w:w="18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Score</w:t>
            </w:r>
          </w:p>
        </w:tc>
        <w:tc>
          <w:tcPr>
            <w:tcW w:type="dxa" w:w="406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One-line verdict</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Canadian market fit</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Seniors home + counselling GTM is Canadian-optimised</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B2B channel clarity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Named channels identified; no signed agreements yet</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Team depth</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Jordan Park + A-Team = credible launch team</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Clinical / UX advisory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Rare for this category; regulatory and trust advantage</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Product focus</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Time Capsule as hero is right; execution must match</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Non-dilutive funding leverage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SR&amp;ED + IRAP remain unfiled; significant upside</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Onboarding conversion risk</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9 screens for 55+ users; not yet addressed</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Revenue / traction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$0 revenue; 30-day launch target noted</w:t>
            </w:r>
          </w:p>
        </w:tc>
      </w:tr>
    </w:tbl>
    <w:p>
      <w:pPr>
        <w:spacing w:after="0" w:before="0" w:line="8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Northern Arch Bid — Revised</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1A7A2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BID — $200,000 for 15% equity</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Post-money valuation: $1.33M. Revised from original $175K / 18% offer. The equity reduction reflects the improved team and GTM picture. Conditions: (1) App Store launch within 30 days — we will verify; (2) SR&amp;ED filing for current tax year initiated within 60 days of close; (3) Onboarding flow reduced to 5 screens maximum before App Store submission; (4) First B2B stakeholder outreach documented (call logs, emails, meeting notes) and shared with Northern Arch within 30 days of close. Capital use: 50% partner channel activation (seniors homes, counselling network outreach, first B2B BD hire), 30% product (onboarding simplification, accessibility, Android scoping), 20% legal and compliance.</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We are the most aligned firm at this table with where this company is and where it is going. We are not trying to change the product. We are trying to help the founder execute the plan they already have.</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5 OF 5 — APEX FRONTIER  |  San Francisco, CA</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Revised Position — Avatar Demotion Changes the Thesis</w:t>
      </w:r>
    </w:p>
    <w:p>
      <w:pPr>
        <w:spacing w:after="80" w:before="80"/>
        <w:jc w:val="left"/>
      </w:pPr>
      <w:r>
        <w:rPr>
          <w:rFonts w:ascii="Arial" w:cs="Arial" w:eastAsia="Arial" w:hAnsi="Arial"/>
          <w:b w:val="false"/>
          <w:bCs w:val="false"/>
          <w:i w:val="false"/>
          <w:iCs w:val="false"/>
          <w:color w:val="2C2C2C"/>
          <w:sz w:val="20"/>
          <w:szCs w:val="20"/>
        </w:rPr>
        <w:t xml:space="preserve">We will be direct. Our original bid was built on a specific thesis: the AI avatar as the primary product, the hero feature, the acquisition target. The founder has informed us that the avatar has been demoted. Time Capsule is the hero. We respect that decision. It changes our investment thesis.</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We Think of the Decision</w:t>
      </w:r>
    </w:p>
    <w:p>
      <w:pPr>
        <w:spacing w:after="80" w:before="80"/>
        <w:jc w:val="left"/>
      </w:pPr>
      <w:r>
        <w:rPr>
          <w:rFonts w:ascii="Arial" w:cs="Arial" w:eastAsia="Arial" w:hAnsi="Arial"/>
          <w:b w:val="false"/>
          <w:bCs w:val="false"/>
          <w:i w:val="false"/>
          <w:iCs w:val="false"/>
          <w:color w:val="2C2C2C"/>
          <w:sz w:val="20"/>
          <w:szCs w:val="20"/>
        </w:rPr>
        <w:t xml:space="preserve">It is the right call for consumer traction. It is a harder call for our fund thesis. Here is why both are true.</w:t>
      </w:r>
    </w:p>
    <w:p>
      <w:pPr>
        <w:spacing w:after="0" w:before="0" w:line="40"/>
      </w:pPr>
      <w:r>
        <w:rPr>
          <w:rFonts w:ascii="Arial" w:cs="Arial" w:eastAsia="Arial" w:hAnsi="Arial"/>
        </w:rPr>
        <w:t xml:space="preserve"/>
      </w:r>
    </w:p>
    <w:p>
      <w:pPr>
        <w:pStyle w:val="ListParagraph"/>
        <w:numPr>
          <w:ilvl w:val="0"/>
          <w:numId w:val="2"/>
        </w:numPr>
        <w:spacing w:after="40" w:before="40"/>
      </w:pPr>
      <w:r>
        <w:rPr>
          <w:rFonts w:ascii="Arial" w:cs="Arial" w:eastAsia="Arial" w:hAnsi="Arial"/>
          <w:b w:val="false"/>
          <w:bCs w:val="false"/>
          <w:color w:val="2C2C2C"/>
          <w:sz w:val="20"/>
          <w:szCs w:val="20"/>
        </w:rPr>
        <w:t xml:space="preserve">Time Capsule as hero is the correct go-to-market decision. It is instantly understood by any consumer. "Record a message for your daughter's wedding day" requires zero explanation. The AI avatar required two paragraphs. Stickiness begins with the feature a user can explain to their spouse in thirty seconds.</w:t>
      </w:r>
    </w:p>
    <w:p>
      <w:pPr>
        <w:pStyle w:val="ListParagraph"/>
        <w:numPr>
          <w:ilvl w:val="0"/>
          <w:numId w:val="2"/>
        </w:numPr>
        <w:spacing w:after="40" w:before="40"/>
      </w:pPr>
      <w:r>
        <w:rPr>
          <w:rFonts w:ascii="Arial" w:cs="Arial" w:eastAsia="Arial" w:hAnsi="Arial"/>
          <w:b w:val="false"/>
          <w:bCs w:val="false"/>
          <w:color w:val="2C2C2C"/>
          <w:sz w:val="20"/>
          <w:szCs w:val="20"/>
        </w:rPr>
        <w:t xml:space="preserve">However, Time Capsule as hero also places Solace Life in direct competition with Storyworth, which has been executing on this exact proposition since 2012 with tens of millions in backing and established App Store presence. Our original avatar-first thesis was attractive specifically because no competitor was there. Time Capsule-first means entering a fight that has already been running for fourteen years.</w:t>
      </w:r>
    </w:p>
    <w:p>
      <w:pPr>
        <w:pStyle w:val="ListParagraph"/>
        <w:numPr>
          <w:ilvl w:val="0"/>
          <w:numId w:val="2"/>
        </w:numPr>
        <w:spacing w:after="40" w:before="40"/>
      </w:pPr>
      <w:r>
        <w:rPr>
          <w:rFonts w:ascii="Arial" w:cs="Arial" w:eastAsia="Arial" w:hAnsi="Arial"/>
          <w:b w:val="false"/>
          <w:bCs w:val="false"/>
          <w:color w:val="2C2C2C"/>
          <w:sz w:val="20"/>
          <w:szCs w:val="20"/>
        </w:rPr>
        <w:t xml:space="preserve">The avatar as a secondary, premium feature may actually be the optimal architecture — not because we prefer it, but because it allows the founder to acquire users through the simpler proposition and then upsell them to the more emotionally profound feature when they are ready. That is a logical product ladder. It is also harder to execute and requires disciplined product restraint.</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Remains Compelling to Apex</w:t>
      </w:r>
    </w:p>
    <w:p>
      <w:pPr>
        <w:pStyle w:val="ListParagraph"/>
        <w:numPr>
          <w:ilvl w:val="0"/>
          <w:numId w:val="2"/>
        </w:numPr>
        <w:spacing w:after="40" w:before="40"/>
      </w:pPr>
      <w:r>
        <w:rPr>
          <w:rFonts w:ascii="Arial" w:cs="Arial" w:eastAsia="Arial" w:hAnsi="Arial"/>
          <w:b w:val="false"/>
          <w:bCs w:val="false"/>
          <w:color w:val="2C2C2C"/>
          <w:sz w:val="20"/>
          <w:szCs w:val="20"/>
        </w:rPr>
        <w:t xml:space="preserve">The avatar still exists. It is built. It is deployed. Even as a secondary feature, it is a data flywheel. Every user who records memories is generating training data that becomes more valuable as the vault grows. We are still interested in that asset, even in a supporting role.</w:t>
      </w:r>
    </w:p>
    <w:p>
      <w:pPr>
        <w:pStyle w:val="ListParagraph"/>
        <w:numPr>
          <w:ilvl w:val="0"/>
          <w:numId w:val="2"/>
        </w:numPr>
        <w:spacing w:after="40" w:before="40"/>
      </w:pPr>
      <w:r>
        <w:rPr>
          <w:rFonts w:ascii="Arial" w:cs="Arial" w:eastAsia="Arial" w:hAnsi="Arial"/>
          <w:b w:val="false"/>
          <w:bCs w:val="false"/>
          <w:color w:val="2C2C2C"/>
          <w:sz w:val="20"/>
          <w:szCs w:val="20"/>
        </w:rPr>
        <w:t xml:space="preserve">The stakeholder GTM (seniors homes, counselling networks) creates a professional distribution channel that could seed the avatar feature at a high conversion rate. A grief counsellor who uses Solace Life with a client is far more likely to introduce the avatar feature meaningfully than a cold digital ad.</w:t>
      </w:r>
    </w:p>
    <w:p>
      <w:pPr>
        <w:pStyle w:val="ListParagraph"/>
        <w:numPr>
          <w:ilvl w:val="0"/>
          <w:numId w:val="2"/>
        </w:numPr>
        <w:spacing w:after="40" w:before="40"/>
      </w:pPr>
      <w:r>
        <w:rPr>
          <w:rFonts w:ascii="Arial" w:cs="Arial" w:eastAsia="Arial" w:hAnsi="Arial"/>
          <w:b w:val="false"/>
          <w:bCs w:val="false"/>
          <w:color w:val="2C2C2C"/>
          <w:sz w:val="20"/>
          <w:szCs w:val="20"/>
        </w:rPr>
        <w:t xml:space="preserve">Jordan Park's engagement and the 30-day launch target change the time horizon of our investment from "theoretical" to "imminent." That matters for how we structure our offer.</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Apex Frontier Scorecard —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Criterion</w:t>
            </w:r>
          </w:p>
        </w:tc>
        <w:tc>
          <w:tcPr>
            <w:tcW w:type="dxa" w:w="18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Score</w:t>
            </w:r>
          </w:p>
        </w:tc>
        <w:tc>
          <w:tcPr>
            <w:tcW w:type="dxa" w:w="406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One-line verdict</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AI differentiation (current)</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Avatar demoted; remains a secondary asset</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Time Capsule competitive moat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Right call; Storyworth is an established competitor</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Acquisition potential</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Reduced from ★★★★ without avatar as hero</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Stakeholder GTM quality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Counselling + seniors = high-quality avatar upsell path</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Team / launch credibility</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Jordan Park + A-Team = credible 30-day target</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Product architecture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Time Capsule entry, avatar upsell = logical product ladder</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Pricing for AI tier</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No premium avatar tier defined; leaving revenue on table</w:t>
            </w:r>
          </w:p>
        </w:tc>
      </w:tr>
    </w:tbl>
    <w:p>
      <w:pPr>
        <w:spacing w:after="0" w:before="0" w:line="8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Apex Frontier Bid — Revised</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B8A00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BID — $275,000 for 22% equity (revised down from $350K / 25%)</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Post-money valuation: $1.25M. Our original bid was $350,000 at 25%. We are reducing the offer to reflect the change in thesis. The avatar demotion reduces our strategic excitement. The other corrections (Jordan Park, A-Team, GTM plan, launch timeline) increase our operational confidence. Net result: a revised but real offer.</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Conditions: (1) App Store live within 30 days; (2) A defined premium tier for the AI avatar is introduced within 90 days of launch — we are not asking for it to be re-elevated as the hero, we are asking for it to be monetised as a distinct feature rather than bundled into the base subscription; (3) Founder commits to sharing monthly retention and conversion data with Apex for the first 6 months post-launch. We want to watch the avatar uptake rate specifically. If it outperforms the base product on engagement, we reserve the right to re-open the avatar thesis in a future round.</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We came in with an avatar thesis. We are leaving with a product thesis. The company is better positioned than our first evaluation suggested. The avatar will find its level. We are willing to bet on the platform that contains it.</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CHAIRMAN'S SUMMARY — INDEPENDENT ASSESSMENT  |  v2 CORRECTED</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iCs/>
          <w:color w:val="6B6B6B"/>
          <w:sz w:val="20"/>
          <w:szCs w:val="20"/>
        </w:rPr>
        <w:t xml:space="preserve">The following is presented without advocacy for any firm. I have no financial interest in Solace Life or in any of the five participating firms. This summary reflects the corrected facts as submitted by the founder.</w:t>
      </w:r>
    </w:p>
    <w:p>
      <w:pPr>
        <w:spacing w:after="0" w:before="0" w:line="8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The Bids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400"/>
        <w:gridCol w:w="1400"/>
        <w:gridCol w:w="2400"/>
      </w:tblGrid>
      <w:tr>
        <w:tc>
          <w:tcPr>
            <w:tcW w:type="dxa" w:w="26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9"/>
                <w:szCs w:val="19"/>
              </w:rPr>
              <w:t xml:space="preserve">Firm</w:t>
            </w:r>
          </w:p>
        </w:tc>
        <w:tc>
          <w:tcPr>
            <w:tcW w:type="dxa" w:w="156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Offer</w:t>
            </w:r>
          </w:p>
        </w:tc>
        <w:tc>
          <w:tcPr>
            <w:tcW w:type="dxa" w:w="14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Equity Ask</w:t>
            </w:r>
          </w:p>
        </w:tc>
        <w:tc>
          <w:tcPr>
            <w:tcW w:type="dxa" w:w="14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Implied Val.</w:t>
            </w:r>
          </w:p>
        </w:tc>
        <w:tc>
          <w:tcPr>
            <w:tcW w:type="dxa" w:w="24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9"/>
                <w:szCs w:val="19"/>
              </w:rPr>
              <w:t xml:space="preserve">Verdict</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Meridian Ventures</w:t>
            </w:r>
          </w:p>
        </w:tc>
        <w:tc>
          <w:tcPr>
            <w:tcW w:type="dxa" w:w="1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CC2200"/>
                <w:sz w:val="19"/>
                <w:szCs w:val="19"/>
              </w:rPr>
              <w:t xml:space="preserve">PASS (watch list)</w:t>
            </w:r>
          </w:p>
        </w:tc>
      </w:tr>
      <w:tr>
        <w:tc>
          <w:tcPr>
            <w:tcW w:type="dxa" w:w="260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Stonegate Capital</w:t>
            </w:r>
          </w:p>
        </w:tc>
        <w:tc>
          <w:tcPr>
            <w:tcW w:type="dxa" w:w="156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center"/>
            </w:pPr>
            <w:r>
              <w:rPr>
                <w:rFonts w:ascii="Arial" w:cs="Arial" w:eastAsia="Arial" w:hAnsi="Arial"/>
                <w:b/>
                <w:bCs/>
                <w:color w:val="2C2C2C"/>
                <w:sz w:val="19"/>
                <w:szCs w:val="19"/>
              </w:rPr>
              <w:t xml:space="preserve">$250,000</w:t>
            </w:r>
          </w:p>
        </w:tc>
        <w:tc>
          <w:tcPr>
            <w:tcW w:type="dxa" w:w="140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18%</w:t>
            </w:r>
          </w:p>
        </w:tc>
        <w:tc>
          <w:tcPr>
            <w:tcW w:type="dxa" w:w="140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$1.39M</w:t>
            </w:r>
          </w:p>
        </w:tc>
        <w:tc>
          <w:tcPr>
            <w:tcW w:type="dxa" w:w="240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left"/>
            </w:pPr>
            <w:r>
              <w:rPr>
                <w:rFonts w:ascii="Arial" w:cs="Arial" w:eastAsia="Arial" w:hAnsi="Arial"/>
                <w:b/>
                <w:bCs/>
                <w:color w:val="1A7A2E"/>
                <w:sz w:val="19"/>
                <w:szCs w:val="19"/>
              </w:rPr>
              <w:t xml:space="preserve">BID</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Black River Partners</w:t>
            </w:r>
          </w:p>
        </w:tc>
        <w:tc>
          <w:tcPr>
            <w:tcW w:type="dxa" w:w="1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CC2200"/>
                <w:sz w:val="19"/>
                <w:szCs w:val="19"/>
              </w:rPr>
              <w:t xml:space="preserve">PASS</w:t>
            </w:r>
          </w:p>
        </w:tc>
      </w:tr>
      <w:tr>
        <w:tc>
          <w:tcPr>
            <w:tcW w:type="dxa" w:w="260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Northern Arch Capital</w:t>
            </w:r>
          </w:p>
        </w:tc>
        <w:tc>
          <w:tcPr>
            <w:tcW w:type="dxa" w:w="156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center"/>
            </w:pPr>
            <w:r>
              <w:rPr>
                <w:rFonts w:ascii="Arial" w:cs="Arial" w:eastAsia="Arial" w:hAnsi="Arial"/>
                <w:b/>
                <w:bCs/>
                <w:color w:val="2C2C2C"/>
                <w:sz w:val="19"/>
                <w:szCs w:val="19"/>
              </w:rPr>
              <w:t xml:space="preserve">$200,000</w:t>
            </w:r>
          </w:p>
        </w:tc>
        <w:tc>
          <w:tcPr>
            <w:tcW w:type="dxa" w:w="140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15%</w:t>
            </w:r>
          </w:p>
        </w:tc>
        <w:tc>
          <w:tcPr>
            <w:tcW w:type="dxa" w:w="140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$1.33M</w:t>
            </w:r>
          </w:p>
        </w:tc>
        <w:tc>
          <w:tcPr>
            <w:tcW w:type="dxa" w:w="240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left"/>
            </w:pPr>
            <w:r>
              <w:rPr>
                <w:rFonts w:ascii="Arial" w:cs="Arial" w:eastAsia="Arial" w:hAnsi="Arial"/>
                <w:b/>
                <w:bCs/>
                <w:color w:val="1A7A2E"/>
                <w:sz w:val="19"/>
                <w:szCs w:val="19"/>
              </w:rPr>
              <w:t xml:space="preserve">BID</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Apex Frontier</w:t>
            </w:r>
          </w:p>
        </w:tc>
        <w:tc>
          <w:tcPr>
            <w:tcW w:type="dxa" w:w="15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bCs/>
                <w:color w:val="2C2C2C"/>
                <w:sz w:val="19"/>
                <w:szCs w:val="19"/>
              </w:rPr>
              <w:t xml:space="preserve">$275,000</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22%</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$1.25M</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B8860B"/>
                <w:sz w:val="19"/>
                <w:szCs w:val="19"/>
              </w:rPr>
              <w:t xml:space="preserve">BID (revised)</w:t>
            </w:r>
          </w:p>
        </w:tc>
      </w:tr>
    </w:tbl>
    <w:p>
      <w:pPr>
        <w:spacing w:after="0" w:before="0" w:line="12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How the Corrections Changed the Room</w:t>
      </w:r>
    </w:p>
    <w:p>
      <w:pPr>
        <w:spacing w:after="80" w:before="80"/>
        <w:jc w:val="left"/>
      </w:pPr>
      <w:r>
        <w:rPr>
          <w:rFonts w:ascii="Arial" w:cs="Arial" w:eastAsia="Arial" w:hAnsi="Arial"/>
          <w:b w:val="false"/>
          <w:bCs w:val="false"/>
          <w:i w:val="false"/>
          <w:iCs w:val="false"/>
          <w:color w:val="2C2C2C"/>
          <w:sz w:val="20"/>
          <w:szCs w:val="20"/>
        </w:rPr>
        <w:t xml:space="preserve">The first evaluation produced two bids and three passes. The corrected evaluation produces three bids and two passes. Meridian moved from firm pass to watch list. Northern Arch increased its offer and reduced its equity ask. Stonegate increased its offer and reduced its equity ask. Black River held its position. Apex reduced its offer to reflect the avatar demotion but remained in the room. That is a meaningful shift caused by meaningful corrections.</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The single correction with the broadest impact across all five firms was not the one about Jordan Park, or the App Store timeline, or the A-Team. It was the GTM plan. Every firm that bid or moved toward a bid did so because the founder already had a credible, specific, channel-based distribution plan that targets the right professional gatekeepers. That is rare. Most consumer app founders cannot name the three specific organisations they intend to partner with in the first 90 days. This founder can. That changes the conversation.</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What the Panel Still Agrees On</w:t>
      </w:r>
    </w:p>
    <w:p>
      <w:pPr>
        <w:pStyle w:val="ListParagraph"/>
        <w:numPr>
          <w:ilvl w:val="0"/>
          <w:numId w:val="2"/>
        </w:numPr>
        <w:spacing w:after="40" w:before="40"/>
      </w:pPr>
      <w:r>
        <w:rPr>
          <w:rFonts w:ascii="Arial" w:cs="Arial" w:eastAsia="Arial" w:hAnsi="Arial"/>
          <w:b w:val="false"/>
          <w:bCs w:val="false"/>
          <w:color w:val="2C2C2C"/>
          <w:sz w:val="20"/>
          <w:szCs w:val="20"/>
        </w:rPr>
        <w:t xml:space="preserve">Revenue is zero. All five firms noted it. The 30-day launch target is credible but not bankable. The founder must treat the launch date as a hard deadline, not a working target. Slippage here affects all three offers.</w:t>
      </w:r>
    </w:p>
    <w:p>
      <w:pPr>
        <w:pStyle w:val="ListParagraph"/>
        <w:numPr>
          <w:ilvl w:val="0"/>
          <w:numId w:val="2"/>
        </w:numPr>
        <w:spacing w:after="40" w:before="40"/>
      </w:pPr>
      <w:r>
        <w:rPr>
          <w:rFonts w:ascii="Arial" w:cs="Arial" w:eastAsia="Arial" w:hAnsi="Arial"/>
          <w:b w:val="false"/>
          <w:bCs w:val="false"/>
          <w:color w:val="2C2C2C"/>
          <w:sz w:val="20"/>
          <w:szCs w:val="20"/>
        </w:rPr>
        <w:t xml:space="preserve">The $49/year price point remains the most debated number in the room. Stonegate has recommended testing $99/year on the B2B referral channel. Apex wants a defined premium avatar tier. Northern Arch wants the pricing simplified to two clear options. None of them are satisfied with $49/year as the primary revenue line.</w:t>
      </w:r>
    </w:p>
    <w:p>
      <w:pPr>
        <w:pStyle w:val="ListParagraph"/>
        <w:numPr>
          <w:ilvl w:val="0"/>
          <w:numId w:val="2"/>
        </w:numPr>
        <w:spacing w:after="40" w:before="40"/>
      </w:pPr>
      <w:r>
        <w:rPr>
          <w:rFonts w:ascii="Arial" w:cs="Arial" w:eastAsia="Arial" w:hAnsi="Arial"/>
          <w:b w:val="false"/>
          <w:bCs w:val="false"/>
          <w:color w:val="2C2C2C"/>
          <w:sz w:val="20"/>
          <w:szCs w:val="20"/>
        </w:rPr>
        <w:t xml:space="preserve">Android is an unaddressed gap. The 55+ demographic, particularly outside of major Canadian cities, skews Android. An iOS-only launch is a strategic constraint that should be scheduled for resolution within 6 months of launch.</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The Three Offers — A Factual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
            </w:r>
          </w:p>
        </w:tc>
        <w:tc>
          <w:tcPr>
            <w:tcW w:type="dxa" w:w="2320"/>
            <w:tcBorders>
              <w:top w:val="single" w:color="D0D0D0" w:sz="1"/>
              <w:left w:val="single" w:color="D0D0D0" w:sz="1"/>
              <w:bottom w:val="single" w:color="D0D0D0" w:sz="1"/>
              <w:right w:val="single" w:color="D0D0D0" w:sz="1"/>
            </w:tcBorders>
            <w:shd w:fill="2D5A2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Stonegate Capital</w:t>
            </w:r>
          </w:p>
        </w:tc>
        <w:tc>
          <w:tcPr>
            <w:tcW w:type="dxa" w:w="2320"/>
            <w:tcBorders>
              <w:top w:val="single" w:color="D0D0D0" w:sz="1"/>
              <w:left w:val="single" w:color="D0D0D0" w:sz="1"/>
              <w:bottom w:val="single" w:color="D0D0D0" w:sz="1"/>
              <w:right w:val="single" w:color="D0D0D0" w:sz="1"/>
            </w:tcBorders>
            <w:shd w:fill="8B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Northern Arch</w:t>
            </w:r>
          </w:p>
        </w:tc>
        <w:tc>
          <w:tcPr>
            <w:tcW w:type="dxa" w:w="2320"/>
            <w:tcBorders>
              <w:top w:val="single" w:color="D0D0D0" w:sz="1"/>
              <w:left w:val="single" w:color="D0D0D0" w:sz="1"/>
              <w:bottom w:val="single" w:color="D0D0D0" w:sz="1"/>
              <w:right w:val="single" w:color="D0D0D0" w:sz="1"/>
            </w:tcBorders>
            <w:shd w:fill="4B008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Apex Frontier</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2C2C2C"/>
                <w:sz w:val="20"/>
                <w:szCs w:val="20"/>
              </w:rPr>
              <w:t xml:space="preserve">Offer</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bCs/>
                <w:color w:val="2C2C2C"/>
                <w:sz w:val="20"/>
                <w:szCs w:val="20"/>
              </w:rPr>
              <w:t xml:space="preserve">$250,000</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bCs/>
                <w:color w:val="2C2C2C"/>
                <w:sz w:val="20"/>
                <w:szCs w:val="20"/>
              </w:rPr>
              <w:t xml:space="preserve">$200,000</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bCs/>
                <w:color w:val="2C2C2C"/>
                <w:sz w:val="20"/>
                <w:szCs w:val="20"/>
              </w:rPr>
              <w:t xml:space="preserve">$275,000</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2C2C2C"/>
                <w:sz w:val="20"/>
                <w:szCs w:val="20"/>
              </w:rPr>
              <w:t xml:space="preserve">Equity ask</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20"/>
                <w:szCs w:val="20"/>
              </w:rPr>
              <w:t xml:space="preserve">18%</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20"/>
                <w:szCs w:val="20"/>
              </w:rPr>
              <w:t xml:space="preserve">15%</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20"/>
                <w:szCs w:val="20"/>
              </w:rPr>
              <w:t xml:space="preserve">22%</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2C2C2C"/>
                <w:sz w:val="20"/>
                <w:szCs w:val="20"/>
              </w:rPr>
              <w:t xml:space="preserve">Implied valuation</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20"/>
                <w:szCs w:val="20"/>
              </w:rPr>
              <w:t xml:space="preserve">$1.39M</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20"/>
                <w:szCs w:val="20"/>
              </w:rPr>
              <w:t xml:space="preserve">$1.33M</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20"/>
                <w:szCs w:val="20"/>
              </w:rPr>
              <w:t xml:space="preserve">$1.25M</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2C2C2C"/>
                <w:sz w:val="20"/>
                <w:szCs w:val="20"/>
              </w:rPr>
              <w:t xml:space="preserve">Primary thesis</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Aging market + B2B distribution</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Canadian market dominance + government funding</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AI platform play + acquisition target</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2C2C2C"/>
                <w:sz w:val="20"/>
                <w:szCs w:val="20"/>
              </w:rPr>
              <w:t xml:space="preserve">Highest-equity scenario</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Condition-dependent; 18% fixed</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15% fixed</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22%; rises to 25% if conditions missed</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2C2C2C"/>
                <w:sz w:val="20"/>
                <w:szCs w:val="20"/>
              </w:rPr>
              <w:t xml:space="preserve">Key hard condition</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First B2B signed within 90 days</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Onboarding to 5 screens before launch</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Premium avatar tier live within 90 days</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2C2C2C"/>
                <w:sz w:val="20"/>
                <w:szCs w:val="20"/>
              </w:rPr>
              <w:t xml:space="preserve">Strategic value beyond capital</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Longevity network; clinical credibility</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Canadian VC network; SR&amp;ED guidance; B2B BD</w:t>
            </w:r>
          </w:p>
        </w:tc>
        <w:tc>
          <w:tcPr>
            <w:tcW w:type="dxa" w:w="232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AI ecosystem; acquisition introductions</w:t>
            </w:r>
          </w:p>
        </w:tc>
      </w:tr>
    </w:tbl>
    <w:p>
      <w:pPr>
        <w:spacing w:after="0" w:before="0" w:line="12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Chairman's Observation</w:t>
      </w:r>
    </w:p>
    <w:p>
      <w:pPr>
        <w:pBdr>
          <w:bottom w:val="single" w:color="B8860B" w:sz="4" w:space="1"/>
        </w:pBdr>
        <w:spacing w:after="0" w:before="0"/>
      </w:pPr>
      <w:r>
        <w:rPr>
          <w:rFonts w:ascii="Arial" w:cs="Arial" w:eastAsia="Arial" w:hAnsi="Arial"/>
        </w:rPr>
        <w:t xml:space="preserve"/>
      </w:r>
    </w:p>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The best offer on paper is Apex at $275,000. It comes with the highest equity dilution and the most conditional structure, including a ratchet that can push equity to 25% if milestones are missed. The most aligned offer with where the company is today is Northern Arch at $200,000 / 15% — the most founder-friendly terms, the most realistic conditions, and a partner who understands the specific market the company is entering.</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Stonegate at $250,000 / 18% is the middle path: more capital than Northern Arch, more realistic than Apex, and with a thesis that aligns with the longevity and clinical positioning that the A-Team has already validated. Stonegate also has the network — institutional longevity contacts, aging-tech portfolio companies, and clinical partnerships — that could accelerate the professional services GTM beyond what the founder can access alone.</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One observation for the founder that the panel did not raise: all three offers together total $725,000. The founder does not have to choose one. A structured seed round with two of the three firms — for example, Northern Arch leading at $200,000 and Stonegate co-investing at $200,000 for a combined $400,000 at a negotiated blended equity of approximately 27-28% — is a realistic structure. It gives the founder more capital, more diverse networks, and the ability to avoid the ratchet risk in the Apex offer. This is not advice. It is a factual observation about what is available.</w:t>
      </w:r>
    </w:p>
    <w:p>
      <w:pPr>
        <w:spacing w:after="0" w:before="0" w:line="80"/>
      </w:pPr>
      <w:r>
        <w:rPr>
          <w:rFonts w:ascii="Arial" w:cs="Arial" w:eastAsia="Arial" w:hAnsi="Arial"/>
        </w:rPr>
        <w:t xml:space="preserve"/>
      </w:r>
    </w:p>
    <w:p>
      <w:pPr>
        <w:pBdr>
          <w:bottom w:val="single" w:color="B8860B" w:sz="4" w:space="1"/>
        </w:pBdr>
        <w:spacing w:after="0" w:before="0"/>
      </w:pPr>
      <w:r>
        <w:rPr>
          <w:rFonts w:ascii="Arial" w:cs="Arial" w:eastAsia="Arial" w:hAnsi="Arial"/>
        </w:rPr>
        <w:t xml:space="preserve"/>
      </w:r>
    </w:p>
    <w:p>
      <w:pPr>
        <w:spacing w:after="0" w:before="0" w:line="80"/>
      </w:pPr>
      <w:r>
        <w:rPr>
          <w:rFonts w:ascii="Arial" w:cs="Arial" w:eastAsia="Arial" w:hAnsi="Arial"/>
        </w:rPr>
        <w:t xml:space="preserve"/>
      </w:r>
    </w:p>
    <w:p>
      <w:pPr>
        <w:spacing w:after="0" w:before="0"/>
        <w:jc w:val="center"/>
      </w:pPr>
      <w:r>
        <w:rPr>
          <w:rFonts w:ascii="Arial" w:cs="Arial" w:eastAsia="Arial" w:hAnsi="Arial"/>
          <w:i/>
          <w:iCs/>
          <w:color w:val="6B6B6B"/>
          <w:sz w:val="18"/>
          <w:szCs w:val="18"/>
        </w:rPr>
        <w:t xml:space="preserve">End of Panel Evaluation  —  Solace Life  —  May 2026  —  v2 Corrected</w:t>
      </w:r>
    </w:p>
    <w:p>
      <w:pPr>
        <w:spacing w:after="0" w:before="0" w:line="40"/>
      </w:pPr>
      <w:r>
        <w:rPr>
          <w:rFonts w:ascii="Arial" w:cs="Arial" w:eastAsia="Arial" w:hAnsi="Arial"/>
        </w:rPr>
        <w:t xml:space="preserve"/>
      </w:r>
    </w:p>
    <w:p>
      <w:pPr>
        <w:spacing w:after="0" w:before="0"/>
        <w:jc w:val="center"/>
      </w:pPr>
      <w:r>
        <w:rPr>
          <w:rFonts w:ascii="Arial" w:cs="Arial" w:eastAsia="Arial" w:hAnsi="Arial"/>
          <w:color w:val="D0D0D0"/>
          <w:sz w:val="16"/>
          <w:szCs w:val="16"/>
        </w:rPr>
        <w:t xml:space="preserve">This document was produced as an independent assessment. It contains no guarantees, no financial advice, and no endorsement of any participating firm.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jc w:val="center"/>
    </w:pP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of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1"/>
      </w:pBdr>
      <w:spacing w:after="0"/>
      <w:jc w:val="right"/>
    </w:pPr>
    <w:r>
      <w:rPr>
        <w:rFonts w:ascii="Arial" w:cs="Arial" w:eastAsia="Arial" w:hAnsi="Arial"/>
        <w:color w:val="6B6B6B"/>
        <w:sz w:val="16"/>
        <w:szCs w:val="16"/>
      </w:rPr>
      <w:t xml:space="preserve">CONFIDENTIAL — Solace Life VC Panel Evaluation  |  May 2026  |  v2 (Corrected)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2C2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2026-05-28T18:20:50.944Z</dcterms:created>
  <dcterms:modified xsi:type="dcterms:W3CDTF">2026-05-28T18:20:50.947Z</dcterms:modified>
</cp:coreProperties>
</file>

<file path=docProps/custom.xml><?xml version="1.0" encoding="utf-8"?>
<Properties xmlns="http://schemas.openxmlformats.org/officeDocument/2006/custom-properties" xmlns:vt="http://schemas.openxmlformats.org/officeDocument/2006/docPropsVTypes"/>
</file>