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8"/>
          <w:szCs w:val="48"/>
        </w:rPr>
        <w:t xml:space="preserve">SOLACE LIFE</w:t>
      </w:r>
    </w:p>
    <w:p>
      <w:pPr>
        <w:spacing w:after="60"/>
        <w:jc w:val="center"/>
      </w:pPr>
      <w:r>
        <w:rPr>
          <w:sz w:val="30"/>
          <w:szCs w:val="30"/>
        </w:rPr>
        <w:t xml:space="preserve">Independent Venture Capital Panel Evaluation</w:t>
      </w:r>
    </w:p>
    <w:p>
      <w:pPr>
        <w:spacing w:after="60"/>
        <w:jc w:val="center"/>
      </w:pPr>
      <w:r>
        <w:rPr>
          <w:b/>
          <w:bCs/>
          <w:color w:val="7A3448"/>
          <w:sz w:val="26"/>
          <w:szCs w:val="26"/>
        </w:rPr>
        <w:t xml:space="preserve">v3 — TestFlight &amp; Pricing Update</w:t>
      </w:r>
    </w:p>
    <w:p>
      <w:pPr>
        <w:spacing w:after="240"/>
        <w:jc w:val="center"/>
      </w:pPr>
      <w:r>
        <w:rPr>
          <w:i/>
          <w:iCs/>
        </w:rPr>
        <w:t xml:space="preserve">Five Competing Firms. No Affiliations. No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FE3E8" w:val="clear"/>
            <w:tcMar>
              <w:top w:type="dxa" w:w="80"/>
              <w:left w:type="dxa" w:w="120"/>
              <w:bottom w:type="dxa" w:w="80"/>
              <w:right w:type="dxa" w:w="120"/>
            </w:tcMar>
          </w:tcPr>
          <w:p>
            <w:pPr>
              <w:spacing w:after="0"/>
            </w:pPr>
            <w:r>
              <w:rPr>
                <w:b/>
                <w:bCs/>
              </w:rPr>
              <w:t xml:space="preserve">Panel date</w:t>
            </w:r>
          </w:p>
        </w:tc>
        <w:tc>
          <w:tcPr>
            <w:tcW w:type="dxa" w:w="6560"/>
            <w:tcBorders>
              <w:top w:val="single" w:color="CCCCCC" w:sz="1"/>
              <w:left w:val="single" w:color="CCCCCC" w:sz="1"/>
              <w:bottom w:val="single" w:color="CCCCCC" w:sz="1"/>
              <w:right w:val="single" w:color="CCCCCC" w:sz="1"/>
            </w:tcBorders>
            <w:shd w:fill="EFE3E8" w:val="clear"/>
            <w:tcMar>
              <w:top w:type="dxa" w:w="80"/>
              <w:left w:type="dxa" w:w="120"/>
              <w:bottom w:type="dxa" w:w="80"/>
              <w:right w:type="dxa" w:w="120"/>
            </w:tcMar>
          </w:tcPr>
          <w:p>
            <w:pPr>
              <w:spacing w:after="0"/>
            </w:pPr>
            <w:r>
              <w:rPr>
                <w:b/>
                <w:bCs/>
              </w:rPr>
              <w:t xml:space="preserve">June 2026 (v1 + v2: May 2026)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Company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Solace Life (solacelife.ca)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Founder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Sokha Eang — Vancouver, BC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Development Lead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Jordan Park — App developer, 0-to-1 specialist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Advisory team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A-Team: billing strategy, end-of-life UI/UX psychology, clinical language, estate-liability review (expanded since v2)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Stage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LIVE ON TESTFLIGHT — build submitted to App Store Connect; Beta App Review in progress; 10-senior beta cohort staged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Pricing model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$99 USD/year while living → no-cost legacy mode after confirmed passing ("25+ years guaranteed, export anytime"). Optional one-time lifetime tier ($399–499) under evaluation.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Hero feature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Time Capsule (scheduled future delivery to family)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Category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Legacy tech / End-of-life planning / AI-assisted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Chairman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Independent — no financial interest</w:t>
            </w:r>
          </w:p>
        </w:tc>
      </w:tr>
    </w:tbl>
    <w:p>
      <w:pPr>
        <w:spacing w:after="160"/>
      </w:pPr>
      <w:r>
        <w:t xml:space="preserve"/>
      </w:r>
    </w:p>
    <w:p>
      <w:pPr>
        <w:spacing w:after="120"/>
      </w:pPr>
      <w:r>
        <w:rPr>
          <w:i/>
          <w:iCs/>
        </w:rPr>
        <w:t xml:space="preserve">This document contains no promotional content, no sentiment, and no encouragement. It is a factual assessment of a real product by five independent investor archetypes. Bids and verdicts are simulated based on information observed in the codebase, TestFlight submission record, and feature set as of the evaluation date. v3 incorporates material developments since the v2 corrected panel of May 2026.</w:t>
      </w:r>
    </w:p>
    <w:p>
      <w:pPr>
        <w:pageBreakBefore/>
        <w:spacing w:after="160"/>
      </w:pPr>
      <w:r>
        <w:rPr>
          <w:b/>
          <w:bCs/>
          <w:sz w:val="28"/>
          <w:szCs w:val="28"/>
        </w:rPr>
        <w:t xml:space="preserve">FOUNDER UPDATES — APPLIED TO v3</w:t>
      </w:r>
    </w:p>
    <w:p>
      <w:pPr>
        <w:spacing w:after="120"/>
      </w:pPr>
      <w:r>
        <w:t xml:space="preserve">The following material developments occurred between the v2 panel and this evaluation. Each has been verified against the submission record and codebase, and applied throughout all five firm evaluations and the chairman’s summary.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EFE3E8" w:val="clear"/>
            <w:tcMar>
              <w:top w:type="dxa" w:w="80"/>
              <w:left w:type="dxa" w:w="120"/>
              <w:bottom w:type="dxa" w:w="80"/>
              <w:right w:type="dxa" w:w="120"/>
            </w:tcMar>
          </w:tcPr>
          <w:p>
            <w:pPr>
              <w:spacing w:after="0"/>
            </w:pPr>
            <w:r>
              <w:rPr>
                <w:b/>
                <w:bCs/>
              </w:rPr>
              <w:t xml:space="preserve">Update</w:t>
            </w:r>
          </w:p>
        </w:tc>
        <w:tc>
          <w:tcPr>
            <w:tcW w:type="dxa" w:w="5360"/>
            <w:tcBorders>
              <w:top w:val="single" w:color="CCCCCC" w:sz="1"/>
              <w:left w:val="single" w:color="CCCCCC" w:sz="1"/>
              <w:bottom w:val="single" w:color="CCCCCC" w:sz="1"/>
              <w:right w:val="single" w:color="CCCCCC" w:sz="1"/>
            </w:tcBorders>
            <w:shd w:fill="EFE3E8" w:val="clear"/>
            <w:tcMar>
              <w:top w:type="dxa" w:w="80"/>
              <w:left w:type="dxa" w:w="120"/>
              <w:bottom w:type="dxa" w:w="80"/>
              <w:right w:type="dxa" w:w="120"/>
            </w:tcMar>
          </w:tcPr>
          <w:p>
            <w:pPr>
              <w:spacing w:after="0"/>
            </w:pPr>
            <w:r>
              <w:rPr>
                <w:b/>
                <w:bCs/>
              </w:rPr>
              <w:t xml:space="preserve">Impact on evaluation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App is live on TestFlight. Build 1.0.0 uploaded to App Store Connect, Beta App Review in progress. Internal and external tester groups configured; 10-senior beta cohort staged with structured two-week phone-interview protocol.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The single most-cited condition across all v2 verdicts — "launch within 30 days" — was met. The 30-day target did not slip. This is now a verifiable execution data point, not a projection. Every firm’s timeline-risk discount has been re-priced.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New pricing model: $99 USD/year while living; after confirmed passing the account enters no-cost legacy mode for the family. Public commitment language: "available to your family for 25+ years, export anytime" — deliberately not "forever." Optional one-time lifetime tier ($399–499) under evaluation. Replaces the v2 model of $49/year or $149 lifetime.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Directly adopts and exceeds Stonegate’s v2 prescription ($99/year). Doubles ARPU. Converts the most-debated number in the v2 room into a structural differentiator: no competitor guarantees post-passing availability at no cost to the family. Resolves the "who pays after death" objection that suppresses conversion in this category.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Per-category vault access control shipped ("Who Can See My Documents"): the owner assigns which family members can see each vault section (financial, legal, medical, property...). Three-state model — visible pre-selection of trusted contacts, explicit restriction, or deliberate sealing. Roles require recipient email consent.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Deepens the estate-adjacent moat. Mirrors how estates actually divide (executor sees financials; caregiver sees medical). Strengthens the professional-services GTM: this is a feature estate lawyers can explain to clients in one sentence.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Liability hardening: full bequest-language sweep across app and transactional email ("shares copies of documents — does not transfer ownership; not a legal will"), release-confirmation page disclaimers, and a drafted Terms of Service codifying the not-a-will doctrine, consent reliance, and encryption limits. BC counsel review scheduled before public launch.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Addresses the regulatory/ethical posture gap flagged by Stonegate (★★★ in v2) and reduces the category’s largest litigation vector: a grieving family interpreting document access as asset entitlement.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Over-the-air update pipeline live (EAS Update): JavaScript-layer fixes deploy to testers in minutes without App Store review.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Materially changes beta velocity. A senior-reported UX defect can be fixed same-day during the two-week interview window. De-risks the iteration loop that all firms priced as slow.</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Founder-led QA is already producing shipped fixes: cross-screen relationship-data sync, consent-flow gaps for phone-only contacts, status-banner logic, discoverability and plain-language relabels.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Evidence of functioning quality loop pre-beta. Minor individually; collectively indicates the operating cadence the beta will require.</w:t>
            </w:r>
          </w:p>
        </w:tc>
      </w:tr>
    </w:tbl>
    <w:p>
      <w:pPr>
        <w:pageBreakBefore/>
        <w:spacing w:after="160"/>
      </w:pPr>
      <w:r>
        <w:rPr>
          <w:b/>
          <w:bCs/>
          <w:sz w:val="28"/>
          <w:szCs w:val="28"/>
        </w:rPr>
        <w:t xml:space="preserve">Executive Summary</w:t>
      </w:r>
    </w:p>
    <w:p>
      <w:pPr>
        <w:spacing w:after="120"/>
      </w:pPr>
      <w:r>
        <w:t xml:space="preserve">Solace Life is a mobile application that allows users to record voice messages, video memories, and written notes — scheduled for future delivery to family members on dates that matter. The Time Capsule remains the hero feature. Secondary features include a secure document vault with per-person, per-category access control, a dead man’s switch check-in system with consent-gated emergency contacts, an AI avatar (secondary, premium-tier candidate), a professional referral partner network, and a cloud media vault.</w:t>
      </w:r>
    </w:p>
    <w:p>
      <w:pPr>
        <w:spacing w:after="120"/>
      </w:pPr>
      <w:r>
        <w:t xml:space="preserve">Since the v2 panel: the application is live on TestFlight with Beta App Review in progress, an over-the-air update pipeline is operational, and the pricing model has been restructured around a single emotionally coherent promise — pay $99 a year while you are alive; your family never pays and never loses access. The 10-senior beta cohort begins on review clearance, with structured phone interviews at the two-week mark feeding the next sprint.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FE3E8" w:val="clear"/>
            <w:tcMar>
              <w:top w:type="dxa" w:w="80"/>
              <w:left w:type="dxa" w:w="120"/>
              <w:bottom w:type="dxa" w:w="80"/>
              <w:right w:type="dxa" w:w="120"/>
            </w:tcMar>
          </w:tcPr>
          <w:p>
            <w:pPr>
              <w:spacing w:after="0"/>
            </w:pPr>
            <w:r>
              <w:rPr>
                <w:b/>
                <w:bCs/>
              </w:rPr>
              <w:t xml:space="preserve">Item</w:t>
            </w:r>
          </w:p>
        </w:tc>
        <w:tc>
          <w:tcPr>
            <w:tcW w:type="dxa" w:w="6560"/>
            <w:tcBorders>
              <w:top w:val="single" w:color="CCCCCC" w:sz="1"/>
              <w:left w:val="single" w:color="CCCCCC" w:sz="1"/>
              <w:bottom w:val="single" w:color="CCCCCC" w:sz="1"/>
              <w:right w:val="single" w:color="CCCCCC" w:sz="1"/>
            </w:tcBorders>
            <w:shd w:fill="EFE3E8" w:val="clear"/>
            <w:tcMar>
              <w:top w:type="dxa" w:w="80"/>
              <w:left w:type="dxa" w:w="120"/>
              <w:bottom w:type="dxa" w:w="80"/>
              <w:right w:type="dxa" w:w="120"/>
            </w:tcMar>
          </w:tcPr>
          <w:p>
            <w:pPr>
              <w:spacing w:after="0"/>
            </w:pPr>
            <w:r>
              <w:rPr>
                <w:b/>
                <w:bCs/>
              </w:rPr>
              <w:t xml:space="preserve">Status at v3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Distribution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TestFlight (Beta App Review in progress); App Store GA gated on beta findings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Revenue today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$0 — monetisation activates at GA; pricing model finalised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Pricing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$99/yr living → free legacy mode after passing; optional lifetime tier under evaluation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Payment rails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Apple In-App Purchase economics now in scope (15–30% platform fee); Stripe retained for web/B2B</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Beta cohort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10 seniors via external TestFlight group; consent-gated; two-week phone-interview protocol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Fix velocity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OTA updates in minutes (JS layer); native builds ~40 min via EAS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48+ migrations; per-category access control; RLS release read-path complete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Legal posture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Bequest-language sweep complete; TOS drafted; BC counsel review pre-GA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Primary competitors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Storyworth ($99/yr), GoodTrust, Evermore, Legacybox, Cake — none with post-passing free legacy mode or per-person vault access</w:t>
            </w:r>
          </w:p>
        </w:tc>
      </w:tr>
    </w:tbl>
    <w:p>
      <w:pPr>
        <w:pageBreakBefore/>
        <w:spacing w:after="160"/>
      </w:pPr>
      <w:r>
        <w:rPr>
          <w:b/>
          <w:bCs/>
          <w:sz w:val="26"/>
          <w:szCs w:val="26"/>
        </w:rPr>
        <w:t xml:space="preserve">FIRM 1 OF 5 — MERIDIAN VENTURES  |  San Francisco, CA</w:t>
      </w:r>
    </w:p>
    <w:p>
      <w:pPr>
        <w:spacing w:after="120"/>
      </w:pPr>
      <w:r>
        <w:rPr>
          <w:b/>
          <w:bCs/>
          <w:sz w:val="24"/>
          <w:szCs w:val="24"/>
        </w:rPr>
        <w:t xml:space="preserve">Updated Position — v3</w:t>
      </w:r>
    </w:p>
    <w:p>
      <w:pPr>
        <w:spacing w:after="120"/>
      </w:pPr>
      <w:r>
        <w:t xml:space="preserve">In v2 we moved from a firm pass to a watch list and set a tripwire: app live, 50 paying subscribers, one signed B2B agreement. One of three conditions is now partially met, and we want to be precise about what that means.</w:t>
      </w:r>
    </w:p>
    <w:p>
      <w:pPr>
        <w:spacing w:after="120"/>
      </w:pPr>
      <w:r>
        <w:rPr>
          <w:b/>
          <w:bCs/>
        </w:rPr>
        <w:t xml:space="preserve">What Changed</w:t>
      </w:r>
    </w:p>
    <w:p>
      <w:pPr>
        <w:spacing w:after="120"/>
      </w:pPr>
      <w:r>
        <w:t xml:space="preserve">The launch did not slip. We told this founder that 30-day launch targets hit on time roughly 40% of the time in our portfolio. This one hit. TestFlight submission is not App Store general availability, but it is the hard part of the gauntlet — binary built, credentials cleared, review entered. We update our execution prior accordingly, and we do not do that often.</w:t>
      </w:r>
    </w:p>
    <w:p>
      <w:pPr>
        <w:spacing w:after="120"/>
      </w:pPr>
      <w:r>
        <w:t xml:space="preserve">The pricing restructure doubles ARPU. At $99/year, our fund-return math drops from 204,000 required subscribers to approximately 102,000. That is still a large number, but it is a different class of large. More importantly, "your family never pays" is the first answer to "why not Storyworth?" we have heard from this company that fits in one sentence. Storyworth bills the family $99/year forever or the memories effectively go dormant; Solace Life inverts it.</w:t>
      </w:r>
    </w:p>
    <w:p>
      <w:pPr>
        <w:spacing w:after="120"/>
      </w:pPr>
      <w:r>
        <w:rPr>
          <w:b/>
          <w:bCs/>
        </w:rPr>
        <w:t xml:space="preserve">What We Flag That Nobody Else Will</w:t>
      </w:r>
    </w:p>
    <w:p>
      <w:pPr>
        <w:spacing w:after="120"/>
      </w:pPr>
      <w:r>
        <w:t xml:space="preserve">Apple takes 15–30% of in-app subscription revenue. The $99 headline nets approximately $84 (Small Business Program) and possibly less at scale. The v2 materials referenced Stripe payment links for the consumer subscription; for digital content sold in-app, Apple’s guidelines force IAP. The founder must model net revenue at $84 and ensure the payment architecture is App Store-compliant before GA. A guideline 3.1.1 rejection at GA would burn weeks at the worst possible moment. We flag this as a solvable but unpriced risk.</w:t>
      </w:r>
    </w:p>
    <w:p>
      <w:pPr>
        <w:spacing w:after="120"/>
      </w:pPr>
      <w:r>
        <w:t xml:space="preserve">The free legacy mode is a perpetual carrying liability that accrues with every death in the customer base. The "25+ years, export anytime" framing is the right legal containment, and storage economics make the per-account cost trivial — but an acquirer will model it, so the founder should too. A one-page actuarial model (age distribution of subscribers, expected legacy-account accrual, storage cost curve) would pre-empt the diligence question.</w:t>
      </w:r>
    </w:p>
    <w:p>
      <w:pPr>
        <w:spacing w:after="120"/>
      </w:pPr>
      <w:r>
        <w:rPr>
          <w:b/>
          <w:bCs/>
        </w:rPr>
        <w:t xml:space="preserve">What Would Move Us to a BID</w:t>
      </w:r>
    </w:p>
    <w:p>
      <w:pPr>
        <w:spacing w:after="120"/>
      </w:pPr>
      <w:r>
        <w:t xml:space="preserve">Unchanged in substance, updated in clock: App Store GA, 50 paying subscribers at the $99 price, one signed B2B agreement. Two of three were always going to take 60–90 days. The third — paying users at the new price — is now a cleaner test, because $99 with the legacy promise is a real price testing a real proposition, not an introductory number.</w:t>
      </w:r>
    </w:p>
    <w:p>
      <w:pPr>
        <w:spacing w:after="120"/>
      </w:pPr>
      <w:r>
        <w:rPr>
          <w:b/>
          <w:bCs/>
        </w:rPr>
        <w:t xml:space="preserve">Meridian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6E8D8" w:val="clear"/>
            <w:tcMar>
              <w:top w:type="dxa" w:w="80"/>
              <w:left w:type="dxa" w:w="120"/>
              <w:bottom w:type="dxa" w:w="80"/>
              <w:right w:type="dxa" w:w="120"/>
            </w:tcMar>
          </w:tcPr>
          <w:p>
            <w:pPr>
              <w:spacing w:after="0"/>
            </w:pPr>
            <w:r>
              <w:rPr>
                <w:b/>
                <w:bCs/>
              </w:rPr>
              <w:t xml:space="preserve">PASS — WATCH LIST, ELEVATED (re-evaluate at GA + 60 days; IAP compliance memo requested)</w:t>
            </w:r>
          </w:p>
        </w:tc>
      </w:tr>
    </w:tbl>
    <w:p>
      <w:pPr>
        <w:spacing w:after="120"/>
      </w:pPr>
      <w:r>
        <w:t xml:space="preserve">The launch landed on time and the price moved to where the math works. This company has gone from "narrative" to "two data points and a clock." That is not yet an investment. It is, for the first time, a pipeline entry with a date on it.</w:t>
      </w:r>
    </w:p>
    <w:p>
      <w:pPr>
        <w:pageBreakBefore/>
        <w:spacing w:after="160"/>
      </w:pPr>
      <w:r>
        <w:rPr>
          <w:b/>
          <w:bCs/>
          <w:sz w:val="26"/>
          <w:szCs w:val="26"/>
        </w:rPr>
        <w:t xml:space="preserve">FIRM 2 OF 5 — STONEGATE CAPITAL  |  New York, NY</w:t>
      </w:r>
    </w:p>
    <w:p>
      <w:pPr>
        <w:spacing w:after="120"/>
      </w:pPr>
      <w:r>
        <w:rPr>
          <w:b/>
          <w:bCs/>
          <w:sz w:val="24"/>
          <w:szCs w:val="24"/>
        </w:rPr>
        <w:t xml:space="preserve">Updated Position — v3</w:t>
      </w:r>
    </w:p>
    <w:p>
      <w:pPr>
        <w:spacing w:after="120"/>
      </w:pPr>
      <w:r>
        <w:t xml:space="preserve">Stonegate is increasing its offer for the second consecutive evaluation. In v2 we conditioned our bid on the founder presenting a case for $99/year pricing within 60 days. The founder did not present a case. The founder shipped the price — and attached to it the single most differentiating commercial promise in this category.</w:t>
      </w:r>
    </w:p>
    <w:p>
      <w:pPr>
        <w:spacing w:after="120"/>
      </w:pPr>
      <w:r>
        <w:rPr>
          <w:b/>
          <w:bCs/>
        </w:rPr>
        <w:t xml:space="preserve">How the Developments Change the Evaluation</w:t>
      </w:r>
    </w:p>
    <w:p>
      <w:pPr>
        <w:spacing w:after="120"/>
      </w:pPr>
      <w:r>
        <w:t xml:space="preserve">"Pay while you live; your family never pays" is the sentence we have been waiting for someone in legacy tech to say. Every competitor product dies with the credit card. The fear is unspoken but universal, and it suppresses both adoption and estate-professional referrals: no advisor wants to recommend a product that will bill a grieving family or delete a deceased client’s voice over a failed payment. Solace Life is now the only product we know of in this category that answers that fear structurally. For our seniors-home and counselling channels, this is the difference between a product they can endorse and a product they must caveat.</w:t>
      </w:r>
    </w:p>
    <w:p>
      <w:pPr>
        <w:spacing w:after="120"/>
      </w:pPr>
      <w:r>
        <w:t xml:space="preserve">The per-category vault access control compounds the clinical positioning. A product that lets a dying parent quietly route financial records to the executor child and medical records to the caregiver child — without the family knowing what the others received — demonstrates an understanding of family systems that no competitor exhibits. Our clinical advisors reviewed the three-state design (visible pre-selection, restriction, deliberate sealing) and consider the "no hidden defaults" principle the correct one for this population.</w:t>
      </w:r>
    </w:p>
    <w:p>
      <w:pPr>
        <w:spacing w:after="120"/>
      </w:pPr>
      <w:r>
        <w:t xml:space="preserve">The liability hardening matters more than the founder may realise. The bequest-language sweep and not-a-will doctrine are precisely what an institutional partner’s counsel will look for before signing a distribution agreement. The v2 evaluation scored regulatory posture ★★★ and asked for a formal policy; the drafted TOS and scheduled BC counsel review move this to ★★★★ pending execution.</w:t>
      </w:r>
    </w:p>
    <w:p>
      <w:pPr>
        <w:spacing w:after="120"/>
      </w:pPr>
      <w:r>
        <w:rPr>
          <w:b/>
          <w:bCs/>
        </w:rPr>
        <w:t xml:space="preserve">Remaining Concerns</w:t>
      </w:r>
    </w:p>
    <w:p>
      <w:pPr>
        <w:spacing w:after="120"/>
      </w:pPr>
      <w:r>
        <w:t xml:space="preserve">The lifetime tier ($399–499) is undecided. We recommend deciding before GA, not after: B2B channels need a stable price sheet, and seniors-home residents respond strongly to one-time pricing. Our portfolio data suggests a lifetime tier priced at 4–5x annual captures the "no subscriptions" segment without cannibalising annual revenue — at $449, the blended economics likely improve.</w:t>
      </w:r>
    </w:p>
    <w:p>
      <w:pPr>
        <w:spacing w:after="120"/>
      </w:pPr>
      <w:r>
        <w:t xml:space="preserve">Apple’s platform fee compresses the $99 to roughly $84 net. We accept Meridian’s flag and fold it into our conditions: the pricing case we asked for in v2 becomes an IAP-compliant monetisation architecture before GA.</w:t>
      </w:r>
    </w:p>
    <w:p>
      <w:pPr>
        <w:spacing w:after="120"/>
      </w:pPr>
      <w:r>
        <w:t xml:space="preserve">The beta protocol is strong but small. Ten seniors with phone interviews is the right qualitative design. We would co-fund an immediate second cohort of 25–30 via one seniors-home pilot, converting the beta itself into the first B2B proof point.</w:t>
      </w:r>
    </w:p>
    <w:p>
      <w:pPr>
        <w:spacing w:after="120"/>
      </w:pPr>
      <w:r>
        <w:rPr>
          <w:b/>
          <w:bCs/>
        </w:rPr>
        <w:t xml:space="preserve">Stonegate Scorecard —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c>
          <w:tcPr>
            <w:tcW w:type="dxa" w:w="3000"/>
            <w:tcBorders>
              <w:top w:val="single" w:color="CCCCCC" w:sz="1"/>
              <w:left w:val="single" w:color="CCCCCC" w:sz="1"/>
              <w:bottom w:val="single" w:color="CCCCCC" w:sz="1"/>
              <w:right w:val="single" w:color="CCCCCC" w:sz="1"/>
            </w:tcBorders>
            <w:shd w:fill="EFE3E8" w:val="clear"/>
            <w:tcMar>
              <w:top w:type="dxa" w:w="80"/>
              <w:left w:type="dxa" w:w="120"/>
              <w:bottom w:type="dxa" w:w="80"/>
              <w:right w:type="dxa" w:w="120"/>
            </w:tcMar>
          </w:tcPr>
          <w:p>
            <w:pPr>
              <w:spacing w:after="0"/>
            </w:pPr>
            <w:r>
              <w:rPr>
                <w:b/>
                <w:bCs/>
              </w:rPr>
              <w:t xml:space="preserve">Criterion</w:t>
            </w:r>
          </w:p>
        </w:tc>
        <w:tc>
          <w:tcPr>
            <w:tcW w:type="dxa" w:w="1700"/>
            <w:tcBorders>
              <w:top w:val="single" w:color="CCCCCC" w:sz="1"/>
              <w:left w:val="single" w:color="CCCCCC" w:sz="1"/>
              <w:bottom w:val="single" w:color="CCCCCC" w:sz="1"/>
              <w:right w:val="single" w:color="CCCCCC" w:sz="1"/>
            </w:tcBorders>
            <w:shd w:fill="EFE3E8" w:val="clear"/>
            <w:tcMar>
              <w:top w:type="dxa" w:w="80"/>
              <w:left w:type="dxa" w:w="120"/>
              <w:bottom w:type="dxa" w:w="80"/>
              <w:right w:type="dxa" w:w="120"/>
            </w:tcMar>
          </w:tcPr>
          <w:p>
            <w:pPr>
              <w:spacing w:after="0"/>
            </w:pPr>
            <w:r>
              <w:rPr>
                <w:b/>
                <w:bCs/>
              </w:rPr>
              <w:t xml:space="preserve">Score</w:t>
            </w:r>
          </w:p>
        </w:tc>
        <w:tc>
          <w:tcPr>
            <w:tcW w:type="dxa" w:w="4660"/>
            <w:tcBorders>
              <w:top w:val="single" w:color="CCCCCC" w:sz="1"/>
              <w:left w:val="single" w:color="CCCCCC" w:sz="1"/>
              <w:bottom w:val="single" w:color="CCCCCC" w:sz="1"/>
              <w:right w:val="single" w:color="CCCCCC" w:sz="1"/>
            </w:tcBorders>
            <w:shd w:fill="EFE3E8" w:val="clear"/>
            <w:tcMar>
              <w:top w:type="dxa" w:w="80"/>
              <w:left w:type="dxa" w:w="120"/>
              <w:bottom w:type="dxa" w:w="80"/>
              <w:right w:type="dxa" w:w="120"/>
            </w:tcMar>
          </w:tcPr>
          <w:p>
            <w:pPr>
              <w:spacing w:after="0"/>
            </w:pPr>
            <w:r>
              <w:rPr>
                <w:b/>
                <w:bCs/>
              </w:rPr>
              <w:t xml:space="preserve">One-line verdict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Market size / TAM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Unchanged — real, large, underserved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Product differentiation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Legacy-mode pricing + per-person vault access: category-unique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Revenue model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$99 + legacy promise; lifetime tier pending; IAP fee noted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Team depth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Unchanged — advisory strong, operating bench thin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GTM plan quality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Channels named; beta-to-pilot conversion is the next proof</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Technical execution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On-time launch + OTA pipeline + access-control schema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Traction / demand signal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Still $0; beta data 60 days out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Regulatory / ethical posture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Language sweep + TOS draft; counsel review pending</w:t>
            </w:r>
          </w:p>
        </w:tc>
      </w:tr>
    </w:tbl>
    <w:p>
      <w:pPr>
        <w:spacing w:after="160"/>
      </w:pPr>
      <w:r>
        <w:t xml:space="preserve"/>
      </w:r>
    </w:p>
    <w:p>
      <w:pPr>
        <w:spacing w:after="120"/>
      </w:pPr>
      <w:r>
        <w:rPr>
          <w:b/>
          <w:bCs/>
        </w:rPr>
        <w:t xml:space="preserve">Stonegate Bid — Revised Upward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0E5" w:val="clear"/>
            <w:tcMar>
              <w:top w:type="dxa" w:w="80"/>
              <w:left w:type="dxa" w:w="120"/>
              <w:bottom w:type="dxa" w:w="80"/>
              <w:right w:type="dxa" w:w="120"/>
            </w:tcMar>
          </w:tcPr>
          <w:p>
            <w:pPr>
              <w:spacing w:after="0"/>
            </w:pPr>
            <w:r>
              <w:rPr>
                <w:b/>
                <w:bCs/>
              </w:rPr>
              <w:t xml:space="preserve">BID — $300,000 for 16% equity   ·   Post-money valuation: $1.88M</w:t>
            </w:r>
          </w:p>
        </w:tc>
      </w:tr>
    </w:tbl>
    <w:p>
      <w:pPr>
        <w:spacing w:after="120"/>
      </w:pPr>
      <w:r>
        <w:t xml:space="preserve">Revised from v2’s $250K / 18%. Conditions: (1) App Store GA within 60 days of Beta App Review clearance; (2) IAP-compliant monetisation architecture verified before GA; (3) Lifetime-tier decision (in or out, priced) before GA; (4) One seniors-home pilot cohort (25+ residents) within 90 days of close — Stonegate will make the introductions; (5) Executed TOS reviewed by BC counsel before public launch. Capital use: 50% partner channel activation, 30% product (Android scoping, accessibility, avatar premium tier), 20% legal/compliance and pricing operations.</w:t>
      </w:r>
    </w:p>
    <w:p>
      <w:pPr>
        <w:spacing w:after="120"/>
      </w:pPr>
      <w:r>
        <w:rPr>
          <w:i/>
          <w:iCs/>
        </w:rPr>
        <w:t xml:space="preserve">In v2 we wrote that when a founder has already thought of the thing you are about to recommend, that is the best signal there is. This founder has now done it twice.</w:t>
      </w:r>
    </w:p>
    <w:p>
      <w:pPr>
        <w:pageBreakBefore/>
        <w:spacing w:after="160"/>
      </w:pPr>
      <w:r>
        <w:rPr>
          <w:b/>
          <w:bCs/>
          <w:sz w:val="26"/>
          <w:szCs w:val="26"/>
        </w:rPr>
        <w:t xml:space="preserve">FIRM 3 OF 5 — BLACK RIVER PARTNERS  |  New York, NY</w:t>
      </w:r>
    </w:p>
    <w:p>
      <w:pPr>
        <w:spacing w:after="120"/>
      </w:pPr>
      <w:r>
        <w:rPr>
          <w:b/>
          <w:bCs/>
          <w:sz w:val="24"/>
          <w:szCs w:val="24"/>
        </w:rPr>
        <w:t xml:space="preserve">Updated Position — v3</w:t>
      </w:r>
    </w:p>
    <w:p>
      <w:pPr>
        <w:spacing w:after="120"/>
      </w:pPr>
      <w:r>
        <w:t xml:space="preserve">Black River’s standard does not move for plans. In v2 we recorded that the corrections contained plans, not numbers. The v3 record contains, for the first time, facts. We will enumerate them.</w:t>
      </w:r>
    </w:p>
    <w:p>
      <w:pPr>
        <w:spacing w:after="120"/>
      </w:pPr>
      <w:r>
        <w:rPr>
          <w:b/>
          <w:bCs/>
        </w:rPr>
        <w:t xml:space="preserve">Facts We Can Now Verify</w:t>
      </w:r>
    </w:p>
    <w:p>
      <w:pPr>
        <w:spacing w:after="120"/>
      </w:pPr>
      <w:r>
        <w:t xml:space="preserve">Fact one: the 30-day launch target was met. A binary was built, signed, uploaded, and entered Apple’s review queue on schedule. We stated the base rate for on-time 30-day launches is low. This founder beat it. One observation is not a distribution, but execution evidence compounds differently than narrative evidence, and we log it as such.</w:t>
      </w:r>
    </w:p>
    <w:p>
      <w:pPr>
        <w:spacing w:after="120"/>
      </w:pPr>
      <w:r>
        <w:t xml:space="preserve">Fact two: the pricing model doubled ARPU before the first revenue dollar, which improves every downstream breakeven figure by a factor of two. At $99 gross / ~$84 net, the subscriber counts required for any given ARR threshold are half what we modelled in v2. We note — without scoring — that the legacy-mode promise creates a long-tail cost liability that must eventually appear in a financial model. The 25-year cap language suggests the founder is aware.</w:t>
      </w:r>
    </w:p>
    <w:p>
      <w:pPr>
        <w:spacing w:after="120"/>
      </w:pPr>
      <w:r>
        <w:t xml:space="preserve">Fact three: a defined data-generation event now has a date. Ten beta users with a structured two-week interview protocol will produce the first cohort dataset in this company’s history: activation rate, day-7/day-14 retention, feature uptake (Time Capsule vs vault vs avatar), and qualitative failure modes. Small n, but n &gt; 0 for the first time.</w:t>
      </w:r>
    </w:p>
    <w:p>
      <w:pPr>
        <w:spacing w:after="120"/>
      </w:pPr>
      <w:r>
        <w:rPr>
          <w:b/>
          <w:bCs/>
        </w:rPr>
        <w:t xml:space="preserve">What We Still Do Not Have</w:t>
      </w:r>
    </w:p>
    <w:p>
      <w:pPr>
        <w:spacing w:after="120"/>
      </w:pPr>
      <w:r>
        <w:t xml:space="preserve">Revenue: zero. Paying-user retention: undefined. B2B agreements: zero signed. CAC: untested. The TestFlight milestone is necessary but not sufficient. Our position is arithmetic, not scepticism.</w:t>
      </w:r>
    </w:p>
    <w:p>
      <w:pPr>
        <w:spacing w:after="120"/>
      </w:pPr>
      <w:r>
        <w:rPr>
          <w:b/>
          <w:bCs/>
        </w:rPr>
        <w:t xml:space="preserve">The Dataset That Buys a Meeting</w:t>
      </w:r>
    </w:p>
    <w:p>
      <w:pPr>
        <w:spacing w:after="120"/>
      </w:pPr>
      <w:r>
        <w:t xml:space="preserve">Within 60 days of App Store GA: (1) ≥50 paying subscribers at $99; (2) 30-day retention for that cohort; (3) beta-cohort activation and day-14 retention from the 10-senior group; (4) one signed B2B agreement with a named institution; (5) net revenue per user after platform fees. Five numbers. If they exist, we move fast — and we note the company is, for the first time, on a trajectory where those numbers can exist.</w:t>
      </w:r>
    </w:p>
    <w:p>
      <w:pPr>
        <w:spacing w:after="120"/>
      </w:pPr>
      <w:r>
        <w:rPr>
          <w:b/>
          <w:bCs/>
        </w:rPr>
        <w:t xml:space="preserve">Black River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6E8D8" w:val="clear"/>
            <w:tcMar>
              <w:top w:type="dxa" w:w="80"/>
              <w:left w:type="dxa" w:w="120"/>
              <w:bottom w:type="dxa" w:w="80"/>
              <w:right w:type="dxa" w:w="120"/>
            </w:tcMar>
          </w:tcPr>
          <w:p>
            <w:pPr>
              <w:spacing w:after="0"/>
            </w:pPr>
            <w:r>
              <w:rPr>
                <w:b/>
                <w:bCs/>
              </w:rPr>
              <w:t xml:space="preserve">PASS — NO BID (first verifiable execution facts logged; dataset definition issued; 60-day clock running from GA)</w:t>
            </w:r>
          </w:p>
        </w:tc>
      </w:tr>
    </w:tbl>
    <w:p>
      <w:pPr>
        <w:pageBreakBefore/>
        <w:spacing w:after="160"/>
      </w:pPr>
      <w:r>
        <w:rPr>
          <w:b/>
          <w:bCs/>
          <w:sz w:val="26"/>
          <w:szCs w:val="26"/>
        </w:rPr>
        <w:t xml:space="preserve">FIRM 4 OF 5 — NORTHERN ARCH CAPITAL  |  Toronto, ON</w:t>
      </w:r>
    </w:p>
    <w:p>
      <w:pPr>
        <w:spacing w:after="120"/>
      </w:pPr>
      <w:r>
        <w:rPr>
          <w:b/>
          <w:bCs/>
          <w:sz w:val="24"/>
          <w:szCs w:val="24"/>
        </w:rPr>
        <w:t xml:space="preserve">Updated Position — v3</w:t>
      </w:r>
    </w:p>
    <w:p>
      <w:pPr>
        <w:spacing w:after="120"/>
      </w:pPr>
      <w:r>
        <w:t xml:space="preserve">Northern Arch is raising its offer and lowering its equity ask for the second consecutive evaluation. We asked for three things in v2: an on-time launch, simplified two-option pricing, and onboarding discipline for the 55+ user. We received the first in full, the second in a form better than we specified, and the third in motion.</w:t>
      </w:r>
    </w:p>
    <w:p>
      <w:pPr>
        <w:spacing w:after="120"/>
      </w:pPr>
      <w:r>
        <w:rPr>
          <w:b/>
          <w:bCs/>
        </w:rPr>
        <w:t xml:space="preserve">Why v3 Strengthens the Canadian Thesis Specifically</w:t>
      </w:r>
    </w:p>
    <w:p>
      <w:pPr>
        <w:spacing w:after="120"/>
      </w:pPr>
      <w:r>
        <w:t xml:space="preserve">The pricing model is now an estate-channel product. "Clients pay $99 a year while living; their families never pay" is a sentence an estate lawyer, funeral planner, or seniors-home director can repeat verbatim. The per-category vault access — executor sees financials, caregiver sees medical — maps one-to-one onto how Canadian estate professionals already structure their client conversations. The founder has effectively built the demo that sells itself in a Chartwell or Sienna boardroom.</w:t>
      </w:r>
    </w:p>
    <w:p>
      <w:pPr>
        <w:spacing w:after="120"/>
      </w:pPr>
      <w:r>
        <w:t xml:space="preserve">The liability discipline is a Canadian regulatory asset. The not-a-will doctrine, the "copies of information only" language, and the consent-gated release process align with where provincial regulators and institutional partners’ counsel will look first. We reiterate: clinical advisory plus documented legal posture is grant-application material. SR&amp;ED and IRAP remain unfiled and remain free money.</w:t>
      </w:r>
    </w:p>
    <w:p>
      <w:pPr>
        <w:spacing w:after="120"/>
      </w:pPr>
      <w:r>
        <w:t xml:space="preserve">The beta design is exactly right for this market. Ten seniors, structured phone calls, OTA same-day fixes: this is the cheapest possible purchase of the most expensive knowledge in this category — where seniors actually get confused. The founder’s own QA already surfaced and fixed senior-facing defects (discoverability, plain-language labels, consent edge cases) before a single tester touched the app. That is the operating loop we want to fund.</w:t>
      </w:r>
    </w:p>
    <w:p>
      <w:pPr>
        <w:spacing w:after="120"/>
      </w:pPr>
      <w:r>
        <w:rPr>
          <w:b/>
          <w:bCs/>
        </w:rPr>
        <w:t xml:space="preserve">What We Are Still Watching</w:t>
      </w:r>
    </w:p>
    <w:p>
      <w:pPr>
        <w:spacing w:after="120"/>
      </w:pPr>
      <w:r>
        <w:t xml:space="preserve">Onboarding remains nine screens. Our v2 condition stands: five maximum before GA. The beta will likely prove this for us; we are content to let the seniors make the argument.</w:t>
      </w:r>
    </w:p>
    <w:p>
      <w:pPr>
        <w:spacing w:after="120"/>
      </w:pPr>
      <w:r>
        <w:t xml:space="preserve">Android. Unchanged, and now scheduled business: the 55+ demographic outside major urban centres skews Android, and the seniors-home channel will surface this within weeks of any pilot.</w:t>
      </w:r>
    </w:p>
    <w:p>
      <w:pPr>
        <w:spacing w:after="120"/>
      </w:pPr>
      <w:r>
        <w:t xml:space="preserve">The lifetime tier should be decided with channel input, not in isolation. Our recommendation: hold it until one seniors-home pilot reports, then price it against observed willingness-to-pay.</w:t>
      </w:r>
    </w:p>
    <w:p>
      <w:pPr>
        <w:spacing w:after="120"/>
      </w:pPr>
      <w:r>
        <w:rPr>
          <w:b/>
          <w:bCs/>
        </w:rPr>
        <w:t xml:space="preserve">Northern Arch Scorecard —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c>
          <w:tcPr>
            <w:tcW w:type="dxa" w:w="3000"/>
            <w:tcBorders>
              <w:top w:val="single" w:color="CCCCCC" w:sz="1"/>
              <w:left w:val="single" w:color="CCCCCC" w:sz="1"/>
              <w:bottom w:val="single" w:color="CCCCCC" w:sz="1"/>
              <w:right w:val="single" w:color="CCCCCC" w:sz="1"/>
            </w:tcBorders>
            <w:shd w:fill="EFE3E8" w:val="clear"/>
            <w:tcMar>
              <w:top w:type="dxa" w:w="80"/>
              <w:left w:type="dxa" w:w="120"/>
              <w:bottom w:type="dxa" w:w="80"/>
              <w:right w:type="dxa" w:w="120"/>
            </w:tcMar>
          </w:tcPr>
          <w:p>
            <w:pPr>
              <w:spacing w:after="0"/>
            </w:pPr>
            <w:r>
              <w:rPr>
                <w:b/>
                <w:bCs/>
              </w:rPr>
              <w:t xml:space="preserve">Criterion</w:t>
            </w:r>
          </w:p>
        </w:tc>
        <w:tc>
          <w:tcPr>
            <w:tcW w:type="dxa" w:w="1700"/>
            <w:tcBorders>
              <w:top w:val="single" w:color="CCCCCC" w:sz="1"/>
              <w:left w:val="single" w:color="CCCCCC" w:sz="1"/>
              <w:bottom w:val="single" w:color="CCCCCC" w:sz="1"/>
              <w:right w:val="single" w:color="CCCCCC" w:sz="1"/>
            </w:tcBorders>
            <w:shd w:fill="EFE3E8" w:val="clear"/>
            <w:tcMar>
              <w:top w:type="dxa" w:w="80"/>
              <w:left w:type="dxa" w:w="120"/>
              <w:bottom w:type="dxa" w:w="80"/>
              <w:right w:type="dxa" w:w="120"/>
            </w:tcMar>
          </w:tcPr>
          <w:p>
            <w:pPr>
              <w:spacing w:after="0"/>
            </w:pPr>
            <w:r>
              <w:rPr>
                <w:b/>
                <w:bCs/>
              </w:rPr>
              <w:t xml:space="preserve">Score</w:t>
            </w:r>
          </w:p>
        </w:tc>
        <w:tc>
          <w:tcPr>
            <w:tcW w:type="dxa" w:w="4660"/>
            <w:tcBorders>
              <w:top w:val="single" w:color="CCCCCC" w:sz="1"/>
              <w:left w:val="single" w:color="CCCCCC" w:sz="1"/>
              <w:bottom w:val="single" w:color="CCCCCC" w:sz="1"/>
              <w:right w:val="single" w:color="CCCCCC" w:sz="1"/>
            </w:tcBorders>
            <w:shd w:fill="EFE3E8" w:val="clear"/>
            <w:tcMar>
              <w:top w:type="dxa" w:w="80"/>
              <w:left w:type="dxa" w:w="120"/>
              <w:bottom w:type="dxa" w:w="80"/>
              <w:right w:type="dxa" w:w="120"/>
            </w:tcMar>
          </w:tcPr>
          <w:p>
            <w:pPr>
              <w:spacing w:after="0"/>
            </w:pPr>
            <w:r>
              <w:rPr>
                <w:b/>
                <w:bCs/>
              </w:rPr>
              <w:t xml:space="preserve">One-line verdict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Canadian market fit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Estate-channel pricing + vault access = boardroom-ready demo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B2B channel clarity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Channels named; beta-to-pilot conversion pending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Team depth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Launch executed on time; loop is real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Clinical / UX advisory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Three-state access design reviewed favourably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Product focus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Time Capsule hero held; scope discipline improving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Non-dilutive funding leverage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SR&amp;ED + IRAP still unfiled; significant upside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Onboarding conversion risk</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Nine screens; beta will adjudicate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Revenue / traction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$0; TestFlight live; first cohort data 60 days out</w:t>
            </w:r>
          </w:p>
        </w:tc>
      </w:tr>
    </w:tbl>
    <w:p>
      <w:pPr>
        <w:spacing w:after="160"/>
      </w:pPr>
      <w:r>
        <w:t xml:space="preserve"/>
      </w:r>
    </w:p>
    <w:p>
      <w:pPr>
        <w:spacing w:after="120"/>
      </w:pPr>
      <w:r>
        <w:rPr>
          <w:b/>
          <w:bCs/>
        </w:rPr>
        <w:t xml:space="preserve">Northern Arch Bid — Revised Upward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0E5" w:val="clear"/>
            <w:tcMar>
              <w:top w:type="dxa" w:w="80"/>
              <w:left w:type="dxa" w:w="120"/>
              <w:bottom w:type="dxa" w:w="80"/>
              <w:right w:type="dxa" w:w="120"/>
            </w:tcMar>
          </w:tcPr>
          <w:p>
            <w:pPr>
              <w:spacing w:after="0"/>
            </w:pPr>
            <w:r>
              <w:rPr>
                <w:b/>
                <w:bCs/>
              </w:rPr>
              <w:t xml:space="preserve">BID — $225,000 for 14% equity   ·   Post-money valuation: $1.61M</w:t>
            </w:r>
          </w:p>
        </w:tc>
      </w:tr>
    </w:tbl>
    <w:p>
      <w:pPr>
        <w:spacing w:after="120"/>
      </w:pPr>
      <w:r>
        <w:t xml:space="preserve">Revised from v2’s $200K / 15%. Conditions: (1) App Store GA within 60 days of review clearance; (2) SR&amp;ED filing initiated within 60 days of close — we will supply the consultant; (3) Onboarding reduced to five screens or beta evidence justifying the count, before GA; (4) First seniors-home pilot proposal delivered within 45 days of close — Northern Arch will broker introductions to two national operators. Capital use: 50% partner channel activation and first B2B BD hire, 30% product (onboarding, Android scoping, accessibility), 20% legal, compliance, and grant filings.</w:t>
      </w:r>
    </w:p>
    <w:p>
      <w:pPr>
        <w:spacing w:after="120"/>
      </w:pPr>
      <w:r>
        <w:rPr>
          <w:i/>
          <w:iCs/>
        </w:rPr>
        <w:t xml:space="preserve">We wrote in v2 that we were not trying to change the product, only to help the founder execute the plan they already had. The plan is now executing itself on schedule. We are raising our offer because the risk we priced in May has partially retired.</w:t>
      </w:r>
    </w:p>
    <w:p>
      <w:pPr>
        <w:pageBreakBefore/>
        <w:spacing w:after="160"/>
      </w:pPr>
      <w:r>
        <w:rPr>
          <w:b/>
          <w:bCs/>
          <w:sz w:val="26"/>
          <w:szCs w:val="26"/>
        </w:rPr>
        <w:t xml:space="preserve">FIRM 5 OF 5 — APEX FRONTIER  |  San Francisco, CA</w:t>
      </w:r>
    </w:p>
    <w:p>
      <w:pPr>
        <w:spacing w:after="120"/>
      </w:pPr>
      <w:r>
        <w:rPr>
          <w:b/>
          <w:bCs/>
          <w:sz w:val="24"/>
          <w:szCs w:val="24"/>
        </w:rPr>
        <w:t xml:space="preserve">Updated Position — v3</w:t>
      </w:r>
    </w:p>
    <w:p>
      <w:pPr>
        <w:spacing w:after="120"/>
      </w:pPr>
      <w:r>
        <w:t xml:space="preserve">We reduced our bid in v2 when the avatar was demoted, and we said the avatar would find its level. The v3 developments have — perhaps unintentionally — handed our thesis back to us in stronger form. We are raising our offer and removing the ratchet.</w:t>
      </w:r>
    </w:p>
    <w:p>
      <w:pPr>
        <w:spacing w:after="120"/>
      </w:pPr>
      <w:r>
        <w:rPr>
          <w:b/>
          <w:bCs/>
        </w:rPr>
        <w:t xml:space="preserve">Why the Legacy Mode Re-Opens the Avatar Thesis</w:t>
      </w:r>
    </w:p>
    <w:p>
      <w:pPr>
        <w:spacing w:after="120"/>
      </w:pPr>
      <w:r>
        <w:t xml:space="preserve">The free post-passing legacy mode means the deceased user’s account — voice recordings, video, written memories, vault content — persists as a living data asset for 25+ years, with the family’s continued engagement contractually invited rather than billed away. Every other product in this category loses its richest data at exactly the moment it becomes irreplaceable. Solace Life now retains it by design. That is the substrate an avatar feature needs: longitudinal, emotionally dense, consented, and permanent. The pricing model is, from our seat, an AI data-strategy decision disguised as a billing decision.</w:t>
      </w:r>
    </w:p>
    <w:p>
      <w:pPr>
        <w:spacing w:after="120"/>
      </w:pPr>
      <w:r>
        <w:t xml:space="preserve">The per-category access control adds a structured family graph. Who was trusted with what — financial to the eldest, medical to the caregiver, letters to everyone — is exactly the relationship topology that makes a posthumous avatar contextually intelligent rather than generically sentimental. No competitor is collecting this. Most do not know it is collectable.</w:t>
      </w:r>
    </w:p>
    <w:p>
      <w:pPr>
        <w:spacing w:after="120"/>
      </w:pPr>
      <w:r>
        <w:rPr>
          <w:b/>
          <w:bCs/>
        </w:rPr>
        <w:t xml:space="preserve">What Remains and What We Still Require</w:t>
      </w:r>
    </w:p>
    <w:p>
      <w:pPr>
        <w:spacing w:after="120"/>
      </w:pPr>
      <w:r>
        <w:t xml:space="preserve">The avatar still lacks a monetisation surface. Our v2 condition stands in softened form: we want a defined premium avatar tier within 120 days of GA (was 90), and we accept the founder’s sequencing — Time Capsule acquires, avatar deepens. The beta cohort’s avatar uptake rate will be the first signal; we want that number in the monthly data.</w:t>
      </w:r>
    </w:p>
    <w:p>
      <w:pPr>
        <w:spacing w:after="120"/>
      </w:pPr>
      <w:r>
        <w:t xml:space="preserve">The 10-senior beta is the right laboratory. Seniors who record memories under a "your family never pays" promise will record more, and sooner. Depth of vault per user in the first 60 days is the leading indicator of avatar viability, and we will be watching it.</w:t>
      </w:r>
    </w:p>
    <w:p>
      <w:pPr>
        <w:spacing w:after="120"/>
      </w:pPr>
      <w:r>
        <w:rPr>
          <w:b/>
          <w:bCs/>
        </w:rPr>
        <w:t xml:space="preserve">Apex Frontier Scorecard —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c>
          <w:tcPr>
            <w:tcW w:type="dxa" w:w="3000"/>
            <w:tcBorders>
              <w:top w:val="single" w:color="CCCCCC" w:sz="1"/>
              <w:left w:val="single" w:color="CCCCCC" w:sz="1"/>
              <w:bottom w:val="single" w:color="CCCCCC" w:sz="1"/>
              <w:right w:val="single" w:color="CCCCCC" w:sz="1"/>
            </w:tcBorders>
            <w:shd w:fill="EFE3E8" w:val="clear"/>
            <w:tcMar>
              <w:top w:type="dxa" w:w="80"/>
              <w:left w:type="dxa" w:w="120"/>
              <w:bottom w:type="dxa" w:w="80"/>
              <w:right w:type="dxa" w:w="120"/>
            </w:tcMar>
          </w:tcPr>
          <w:p>
            <w:pPr>
              <w:spacing w:after="0"/>
            </w:pPr>
            <w:r>
              <w:rPr>
                <w:b/>
                <w:bCs/>
              </w:rPr>
              <w:t xml:space="preserve">Criterion</w:t>
            </w:r>
          </w:p>
        </w:tc>
        <w:tc>
          <w:tcPr>
            <w:tcW w:type="dxa" w:w="1700"/>
            <w:tcBorders>
              <w:top w:val="single" w:color="CCCCCC" w:sz="1"/>
              <w:left w:val="single" w:color="CCCCCC" w:sz="1"/>
              <w:bottom w:val="single" w:color="CCCCCC" w:sz="1"/>
              <w:right w:val="single" w:color="CCCCCC" w:sz="1"/>
            </w:tcBorders>
            <w:shd w:fill="EFE3E8" w:val="clear"/>
            <w:tcMar>
              <w:top w:type="dxa" w:w="80"/>
              <w:left w:type="dxa" w:w="120"/>
              <w:bottom w:type="dxa" w:w="80"/>
              <w:right w:type="dxa" w:w="120"/>
            </w:tcMar>
          </w:tcPr>
          <w:p>
            <w:pPr>
              <w:spacing w:after="0"/>
            </w:pPr>
            <w:r>
              <w:rPr>
                <w:b/>
                <w:bCs/>
              </w:rPr>
              <w:t xml:space="preserve">Score</w:t>
            </w:r>
          </w:p>
        </w:tc>
        <w:tc>
          <w:tcPr>
            <w:tcW w:type="dxa" w:w="4660"/>
            <w:tcBorders>
              <w:top w:val="single" w:color="CCCCCC" w:sz="1"/>
              <w:left w:val="single" w:color="CCCCCC" w:sz="1"/>
              <w:bottom w:val="single" w:color="CCCCCC" w:sz="1"/>
              <w:right w:val="single" w:color="CCCCCC" w:sz="1"/>
            </w:tcBorders>
            <w:shd w:fill="EFE3E8" w:val="clear"/>
            <w:tcMar>
              <w:top w:type="dxa" w:w="80"/>
              <w:left w:type="dxa" w:w="120"/>
              <w:bottom w:type="dxa" w:w="80"/>
              <w:right w:type="dxa" w:w="120"/>
            </w:tcMar>
          </w:tcPr>
          <w:p>
            <w:pPr>
              <w:spacing w:after="0"/>
            </w:pPr>
            <w:r>
              <w:rPr>
                <w:b/>
                <w:bCs/>
              </w:rPr>
              <w:t xml:space="preserve">One-line verdict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AI differentiation (current)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Legacy-mode data persistence rebuilds the avatar substrate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Time Capsule competitive moat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"Family never pays" is the one-sentence answer to Storyworth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Acquisition potential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Permanent consented memory corpus + family graph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Stakeholder GTM quality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Unchanged — professional channel seeds avatar uptake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Team / launch credibility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On-time launch; OTA loop operational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Product architecture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Acquire-then-deepen ladder intact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Pricing for AI tier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Improved by lifetime-tier debate; premium tier still undefined</w:t>
            </w:r>
          </w:p>
        </w:tc>
      </w:tr>
    </w:tbl>
    <w:p>
      <w:pPr>
        <w:spacing w:after="160"/>
      </w:pPr>
      <w:r>
        <w:t xml:space="preserve"/>
      </w:r>
    </w:p>
    <w:p>
      <w:pPr>
        <w:spacing w:after="120"/>
      </w:pPr>
      <w:r>
        <w:rPr>
          <w:b/>
          <w:bCs/>
        </w:rPr>
        <w:t xml:space="preserve">Apex Frontier Bid — Revised Upward, Ratchet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0E5" w:val="clear"/>
            <w:tcMar>
              <w:top w:type="dxa" w:w="80"/>
              <w:left w:type="dxa" w:w="120"/>
              <w:bottom w:type="dxa" w:w="80"/>
              <w:right w:type="dxa" w:w="120"/>
            </w:tcMar>
          </w:tcPr>
          <w:p>
            <w:pPr>
              <w:spacing w:after="0"/>
            </w:pPr>
            <w:r>
              <w:rPr>
                <w:b/>
                <w:bCs/>
              </w:rPr>
              <w:t xml:space="preserve">BID — $300,000 for 20% equity   ·   Post-money valuation: $1.50M   ·   No ratchet</w:t>
            </w:r>
          </w:p>
        </w:tc>
      </w:tr>
    </w:tbl>
    <w:p>
      <w:pPr>
        <w:spacing w:after="120"/>
      </w:pPr>
      <w:r>
        <w:t xml:space="preserve">Revised from v2’s $275K / 22% with a 25% ratchet. The ratchet is removed: the launch record earned it. Conditions: (1) Defined premium avatar tier within 120 days of GA; (2) Monthly retention, conversion, and vault-depth data shared with Apex for 6 months post-GA, including avatar uptake within the beta cohort; (3) Data-governance memo covering posthumous data use and family consent for avatar interactions, reviewed before the avatar tier launches — we regard this as protective of the asset, not bureaucratic.</w:t>
      </w:r>
    </w:p>
    <w:p>
      <w:pPr>
        <w:spacing w:after="120"/>
      </w:pPr>
      <w:r>
        <w:rPr>
          <w:i/>
          <w:iCs/>
        </w:rPr>
        <w:t xml:space="preserve">We came to v2 with an avatar thesis and left with a product thesis. We arrive at v3 holding both. The founder rebuilt our thesis without optimising for it, which is the only way we trust it.</w:t>
      </w:r>
    </w:p>
    <w:p>
      <w:pPr>
        <w:pageBreakBefore/>
        <w:spacing w:after="160"/>
      </w:pPr>
      <w:r>
        <w:rPr>
          <w:b/>
          <w:bCs/>
          <w:sz w:val="28"/>
          <w:szCs w:val="28"/>
        </w:rPr>
        <w:t xml:space="preserve">CHAIRMAN’S SUMMARY — INDEPENDENT ASSESSMENT  |  v3</w:t>
      </w:r>
    </w:p>
    <w:p>
      <w:pPr>
        <w:spacing w:after="120"/>
      </w:pPr>
      <w:r>
        <w:t xml:space="preserve">The following is presented without advocacy for any firm. I have no financial interest in Solace Life or in any of the five participating firms. This summary reflects the verified developments as of June 2026.</w:t>
      </w:r>
    </w:p>
    <w:p>
      <w:pPr>
        <w:spacing w:after="120"/>
      </w:pPr>
      <w:r>
        <w:rPr>
          <w:b/>
          <w:bCs/>
        </w:rPr>
        <w:t xml:space="preserve">The Bids —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1500"/>
        <w:gridCol w:w="1700"/>
        <w:gridCol w:w="1760"/>
      </w:tblGrid>
      <w:tr>
        <w:tc>
          <w:tcPr>
            <w:tcW w:type="dxa" w:w="2700"/>
            <w:tcBorders>
              <w:top w:val="single" w:color="CCCCCC" w:sz="1"/>
              <w:left w:val="single" w:color="CCCCCC" w:sz="1"/>
              <w:bottom w:val="single" w:color="CCCCCC" w:sz="1"/>
              <w:right w:val="single" w:color="CCCCCC" w:sz="1"/>
            </w:tcBorders>
            <w:shd w:fill="EFE3E8" w:val="clear"/>
            <w:tcMar>
              <w:top w:type="dxa" w:w="80"/>
              <w:left w:type="dxa" w:w="120"/>
              <w:bottom w:type="dxa" w:w="80"/>
              <w:right w:type="dxa" w:w="120"/>
            </w:tcMar>
          </w:tcPr>
          <w:p>
            <w:pPr>
              <w:spacing w:after="0"/>
            </w:pPr>
            <w:r>
              <w:rPr>
                <w:b/>
                <w:bCs/>
              </w:rPr>
              <w:t xml:space="preserve">Firm</w:t>
            </w:r>
          </w:p>
        </w:tc>
        <w:tc>
          <w:tcPr>
            <w:tcW w:type="dxa" w:w="1700"/>
            <w:tcBorders>
              <w:top w:val="single" w:color="CCCCCC" w:sz="1"/>
              <w:left w:val="single" w:color="CCCCCC" w:sz="1"/>
              <w:bottom w:val="single" w:color="CCCCCC" w:sz="1"/>
              <w:right w:val="single" w:color="CCCCCC" w:sz="1"/>
            </w:tcBorders>
            <w:shd w:fill="EFE3E8" w:val="clear"/>
            <w:tcMar>
              <w:top w:type="dxa" w:w="80"/>
              <w:left w:type="dxa" w:w="120"/>
              <w:bottom w:type="dxa" w:w="80"/>
              <w:right w:type="dxa" w:w="120"/>
            </w:tcMar>
          </w:tcPr>
          <w:p>
            <w:pPr>
              <w:spacing w:after="0"/>
            </w:pPr>
            <w:r>
              <w:rPr>
                <w:b/>
                <w:bCs/>
              </w:rPr>
              <w:t xml:space="preserve">Offer</w:t>
            </w:r>
          </w:p>
        </w:tc>
        <w:tc>
          <w:tcPr>
            <w:tcW w:type="dxa" w:w="1500"/>
            <w:tcBorders>
              <w:top w:val="single" w:color="CCCCCC" w:sz="1"/>
              <w:left w:val="single" w:color="CCCCCC" w:sz="1"/>
              <w:bottom w:val="single" w:color="CCCCCC" w:sz="1"/>
              <w:right w:val="single" w:color="CCCCCC" w:sz="1"/>
            </w:tcBorders>
            <w:shd w:fill="EFE3E8" w:val="clear"/>
            <w:tcMar>
              <w:top w:type="dxa" w:w="80"/>
              <w:left w:type="dxa" w:w="120"/>
              <w:bottom w:type="dxa" w:w="80"/>
              <w:right w:type="dxa" w:w="120"/>
            </w:tcMar>
          </w:tcPr>
          <w:p>
            <w:pPr>
              <w:spacing w:after="0"/>
            </w:pPr>
            <w:r>
              <w:rPr>
                <w:b/>
                <w:bCs/>
              </w:rPr>
              <w:t xml:space="preserve">Equity</w:t>
            </w:r>
          </w:p>
        </w:tc>
        <w:tc>
          <w:tcPr>
            <w:tcW w:type="dxa" w:w="1700"/>
            <w:tcBorders>
              <w:top w:val="single" w:color="CCCCCC" w:sz="1"/>
              <w:left w:val="single" w:color="CCCCCC" w:sz="1"/>
              <w:bottom w:val="single" w:color="CCCCCC" w:sz="1"/>
              <w:right w:val="single" w:color="CCCCCC" w:sz="1"/>
            </w:tcBorders>
            <w:shd w:fill="EFE3E8" w:val="clear"/>
            <w:tcMar>
              <w:top w:type="dxa" w:w="80"/>
              <w:left w:type="dxa" w:w="120"/>
              <w:bottom w:type="dxa" w:w="80"/>
              <w:right w:type="dxa" w:w="120"/>
            </w:tcMar>
          </w:tcPr>
          <w:p>
            <w:pPr>
              <w:spacing w:after="0"/>
            </w:pPr>
            <w:r>
              <w:rPr>
                <w:b/>
                <w:bCs/>
              </w:rPr>
              <w:t xml:space="preserve">Implied Val.</w:t>
            </w:r>
          </w:p>
        </w:tc>
        <w:tc>
          <w:tcPr>
            <w:tcW w:type="dxa" w:w="1760"/>
            <w:tcBorders>
              <w:top w:val="single" w:color="CCCCCC" w:sz="1"/>
              <w:left w:val="single" w:color="CCCCCC" w:sz="1"/>
              <w:bottom w:val="single" w:color="CCCCCC" w:sz="1"/>
              <w:right w:val="single" w:color="CCCCCC" w:sz="1"/>
            </w:tcBorders>
            <w:shd w:fill="EFE3E8" w:val="clear"/>
            <w:tcMar>
              <w:top w:type="dxa" w:w="80"/>
              <w:left w:type="dxa" w:w="120"/>
              <w:bottom w:type="dxa" w:w="80"/>
              <w:right w:type="dxa" w:w="120"/>
            </w:tcMar>
          </w:tcPr>
          <w:p>
            <w:pPr>
              <w:spacing w:after="0"/>
            </w:pPr>
            <w:r>
              <w:rPr>
                <w:b/>
                <w:bCs/>
              </w:rPr>
              <w:t xml:space="preserve">Verdict</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Meridian Ventures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PASS (watch list, elevated)</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Stonegate Capital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$300,000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16%</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$1.88M</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BID (raised)</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Black River Partners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PASS (dataset defined)</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Northern Arch Capital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$225,000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14%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$1.61M</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BID (raised)</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Apex Frontier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$300,000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20%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$1.50M</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BID (raised, ratchet removed)</w:t>
            </w:r>
          </w:p>
        </w:tc>
      </w:tr>
    </w:tbl>
    <w:p>
      <w:pPr>
        <w:spacing w:after="160"/>
      </w:pPr>
      <w:r>
        <w:t xml:space="preserve"/>
      </w:r>
    </w:p>
    <w:p>
      <w:pPr>
        <w:spacing w:after="120"/>
      </w:pPr>
      <w:r>
        <w:rPr>
          <w:b/>
          <w:bCs/>
        </w:rPr>
        <w:t xml:space="preserve">How the Developments Changed the Room</w:t>
      </w:r>
    </w:p>
    <w:p>
      <w:pPr>
        <w:spacing w:after="120"/>
      </w:pPr>
      <w:r>
        <w:t xml:space="preserve">v1 produced two bids. v2 produced three. v3 produces three bids again — but every bid increased, every equity ask decreased or held, and the one punitive structure in the room (Apex’s ratchet) was withdrawn. Total capital on the table rose from $725,000 to $825,000 while average dilution per dollar fell. The two passing firms both moved closer to the table: Meridian elevated its watch-list status and issued a specific compliance request, and Black River — for the first time — logged verifiable execution facts and issued a defined dataset rather than a refusal.</w:t>
      </w:r>
    </w:p>
    <w:p>
      <w:pPr>
        <w:spacing w:after="120"/>
      </w:pPr>
      <w:r>
        <w:t xml:space="preserve">Two developments did the moving. The first is simple: the company said it would launch in 30 days, and it did. Launch execution is the single most common point of failure for solo-founder consumer apps, and its absence here re-priced every firm’s risk model. The second is the pricing restructure. In v2, pricing was the most-debated number in the room and every firm was dissatisfied. In v3, the $99-while-living / free-legacy-mode model drew agreement from all five firms — a unanimity this panel has not produced on any other topic across three evaluations.</w:t>
      </w:r>
    </w:p>
    <w:p>
      <w:pPr>
        <w:spacing w:after="120"/>
      </w:pPr>
      <w:r>
        <w:rPr>
          <w:b/>
          <w:bCs/>
        </w:rPr>
        <w:t xml:space="preserve">What the Panel Now Agrees On</w:t>
      </w:r>
    </w:p>
    <w:p>
      <w:pPr>
        <w:spacing w:after="120"/>
      </w:pPr>
      <w:r>
        <w:t xml:space="preserve">Apple’s platform economics must be modelled and complied with before GA. The $99 headline is $84 net or less, and the payment architecture must survive guideline 3.1.1 review. Three firms raised it independently; it is condition or flag in every active bid.</w:t>
      </w:r>
    </w:p>
    <w:p>
      <w:pPr>
        <w:spacing w:after="120"/>
      </w:pPr>
      <w:r>
        <w:t xml:space="preserve">The legacy-mode liability requires an actuarial page. The promise is the moat, the moat has a carrying cost, and the "25+ years / export anytime" containment language is necessary but not sufficient for diligence at the next round.</w:t>
      </w:r>
    </w:p>
    <w:p>
      <w:pPr>
        <w:spacing w:after="120"/>
      </w:pPr>
      <w:r>
        <w:t xml:space="preserve">The beta is the next repricing event. All five firms’ positions now reference the same 60-day window: senior-cohort retention and activation data, App Store GA, first paying subscribers at $99, and the first B2B proof point. The next panel, if convened, should occur after that window closes.</w:t>
      </w:r>
    </w:p>
    <w:p>
      <w:pPr>
        <w:spacing w:after="120"/>
      </w:pPr>
      <w:r>
        <w:t xml:space="preserve">The lifetime tier should be decided before GA. Three firms addressed it; none want it decided in isolation from channel feedback. The emerging consensus: priced at 4–5x annual ($399–499), decided after the first seniors-home pilot reports.</w:t>
      </w:r>
    </w:p>
    <w:p>
      <w:pPr>
        <w:spacing w:after="120"/>
      </w:pPr>
      <w:r>
        <w:rPr>
          <w:b/>
          <w:bCs/>
        </w:rPr>
        <w:t xml:space="preserve">The Three Offers — A Factual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20"/>
        <w:gridCol w:w="2220"/>
        <w:gridCol w:w="2220"/>
      </w:tblGrid>
      <w:tr>
        <w:tc>
          <w:tcPr>
            <w:tcW w:type="dxa" w:w="2700"/>
            <w:tcBorders>
              <w:top w:val="single" w:color="CCCCCC" w:sz="1"/>
              <w:left w:val="single" w:color="CCCCCC" w:sz="1"/>
              <w:bottom w:val="single" w:color="CCCCCC" w:sz="1"/>
              <w:right w:val="single" w:color="CCCCCC" w:sz="1"/>
            </w:tcBorders>
            <w:shd w:fill="EFE3E8" w:val="clear"/>
            <w:tcMar>
              <w:top w:type="dxa" w:w="80"/>
              <w:left w:type="dxa" w:w="120"/>
              <w:bottom w:type="dxa" w:w="80"/>
              <w:right w:type="dxa" w:w="120"/>
            </w:tcMar>
          </w:tcPr>
          <w:p>
            <w:pPr>
              <w:spacing w:after="0"/>
            </w:pPr>
            <w:r>
              <w:rPr>
                <w:b/>
                <w:bCs/>
              </w:rPr>
              <w:t xml:space="preserve"/>
            </w:r>
          </w:p>
        </w:tc>
        <w:tc>
          <w:tcPr>
            <w:tcW w:type="dxa" w:w="2220"/>
            <w:tcBorders>
              <w:top w:val="single" w:color="CCCCCC" w:sz="1"/>
              <w:left w:val="single" w:color="CCCCCC" w:sz="1"/>
              <w:bottom w:val="single" w:color="CCCCCC" w:sz="1"/>
              <w:right w:val="single" w:color="CCCCCC" w:sz="1"/>
            </w:tcBorders>
            <w:shd w:fill="EFE3E8" w:val="clear"/>
            <w:tcMar>
              <w:top w:type="dxa" w:w="80"/>
              <w:left w:type="dxa" w:w="120"/>
              <w:bottom w:type="dxa" w:w="80"/>
              <w:right w:type="dxa" w:w="120"/>
            </w:tcMar>
          </w:tcPr>
          <w:p>
            <w:pPr>
              <w:spacing w:after="0"/>
            </w:pPr>
            <w:r>
              <w:rPr>
                <w:b/>
                <w:bCs/>
              </w:rPr>
              <w:t xml:space="preserve">Stonegate</w:t>
            </w:r>
          </w:p>
        </w:tc>
        <w:tc>
          <w:tcPr>
            <w:tcW w:type="dxa" w:w="2220"/>
            <w:tcBorders>
              <w:top w:val="single" w:color="CCCCCC" w:sz="1"/>
              <w:left w:val="single" w:color="CCCCCC" w:sz="1"/>
              <w:bottom w:val="single" w:color="CCCCCC" w:sz="1"/>
              <w:right w:val="single" w:color="CCCCCC" w:sz="1"/>
            </w:tcBorders>
            <w:shd w:fill="EFE3E8" w:val="clear"/>
            <w:tcMar>
              <w:top w:type="dxa" w:w="80"/>
              <w:left w:type="dxa" w:w="120"/>
              <w:bottom w:type="dxa" w:w="80"/>
              <w:right w:type="dxa" w:w="120"/>
            </w:tcMar>
          </w:tcPr>
          <w:p>
            <w:pPr>
              <w:spacing w:after="0"/>
            </w:pPr>
            <w:r>
              <w:rPr>
                <w:b/>
                <w:bCs/>
              </w:rPr>
              <w:t xml:space="preserve">Northern Arch</w:t>
            </w:r>
          </w:p>
        </w:tc>
        <w:tc>
          <w:tcPr>
            <w:tcW w:type="dxa" w:w="2220"/>
            <w:tcBorders>
              <w:top w:val="single" w:color="CCCCCC" w:sz="1"/>
              <w:left w:val="single" w:color="CCCCCC" w:sz="1"/>
              <w:bottom w:val="single" w:color="CCCCCC" w:sz="1"/>
              <w:right w:val="single" w:color="CCCCCC" w:sz="1"/>
            </w:tcBorders>
            <w:shd w:fill="EFE3E8" w:val="clear"/>
            <w:tcMar>
              <w:top w:type="dxa" w:w="80"/>
              <w:left w:type="dxa" w:w="120"/>
              <w:bottom w:type="dxa" w:w="80"/>
              <w:right w:type="dxa" w:w="120"/>
            </w:tcMar>
          </w:tcPr>
          <w:p>
            <w:pPr>
              <w:spacing w:after="0"/>
            </w:pPr>
            <w:r>
              <w:rPr>
                <w:b/>
                <w:bCs/>
              </w:rPr>
              <w:t xml:space="preserve">Apex Frontier</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Offer</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$300,000</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$225,000</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$300,000</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Equity ask</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16%</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14%</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20%</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Implied valuation</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$1.88M</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$1.61M</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$1.50M</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Primary thesis</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Aging market + clinical credibility + B2B distribution</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Canadian channel dominance + non-dilutive leverage</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Permanent memory corpus + family graph + avatar upside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Key hard condition</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Seniors-home pilot in 90 days; IAP architecture pre-GA</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Five-screen onboarding or beta evidence; SR&amp;ED filed</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Premium avatar tier within 120 days of GA</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Structure risk</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None noted</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None noted</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Ratchet removed in v3</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Strategic value beyond capital</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Longevity network; clinical partnerships; pilot introductions</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Chartwell/Sienna introductions; SR&amp;ED execution; B2B BD</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rPr>
              <w:t xml:space="preserve">AI ecosystem; acquisition introductions; data-strategy depth</w:t>
            </w:r>
          </w:p>
        </w:tc>
      </w:tr>
    </w:tbl>
    <w:p>
      <w:pPr>
        <w:spacing w:after="160"/>
      </w:pPr>
      <w:r>
        <w:t xml:space="preserve"/>
      </w:r>
    </w:p>
    <w:p>
      <w:pPr>
        <w:spacing w:after="120"/>
      </w:pPr>
      <w:r>
        <w:rPr>
          <w:b/>
          <w:bCs/>
        </w:rPr>
        <w:t xml:space="preserve">Chairman’s Observation</w:t>
      </w:r>
    </w:p>
    <w:p>
      <w:pPr>
        <w:spacing w:after="120"/>
      </w:pPr>
      <w:r>
        <w:t xml:space="preserve">The negotiating position has inverted. In v1, the firms evaluated the founder. By v3, the founder is in a position to evaluate the firms: three rising bids, falling dilution, a withdrawn ratchet, and two passing firms publicly holding spots in their pipeline. The structured two-firm seed remains available and has improved: Northern Arch leading at $225,000 with Stonegate co-investing at $225,000 yields approximately $450,000 at a blended dilution in the range of 24–26% — more capital and less dilution than v2’s equivalent structure, with the two firms whose conditions overlap rather than conflict (both want the seniors-home pilot; neither wants product redirection).</w:t>
      </w:r>
    </w:p>
    <w:p>
      <w:pPr>
        <w:spacing w:after="120"/>
      </w:pPr>
      <w:r>
        <w:t xml:space="preserve">One caution, offered in the same factual register as everything above: the entire v3 repricing rests on two events — an on-time launch and a pricing decision. Both are real, neither is revenue. The 60-day window after App Store GA will either convert this momentum into the dataset Black River specified, or reveal that the panel repriced a story twice. The founder has earned the higher numbers on this page. The next page must be earned by users.</w:t>
      </w:r>
    </w:p>
    <w:p>
      <w:pPr>
        <w:spacing w:after="160"/>
      </w:pPr>
      <w:r>
        <w:t xml:space="preserve"/>
      </w:r>
    </w:p>
    <w:p>
      <w:pPr>
        <w:spacing w:after="120"/>
        <w:jc w:val="center"/>
      </w:pPr>
      <w:r>
        <w:rPr>
          <w:i/>
          <w:iCs/>
        </w:rPr>
        <w:t xml:space="preserve">End of Panel Evaluation  —  Solace Life  —  June 2026  —  v3 TestFlight &amp; Pricing Update</w:t>
      </w:r>
    </w:p>
    <w:p>
      <w:pPr>
        <w:spacing w:after="120"/>
        <w:jc w:val="center"/>
      </w:pPr>
      <w:r>
        <w:rPr>
          <w:i/>
          <w:iCs/>
          <w:sz w:val="18"/>
          <w:szCs w:val="18"/>
        </w:rPr>
        <w:t xml:space="preserve">This document was produced as an independent assessment. It contains no guarantees, no financial advice, and no endorsement of any participating firm.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2026-06-04T06:22:54.677Z</dcterms:created>
  <dcterms:modified xsi:type="dcterms:W3CDTF">2026-06-04T06:22:54.677Z</dcterms:modified>
</cp:coreProperties>
</file>

<file path=docProps/custom.xml><?xml version="1.0" encoding="utf-8"?>
<Properties xmlns="http://schemas.openxmlformats.org/officeDocument/2006/custom-properties" xmlns:vt="http://schemas.openxmlformats.org/officeDocument/2006/docPropsVTypes"/>
</file>