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Resources Dropdown Pages — Final Content V1</w:t>
      </w:r>
    </w:p>
    <w:p>
      <w:pPr>
        <w:jc w:val="center"/>
      </w:pPr>
      <w:r>
        <w:rPr>
          <w:i/>
        </w:rPr>
        <w:t>Fast-build content set for Insights, Case Studies, and Guides</w:t>
      </w:r>
    </w:p>
    <w:p>
      <w:r>
        <w:br w:type="page"/>
      </w:r>
    </w:p>
    <w:p>
      <w:pPr>
        <w:pStyle w:val="Heading1"/>
      </w:pPr>
      <w:r>
        <w:t>1. Insights</w:t>
      </w:r>
    </w:p>
    <w:p>
      <w:pPr>
        <w:pStyle w:val="Heading2"/>
      </w:pPr>
      <w:r>
        <w:t>Hero</w:t>
      </w:r>
    </w:p>
    <w:p>
      <w:r>
        <w:t>Eyebrow: INSIGHTS</w:t>
      </w:r>
    </w:p>
    <w:p>
      <w:r>
        <w:rPr>
          <w:b/>
        </w:rPr>
        <w:t xml:space="preserve">Headline: </w:t>
      </w:r>
      <w:r>
        <w:t>Ideas for a changing healthcare landscape.</w:t>
      </w:r>
    </w:p>
    <w:p>
      <w:r>
        <w:rPr>
          <w:b/>
        </w:rPr>
        <w:t xml:space="preserve">Supporting: </w:t>
      </w:r>
      <w:r>
        <w:t>Explore perspectives on healthcare data, clinical intelligence, technology, care delivery, performance, and the work of turning information into action.</w:t>
      </w:r>
    </w:p>
    <w:p>
      <w:r>
        <w:rPr>
          <w:b/>
        </w:rPr>
        <w:t xml:space="preserve">CTA: </w:t>
      </w:r>
      <w:r>
        <w:t>Explore Insights</w:t>
      </w:r>
    </w:p>
    <w:p>
      <w:pPr>
        <w:pStyle w:val="Heading2"/>
      </w:pPr>
      <w:r>
        <w:t>Core Content</w:t>
      </w:r>
    </w:p>
    <w:p>
      <w:pPr>
        <w:pStyle w:val="ListBullet"/>
      </w:pPr>
      <w:r>
        <w:t>Healthcare data — Understand how connected information can support better decisions.</w:t>
      </w:r>
    </w:p>
    <w:p>
      <w:pPr>
        <w:pStyle w:val="ListBullet"/>
      </w:pPr>
      <w:r>
        <w:t>Clinical intelligence — Explore how context can turn information into meaningful insight.</w:t>
      </w:r>
    </w:p>
    <w:p>
      <w:pPr>
        <w:pStyle w:val="ListBullet"/>
      </w:pPr>
      <w:r>
        <w:t>Care and workflow — Consider how technology can support the work healthcare teams do.</w:t>
      </w:r>
    </w:p>
    <w:p>
      <w:pPr>
        <w:pStyle w:val="ListBullet"/>
      </w:pPr>
      <w:r>
        <w:t>Performance — Explore the challenges and opportunities shaping healthcare organizations.</w:t>
      </w:r>
    </w:p>
    <w:p>
      <w:pPr>
        <w:pStyle w:val="ListBullet"/>
      </w:pPr>
      <w:r>
        <w:t>The future of healthcare — Follow ideas around a changing healthcare environment.</w:t>
      </w:r>
    </w:p>
    <w:p>
      <w:pPr>
        <w:pStyle w:val="Heading2"/>
      </w:pPr>
      <w:r>
        <w:t>Content Areas</w:t>
      </w:r>
    </w:p>
    <w:p>
      <w:pPr>
        <w:pStyle w:val="ListBullet"/>
      </w:pPr>
      <w:r>
        <w:t>Healthcare data and interoperability</w:t>
      </w:r>
    </w:p>
    <w:p>
      <w:pPr>
        <w:pStyle w:val="ListBullet"/>
      </w:pPr>
      <w:r>
        <w:t>Clinical intelligence</w:t>
      </w:r>
    </w:p>
    <w:p>
      <w:pPr>
        <w:pStyle w:val="ListBullet"/>
      </w:pPr>
      <w:r>
        <w:t>Population health</w:t>
      </w:r>
    </w:p>
    <w:p>
      <w:pPr>
        <w:pStyle w:val="ListBullet"/>
      </w:pPr>
      <w:r>
        <w:t>Care management</w:t>
      </w:r>
    </w:p>
    <w:p>
      <w:pPr>
        <w:pStyle w:val="ListBullet"/>
      </w:pPr>
      <w:r>
        <w:t>Risk and quality</w:t>
      </w:r>
    </w:p>
    <w:p>
      <w:pPr>
        <w:pStyle w:val="ListBullet"/>
      </w:pPr>
      <w:r>
        <w:t>Patient engagement</w:t>
      </w:r>
    </w:p>
    <w:p>
      <w:pPr>
        <w:pStyle w:val="ListBullet"/>
      </w:pPr>
      <w:r>
        <w:t>Healthcare technology</w:t>
      </w:r>
    </w:p>
    <w:p>
      <w:pPr>
        <w:pStyle w:val="Heading2"/>
      </w:pPr>
      <w:r>
        <w:t>Supporting Section</w:t>
      </w:r>
    </w:p>
    <w:p>
      <w:r>
        <w:rPr>
          <w:b/>
        </w:rPr>
        <w:t>Useful ideas should lead to better questions.</w:t>
      </w:r>
    </w:p>
    <w:p>
      <w:r>
        <w:t>Guardian Insights brings together perspectives designed to help healthcare leaders think about the connection between data, technology, people, and action.</w:t>
      </w:r>
    </w:p>
    <w:p>
      <w:pPr>
        <w:pStyle w:val="Heading2"/>
      </w:pPr>
      <w:r>
        <w:t>Closing CTA</w:t>
      </w:r>
    </w:p>
    <w:p>
      <w:r>
        <w:rPr>
          <w:b/>
        </w:rPr>
        <w:t>Stay informed. Keep moving forward.</w:t>
      </w:r>
    </w:p>
    <w:p>
      <w:r>
        <w:t>Explore the latest Guardian perspectives and ideas.</w:t>
      </w:r>
    </w:p>
    <w:p>
      <w:r>
        <w:br w:type="page"/>
      </w:r>
    </w:p>
    <w:p>
      <w:pPr>
        <w:pStyle w:val="Heading1"/>
      </w:pPr>
      <w:r>
        <w:t>2. Case Studies</w:t>
      </w:r>
    </w:p>
    <w:p>
      <w:pPr>
        <w:pStyle w:val="Heading2"/>
      </w:pPr>
      <w:r>
        <w:t>Hero</w:t>
      </w:r>
    </w:p>
    <w:p>
      <w:r>
        <w:t>Eyebrow: CASE STUDIES</w:t>
      </w:r>
    </w:p>
    <w:p>
      <w:r>
        <w:rPr>
          <w:b/>
        </w:rPr>
        <w:t xml:space="preserve">Headline: </w:t>
      </w:r>
      <w:r>
        <w:t>See healthcare data turned into action.</w:t>
      </w:r>
    </w:p>
    <w:p>
      <w:r>
        <w:rPr>
          <w:b/>
        </w:rPr>
        <w:t xml:space="preserve">Supporting: </w:t>
      </w:r>
      <w:r>
        <w:t>Explore real-world examples of how Guardian technology, healthcare expertise, and services come together to address organizational challenges.</w:t>
      </w:r>
    </w:p>
    <w:p>
      <w:r>
        <w:rPr>
          <w:b/>
        </w:rPr>
        <w:t xml:space="preserve">CTA: </w:t>
      </w:r>
      <w:r>
        <w:t>Explore Case Studies</w:t>
      </w:r>
    </w:p>
    <w:p>
      <w:pPr>
        <w:pStyle w:val="Heading2"/>
      </w:pPr>
      <w:r>
        <w:t>Core Content</w:t>
      </w:r>
    </w:p>
    <w:p>
      <w:pPr>
        <w:pStyle w:val="ListBullet"/>
      </w:pPr>
      <w:r>
        <w:t>CHALLENGE — Understand the healthcare problem or opportunity.</w:t>
      </w:r>
    </w:p>
    <w:p>
      <w:pPr>
        <w:pStyle w:val="ListBullet"/>
      </w:pPr>
      <w:r>
        <w:t>APPROACH — See how Guardian brought technology, data, and expertise together.</w:t>
      </w:r>
    </w:p>
    <w:p>
      <w:pPr>
        <w:pStyle w:val="ListBullet"/>
      </w:pPr>
      <w:r>
        <w:t>ACTION — Understand how the solution supported the organization's workflow.</w:t>
      </w:r>
    </w:p>
    <w:p>
      <w:pPr>
        <w:pStyle w:val="ListBullet"/>
      </w:pPr>
      <w:r>
        <w:t>IMPACT — See the documented results and lessons learned.</w:t>
      </w:r>
    </w:p>
    <w:p>
      <w:pPr>
        <w:pStyle w:val="ListBullet"/>
      </w:pPr>
      <w:r>
        <w:t>NEXT — Understand what the experience means for future action.</w:t>
      </w:r>
    </w:p>
    <w:p>
      <w:pPr>
        <w:pStyle w:val="Heading2"/>
      </w:pPr>
      <w:r>
        <w:t>Content Areas</w:t>
      </w:r>
    </w:p>
    <w:p>
      <w:pPr>
        <w:pStyle w:val="ListBullet"/>
      </w:pPr>
      <w:r>
        <w:t>Healthcare challenges</w:t>
      </w:r>
    </w:p>
    <w:p>
      <w:pPr>
        <w:pStyle w:val="ListBullet"/>
      </w:pPr>
      <w:r>
        <w:t>Guardian platform capabilities</w:t>
      </w:r>
    </w:p>
    <w:p>
      <w:pPr>
        <w:pStyle w:val="ListBullet"/>
      </w:pPr>
      <w:r>
        <w:t>Technology + services</w:t>
      </w:r>
    </w:p>
    <w:p>
      <w:pPr>
        <w:pStyle w:val="ListBullet"/>
      </w:pPr>
      <w:r>
        <w:t>Workflow and implementation</w:t>
      </w:r>
    </w:p>
    <w:p>
      <w:pPr>
        <w:pStyle w:val="ListBullet"/>
      </w:pPr>
      <w:r>
        <w:t>Documented outcomes</w:t>
      </w:r>
    </w:p>
    <w:p>
      <w:pPr>
        <w:pStyle w:val="ListBullet"/>
      </w:pPr>
      <w:r>
        <w:t>Lessons learned</w:t>
      </w:r>
    </w:p>
    <w:p>
      <w:pPr>
        <w:pStyle w:val="Heading2"/>
      </w:pPr>
      <w:r>
        <w:t>Supporting Section</w:t>
      </w:r>
    </w:p>
    <w:p>
      <w:r>
        <w:rPr>
          <w:b/>
        </w:rPr>
        <w:t>Real experiences provide practical context.</w:t>
      </w:r>
    </w:p>
    <w:p>
      <w:r>
        <w:t>Case studies show how Guardian capabilities can come together around specific healthcare needs and organizational priorities.</w:t>
      </w:r>
    </w:p>
    <w:p>
      <w:pPr>
        <w:pStyle w:val="Heading2"/>
      </w:pPr>
      <w:r>
        <w:t>Closing CTA</w:t>
      </w:r>
    </w:p>
    <w:p>
      <w:r>
        <w:rPr>
          <w:b/>
        </w:rPr>
        <w:t>Explore what is possible.</w:t>
      </w:r>
    </w:p>
    <w:p>
      <w:r>
        <w:t>See how Guardian helps organizations move from healthcare data and challenges toward action.</w:t>
      </w:r>
    </w:p>
    <w:p>
      <w:r>
        <w:br w:type="page"/>
      </w:r>
    </w:p>
    <w:p>
      <w:pPr>
        <w:pStyle w:val="Heading1"/>
      </w:pPr>
      <w:r>
        <w:t>3. Guides</w:t>
      </w:r>
    </w:p>
    <w:p>
      <w:pPr>
        <w:pStyle w:val="Heading2"/>
      </w:pPr>
      <w:r>
        <w:t>Hero</w:t>
      </w:r>
    </w:p>
    <w:p>
      <w:r>
        <w:t>Eyebrow: GUIDES</w:t>
      </w:r>
    </w:p>
    <w:p>
      <w:r>
        <w:rPr>
          <w:b/>
        </w:rPr>
        <w:t xml:space="preserve">Headline: </w:t>
      </w:r>
      <w:r>
        <w:t>Practical resources for healthcare teams.</w:t>
      </w:r>
    </w:p>
    <w:p>
      <w:r>
        <w:rPr>
          <w:b/>
        </w:rPr>
        <w:t xml:space="preserve">Supporting: </w:t>
      </w:r>
      <w:r>
        <w:t>Explore focused guides designed to help healthcare organizations understand complex topics, evaluate opportunities, and navigate the path from information to action.</w:t>
      </w:r>
    </w:p>
    <w:p>
      <w:r>
        <w:rPr>
          <w:b/>
        </w:rPr>
        <w:t xml:space="preserve">CTA: </w:t>
      </w:r>
      <w:r>
        <w:t>Explore Guides</w:t>
      </w:r>
    </w:p>
    <w:p>
      <w:pPr>
        <w:pStyle w:val="Heading2"/>
      </w:pPr>
      <w:r>
        <w:t>Core Content</w:t>
      </w:r>
    </w:p>
    <w:p>
      <w:pPr>
        <w:pStyle w:val="ListBullet"/>
      </w:pPr>
      <w:r>
        <w:t>UNDERSTAND — Break down complex healthcare topics.</w:t>
      </w:r>
    </w:p>
    <w:p>
      <w:pPr>
        <w:pStyle w:val="ListBullet"/>
      </w:pPr>
      <w:r>
        <w:t>EVALUATE — Identify the questions that matter.</w:t>
      </w:r>
    </w:p>
    <w:p>
      <w:pPr>
        <w:pStyle w:val="ListBullet"/>
      </w:pPr>
      <w:r>
        <w:t>PLAN — Consider practical approaches and priorities.</w:t>
      </w:r>
    </w:p>
    <w:p>
      <w:pPr>
        <w:pStyle w:val="ListBullet"/>
      </w:pPr>
      <w:r>
        <w:t>ACT — Translate understanding into next steps.</w:t>
      </w:r>
    </w:p>
    <w:p>
      <w:pPr>
        <w:pStyle w:val="Heading2"/>
      </w:pPr>
      <w:r>
        <w:t>Content Areas</w:t>
      </w:r>
    </w:p>
    <w:p>
      <w:pPr>
        <w:pStyle w:val="ListBullet"/>
      </w:pPr>
      <w:r>
        <w:t>Healthcare data</w:t>
      </w:r>
    </w:p>
    <w:p>
      <w:pPr>
        <w:pStyle w:val="ListBullet"/>
      </w:pPr>
      <w:r>
        <w:t>Population health</w:t>
      </w:r>
    </w:p>
    <w:p>
      <w:pPr>
        <w:pStyle w:val="ListBullet"/>
      </w:pPr>
      <w:r>
        <w:t>Care management</w:t>
      </w:r>
    </w:p>
    <w:p>
      <w:pPr>
        <w:pStyle w:val="ListBullet"/>
      </w:pPr>
      <w:r>
        <w:t>Risk adjustment</w:t>
      </w:r>
    </w:p>
    <w:p>
      <w:pPr>
        <w:pStyle w:val="ListBullet"/>
      </w:pPr>
      <w:r>
        <w:t>Quality and performance</w:t>
      </w:r>
    </w:p>
    <w:p>
      <w:pPr>
        <w:pStyle w:val="ListBullet"/>
      </w:pPr>
      <w:r>
        <w:t>Patient engagement</w:t>
      </w:r>
    </w:p>
    <w:p>
      <w:pPr>
        <w:pStyle w:val="ListBullet"/>
      </w:pPr>
      <w:r>
        <w:t>Healthcare technology</w:t>
      </w:r>
    </w:p>
    <w:p>
      <w:pPr>
        <w:pStyle w:val="Heading2"/>
      </w:pPr>
      <w:r>
        <w:t>Supporting Section</w:t>
      </w:r>
    </w:p>
    <w:p>
      <w:r>
        <w:rPr>
          <w:b/>
        </w:rPr>
        <w:t>Make complex healthcare topics easier to navigate.</w:t>
      </w:r>
    </w:p>
    <w:p>
      <w:r>
        <w:t>Guardian Guides provide practical, focused information for teams working through healthcare data, technology, care, and performance challenges.</w:t>
      </w:r>
    </w:p>
    <w:p>
      <w:pPr>
        <w:pStyle w:val="Heading2"/>
      </w:pPr>
      <w:r>
        <w:t>Closing CTA</w:t>
      </w:r>
    </w:p>
    <w:p>
      <w:r>
        <w:rPr>
          <w:b/>
        </w:rPr>
        <w:t>Learn. Evaluate. Act.</w:t>
      </w:r>
    </w:p>
    <w:p>
      <w:r>
        <w:t>Explore practical resources from Guardian.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editorial headline + relevant healthcare visual</w:t>
      </w:r>
    </w:p>
    <w:p>
      <w:pPr>
        <w:pStyle w:val="ListNumber"/>
      </w:pPr>
      <w:r>
        <w:t>2. Resource category introduction</w:t>
      </w:r>
    </w:p>
    <w:p>
      <w:pPr>
        <w:pStyle w:val="ListNumber"/>
      </w:pPr>
      <w:r>
        <w:t>3. Featured content / featured resource</w:t>
      </w:r>
    </w:p>
    <w:p>
      <w:pPr>
        <w:pStyle w:val="ListNumber"/>
      </w:pPr>
      <w:r>
        <w:t>4. Browse experience with clear categories or filters</w:t>
      </w:r>
    </w:p>
    <w:p>
      <w:pPr>
        <w:pStyle w:val="ListNumber"/>
      </w:pPr>
      <w:r>
        <w:t>5. Resource listing</w:t>
      </w:r>
    </w:p>
    <w:p>
      <w:pPr>
        <w:pStyle w:val="ListNumber"/>
      </w:pPr>
      <w:r>
        <w:t>6. Related Guardian solutions or platform capabilities</w:t>
      </w:r>
    </w:p>
    <w:p>
      <w:pPr>
        <w:pStyle w:val="ListNumber"/>
      </w:pPr>
      <w:r>
        <w:t>7. Final CTA</w:t>
      </w:r>
    </w:p>
    <w:p>
      <w:pPr>
        <w:pStyle w:val="Heading1"/>
      </w:pPr>
      <w:r>
        <w:t>Resource Detail Template</w:t>
      </w:r>
    </w:p>
    <w:p>
      <w:pPr>
        <w:pStyle w:val="ListBullet"/>
      </w:pPr>
      <w:r>
        <w:t>Resource title</w:t>
      </w:r>
    </w:p>
    <w:p>
      <w:pPr>
        <w:pStyle w:val="ListBullet"/>
      </w:pPr>
      <w:r>
        <w:t>Resource type — Insight / Case Study / Guide</w:t>
      </w:r>
    </w:p>
    <w:p>
      <w:pPr>
        <w:pStyle w:val="ListBullet"/>
      </w:pPr>
      <w:r>
        <w:t>Short introduction</w:t>
      </w:r>
    </w:p>
    <w:p>
      <w:pPr>
        <w:pStyle w:val="ListBullet"/>
      </w:pPr>
      <w:r>
        <w:t>Main content</w:t>
      </w:r>
    </w:p>
    <w:p>
      <w:pPr>
        <w:pStyle w:val="ListBullet"/>
      </w:pPr>
      <w:r>
        <w:t>Relevant Guardian capability or solution</w:t>
      </w:r>
    </w:p>
    <w:p>
      <w:pPr>
        <w:pStyle w:val="ListBullet"/>
      </w:pPr>
      <w:r>
        <w:t>Related resources</w:t>
      </w:r>
    </w:p>
    <w:p>
      <w:pPr>
        <w:pStyle w:val="ListBullet"/>
      </w:pPr>
      <w:r>
        <w:t>CTA</w:t>
      </w:r>
    </w:p>
    <w:p>
      <w:pPr>
        <w:pStyle w:val="Heading1"/>
      </w:pPr>
      <w:r>
        <w:t>Content Guardrails</w:t>
      </w:r>
    </w:p>
    <w:p>
      <w:pPr>
        <w:pStyle w:val="ListBullet"/>
      </w:pPr>
      <w:r>
        <w:t>Do not create fake case studies, customer names, quotes, statistics, dates, authors, outcomes, or downloadable guides.</w:t>
      </w:r>
    </w:p>
    <w:p>
      <w:pPr>
        <w:pStyle w:val="ListBullet"/>
      </w:pPr>
      <w:r>
        <w:t>Only publish documented outcomes and customer details that have been approved by Guardian.</w:t>
      </w:r>
    </w:p>
    <w:p>
      <w:pPr>
        <w:pStyle w:val="ListBullet"/>
      </w:pPr>
      <w:r>
        <w:t>Use an editorial experience rather than a repetitive SaaS card grid.</w:t>
      </w:r>
    </w:p>
    <w:p>
      <w:pPr>
        <w:pStyle w:val="ListBullet"/>
      </w:pPr>
      <w:r>
        <w:t>Resource search and filters should be designed so users can quickly find relevant content.</w:t>
      </w:r>
    </w:p>
    <w:p>
      <w:pPr>
        <w:pStyle w:val="ListBullet"/>
      </w:pPr>
      <w:r>
        <w:t>Newsletter or subscription functionality should use approved consent and privacy language before publication.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